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color w:val="000000"/>
          <w:sz w:val="36"/>
        </w:rPr>
      </w:pPr>
      <w:r>
        <w:rPr>
          <w:rFonts w:ascii="Times New Roman;sans-serif" w:hAnsi="Times New Roman;sans-serif"/>
          <w:b/>
          <w:color w:val="000000"/>
          <w:sz w:val="36"/>
        </w:rPr>
        <w:t>FORM 10-K</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ANNUAL REPORT PURSUANT TO SECTION 13 OR 15(d) OF THE SECURITIES EXCHANGE ACT OF 1934</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For the fiscal year ended December 31, 2024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TRANSITION REPORT PURSUANT TO SECTION 13 OR 15(d) OF THE SECURITIES EXCHANGE ACT OF 1934</w:t>
            </w:r>
          </w:p>
        </w:tc>
      </w:tr>
    </w:tbl>
    <w:p>
      <w:pPr>
        <w:pStyle w:val="TextBody"/>
        <w:bidi w:val="0"/>
        <w:spacing w:lineRule="auto" w:line="288" w:before="80" w:after="283"/>
        <w:jc w:val="center"/>
        <w:rPr>
          <w:rFonts w:ascii="Times New Roman;sans-serif" w:hAnsi="Times New Roman;sans-serif"/>
          <w:b/>
          <w:color w:val="000000"/>
          <w:sz w:val="22"/>
        </w:rPr>
      </w:pPr>
      <w:r>
        <w:rPr>
          <w:rFonts w:ascii="Times New Roman;sans-serif" w:hAnsi="Times New Roman;sans-serif"/>
          <w:b/>
          <w:color w:val="000000"/>
          <w:sz w:val="22"/>
        </w:rPr>
        <w:t>For the transition period from             to            </w:t>
      </w:r>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 xml:space="preserve">Commission file number: 001-31262 </w:t>
      </w:r>
    </w:p>
    <w:p>
      <w:pPr>
        <w:pStyle w:val="TextBody"/>
        <w:bidi w:val="0"/>
        <w:spacing w:lineRule="auto" w:line="288" w:before="0" w:after="0"/>
        <w:jc w:val="left"/>
        <w:rPr>
          <w:color w:val="000000"/>
        </w:rPr>
      </w:pPr>
      <w:r>
        <w:rPr>
          <w:color w:val="000000"/>
        </w:rPr>
        <w: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color w:val="000000"/>
          <w:sz w:val="56"/>
        </w:rPr>
      </w:pPr>
      <w:r>
        <w:rPr>
          <w:rFonts w:ascii="Times New Roman;sans-serif" w:hAnsi="Times New Roman;sans-serif"/>
          <w:b/>
          <w:color w:val="000000"/>
          <w:sz w:val="56"/>
        </w:rPr>
        <w:t>ASBURY AUTOMOTIVE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749" w:type="dxa"/>
        <w:jc w:val="center"/>
        <w:tblInd w:w="0" w:type="dxa"/>
        <w:tblLayout w:type="fixed"/>
        <w:tblCellMar>
          <w:top w:w="28" w:type="dxa"/>
          <w:left w:w="28" w:type="dxa"/>
          <w:bottom w:w="28" w:type="dxa"/>
          <w:right w:w="28" w:type="dxa"/>
        </w:tblCellMar>
      </w:tblPr>
      <w:tblGrid>
        <w:gridCol w:w="124"/>
        <w:gridCol w:w="109"/>
        <w:gridCol w:w="109"/>
        <w:gridCol w:w="579"/>
        <w:gridCol w:w="579"/>
        <w:gridCol w:w="579"/>
        <w:gridCol w:w="579"/>
        <w:gridCol w:w="579"/>
        <w:gridCol w:w="614"/>
        <w:gridCol w:w="109"/>
        <w:gridCol w:w="109"/>
        <w:gridCol w:w="109"/>
        <w:gridCol w:w="399"/>
        <w:gridCol w:w="399"/>
        <w:gridCol w:w="40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01-0609375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(I.R.S. Employer</w:t>
              <w:br/>
              <w:t>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2905 Premiere Parkway, NW, Suite 300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 xml:space="preserve">Duluth, </w:t>
            </w:r>
          </w:p>
        </w:tc>
        <w:tc>
          <w:tcPr>
            <w:tcW w:w="1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30097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(770) 418-8200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(Registrant's telephone number, including area code)</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8888" w:type="dxa"/>
        <w:jc w:val="left"/>
        <w:tblInd w:w="0" w:type="dxa"/>
        <w:tblLayout w:type="fixed"/>
        <w:tblCellMar>
          <w:top w:w="28" w:type="dxa"/>
          <w:left w:w="28" w:type="dxa"/>
          <w:bottom w:w="28" w:type="dxa"/>
          <w:right w:w="28" w:type="dxa"/>
        </w:tblCellMar>
      </w:tblPr>
      <w:tblGrid>
        <w:gridCol w:w="1252"/>
        <w:gridCol w:w="1100"/>
        <w:gridCol w:w="1113"/>
        <w:gridCol w:w="109"/>
        <w:gridCol w:w="109"/>
        <w:gridCol w:w="109"/>
        <w:gridCol w:w="314"/>
        <w:gridCol w:w="314"/>
        <w:gridCol w:w="316"/>
        <w:gridCol w:w="109"/>
        <w:gridCol w:w="109"/>
        <w:gridCol w:w="109"/>
        <w:gridCol w:w="1118"/>
        <w:gridCol w:w="1118"/>
        <w:gridCol w:w="1589"/>
      </w:tblGrid>
      <w:tr>
        <w:trPr/>
        <w:tc>
          <w:tcPr>
            <w:tcW w:w="125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ABG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before="0" w:after="0"/>
        <w:ind w:left="0" w:right="0" w:firstLine="45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12(g) of the Act: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None.</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
        </w:rPr>
      </w:pPr>
      <w:r>
        <w:rPr>
          <w:rFonts w:ascii="Times New Roman;sans-serif" w:hAnsi="Times New Roman;sans-serif"/>
          <w:b w:val="false"/>
          <w:color w:val="000000"/>
          <w:sz w:val="2"/>
        </w:rPr>
        <w:t>a</w:t>
      </w:r>
    </w:p>
    <w:p>
      <w:pPr>
        <w:pStyle w:val="TextBody"/>
        <w:bidi w:val="0"/>
        <w:spacing w:lineRule="auto" w:line="288" w:before="0" w:after="0"/>
        <w:ind w:left="0" w:right="0" w:firstLine="270"/>
        <w:jc w:val="left"/>
        <w:rPr/>
      </w:pPr>
      <w:r>
        <w:rPr>
          <w:rFonts w:ascii="Times New Roman;sans-serif" w:hAnsi="Times New Roman;sans-serif"/>
          <w:b w:val="false"/>
          <w:color w:val="000000"/>
          <w:sz w:val="18"/>
        </w:rPr>
        <w:t xml:space="preserve">Indicate by check mark if the registrant is a well-known seasoned issuer, as defined in Rule 405 of the Securities Act. Yes </w:t>
      </w:r>
      <w:r>
        <w:rPr>
          <w:rFonts w:ascii="Wingdings;sans-serif" w:hAnsi="Wingdings;sans-serif"/>
          <w:b w:val="false"/>
          <w:color w:val="000000"/>
          <w:sz w:val="18"/>
        </w:rPr>
        <w:t>x</w:t>
      </w:r>
      <w:r>
        <w:rPr>
          <w:color w:val="000000"/>
        </w:rPr>
        <w:t>   </w:t>
      </w:r>
      <w:r>
        <w:rPr>
          <w:rFonts w:ascii="Times New Roman;sans-serif" w:hAnsi="Times New Roman;sans-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80" w:after="283"/>
        <w:ind w:left="0" w:right="0" w:firstLine="270"/>
        <w:jc w:val="left"/>
        <w:rPr/>
      </w:pPr>
      <w:r>
        <w:rPr>
          <w:rFonts w:ascii="Times New Roman;sans-serif" w:hAnsi="Times New Roman;sans-serif"/>
          <w:b w:val="false"/>
          <w:color w:val="000000"/>
          <w:sz w:val="18"/>
        </w:rPr>
        <w:t xml:space="preserve">Indicate by check mark if the registrant is not required to file reports pursuant to Section 13 or Section 15(d) of the Act. Yes </w:t>
      </w:r>
      <w:r>
        <w:rPr>
          <w:rFonts w:ascii="Wingdings;sans-serif" w:hAnsi="Wingdings;sans-serif"/>
          <w:b w:val="false"/>
          <w:color w:val="000000"/>
          <w:sz w:val="18"/>
        </w:rPr>
        <w:t xml:space="preserve">o </w:t>
      </w:r>
      <w:r>
        <w:rPr>
          <w:rFonts w:ascii="Times New Roman;sans-serif" w:hAnsi="Times New Roman;sans-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180" w:after="283"/>
        <w:ind w:left="0" w:right="0" w:firstLine="270"/>
        <w:jc w:val="left"/>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 xml:space="preserve">x </w:t>
      </w:r>
      <w:r>
        <w:rPr>
          <w:rFonts w:ascii="Times New Roman;sans-serif" w:hAnsi="Times New Roman;sans-serif"/>
          <w:b w:val="false"/>
          <w:color w:val="000000"/>
          <w:sz w:val="18"/>
        </w:rPr>
        <w:t xml:space="preserve">No </w:t>
      </w:r>
      <w:r>
        <w:rPr>
          <w:rFonts w:ascii="Wingdings;sans-serif" w:hAnsi="Wingdings;sans-serif"/>
          <w:b w:val="false"/>
          <w:color w:val="000000"/>
          <w:sz w:val="18"/>
        </w:rPr>
        <w: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ind w:left="0" w:right="0" w:firstLine="270"/>
        <w:jc w:val="left"/>
        <w:rPr/>
      </w:pPr>
      <w:r>
        <w:rPr>
          <w:rFonts w:ascii="Times New Roman;sans-serif" w:hAnsi="Times New Roman;sans-serif"/>
          <w:b w:val="false"/>
          <w:color w:val="000000"/>
          <w:sz w:val="18"/>
        </w:rPr>
        <w:t xml:space="preserve">Indicate by check mark whether the registrant has submitted electronically and posted on its website,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Wingdings;sans-serif" w:hAnsi="Wingdings;sans-serif"/>
          <w:b w:val="false"/>
          <w:color w:val="000000"/>
          <w:sz w:val="18"/>
        </w:rPr>
        <w:t xml:space="preserve">x </w:t>
      </w:r>
      <w:r>
        <w:rPr>
          <w:rFonts w:ascii="Times New Roman;sans-serif" w:hAnsi="Times New Roman;sans-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80" w:after="283"/>
        <w:ind w:left="0" w:right="0" w:firstLine="27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66" w:type="dxa"/>
        <w:jc w:val="center"/>
        <w:tblInd w:w="0" w:type="dxa"/>
        <w:tblLayout w:type="fixed"/>
        <w:tblCellMar>
          <w:top w:w="28" w:type="dxa"/>
          <w:left w:w="28" w:type="dxa"/>
          <w:bottom w:w="28" w:type="dxa"/>
          <w:right w:w="28" w:type="dxa"/>
        </w:tblCellMar>
      </w:tblPr>
      <w:tblGrid>
        <w:gridCol w:w="727"/>
        <w:gridCol w:w="639"/>
        <w:gridCol w:w="643"/>
        <w:gridCol w:w="109"/>
        <w:gridCol w:w="109"/>
        <w:gridCol w:w="109"/>
        <w:gridCol w:w="109"/>
        <w:gridCol w:w="109"/>
        <w:gridCol w:w="109"/>
        <w:gridCol w:w="809"/>
        <w:gridCol w:w="809"/>
        <w:gridCol w:w="813"/>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80" w:after="283"/>
        <w:ind w:left="0" w:right="0" w:firstLine="270"/>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180" w:after="283"/>
        <w:ind w:left="0" w:right="0" w:firstLine="27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filed a report on and attestation to its management’s assessment of</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the effectiveness of its internal control over financial reporting under Section 404(b) of the Sarbanes-Oxley Act (15 U.S.C.</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7262(b)) by the registered public accounting firm that prepared or issued its audit report. ☒</w:t>
      </w:r>
    </w:p>
    <w:p>
      <w:pPr>
        <w:pStyle w:val="TextBody"/>
        <w:bidi w:val="0"/>
        <w:spacing w:lineRule="auto" w:line="288" w:before="80" w:after="283"/>
        <w:ind w:left="0" w:right="0" w:firstLine="270"/>
        <w:jc w:val="left"/>
        <w:rPr/>
      </w:pPr>
      <w:r>
        <w:rPr>
          <w:rFonts w:ascii="Times New Roman;sans-serif" w:hAnsi="Times New Roman;sans-serif"/>
          <w:b w:val="false"/>
          <w:color w:val="231F20"/>
          <w:sz w:val="18"/>
        </w:rPr>
        <w:t>I</w:t>
      </w:r>
      <w:r>
        <w:rPr>
          <w:rFonts w:ascii="Times New Roman;sans-serif" w:hAnsi="Times New Roman;sans-serif"/>
          <w:b w:val="false"/>
          <w:color w:val="000000"/>
          <w:sz w:val="18"/>
        </w:rPr>
        <w:t>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80" w:after="283"/>
        <w:ind w:left="0" w:right="0" w:firstLine="27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180" w:after="283"/>
        <w:ind w:left="0" w:right="0" w:firstLine="270"/>
        <w:jc w:val="left"/>
        <w:rPr/>
      </w:pPr>
      <w:r>
        <w:rPr>
          <w:rFonts w:ascii="Times New Roman;sans-serif" w:hAnsi="Times New Roman;sans-serif"/>
          <w:b w:val="false"/>
          <w:color w:val="000000"/>
          <w:sz w:val="18"/>
        </w:rPr>
        <w:t xml:space="preserve">Indicate by check mark whether registrant is a shell company (as defined in Rule 12b-2 of the Exchange Act). Yes </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180" w:after="283"/>
        <w:ind w:left="0" w:right="0" w:firstLine="270"/>
        <w:jc w:val="left"/>
        <w:rPr>
          <w:rFonts w:ascii="Times New Roman;sans-serif" w:hAnsi="Times New Roman;sans-serif"/>
          <w:b w:val="false"/>
          <w:color w:val="000000"/>
          <w:sz w:val="18"/>
        </w:rPr>
      </w:pPr>
      <w:r>
        <w:rPr>
          <w:rFonts w:ascii="Times New Roman;sans-serif" w:hAnsi="Times New Roman;sans-serif"/>
          <w:b w:val="false"/>
          <w:color w:val="000000"/>
          <w:sz w:val="18"/>
        </w:rPr>
        <w:t>Based on the closing price of the registrant's common stock as of June 30, 2024, the aggregate market value of the common stock held by non-affiliates of the registrant was $4.52 billion (based upon the assumption, solely for purposes of this computation, that all of the officers and directors of the registrant were affiliates of the registrant).</w:t>
      </w:r>
    </w:p>
    <w:p>
      <w:pPr>
        <w:pStyle w:val="TextBody"/>
        <w:bidi w:val="0"/>
        <w:spacing w:lineRule="auto" w:line="288" w:before="180" w:after="283"/>
        <w:ind w:left="0" w:right="0" w:firstLine="270"/>
        <w:jc w:val="left"/>
        <w:rPr>
          <w:rFonts w:ascii="Times New Roman;sans-serif" w:hAnsi="Times New Roman;sans-serif"/>
          <w:b w:val="false"/>
          <w:color w:val="000000"/>
          <w:sz w:val="18"/>
        </w:rPr>
      </w:pPr>
      <w:r>
        <w:rPr>
          <w:rFonts w:ascii="Times New Roman;sans-serif" w:hAnsi="Times New Roman;sans-serif"/>
          <w:b w:val="false"/>
          <w:color w:val="000000"/>
          <w:sz w:val="18"/>
        </w:rPr>
        <w:t>Indicate the number of shares outstanding of each of the registrant's classes of common stock, as of the latest practicable date: The number of shares of common stock outstanding as of February 24, 2025 was 19,645,447.</w:t>
      </w:r>
    </w:p>
    <w:p>
      <w:pPr>
        <w:pStyle w:val="TextBody"/>
        <w:bidi w:val="0"/>
        <w:spacing w:lineRule="auto" w:line="288" w:before="180" w:after="283"/>
        <w:ind w:left="0" w:right="0" w:firstLine="315"/>
        <w:jc w:val="center"/>
        <w:rPr>
          <w:rFonts w:ascii="Times New Roman;sans-serif" w:hAnsi="Times New Roman;sans-serif"/>
          <w:b w:val="false"/>
          <w:color w:val="000000"/>
          <w:sz w:val="18"/>
        </w:rPr>
      </w:pPr>
      <w:r>
        <w:rPr>
          <w:rFonts w:ascii="Times New Roman;sans-serif" w:hAnsi="Times New Roman;sans-serif"/>
          <w:b w:val="false"/>
          <w:color w:val="000000"/>
          <w:sz w:val="18"/>
        </w:rPr>
        <w:t>DOCUMENTS INCORPORATED BY REFERENCE</w:t>
      </w:r>
    </w:p>
    <w:p>
      <w:pPr>
        <w:pStyle w:val="TextBody"/>
        <w:bidi w:val="0"/>
        <w:spacing w:lineRule="auto" w:line="288" w:before="180" w:after="283"/>
        <w:ind w:left="0" w:right="0" w:firstLine="270"/>
        <w:jc w:val="left"/>
        <w:rPr>
          <w:rFonts w:ascii="Times New Roman;sans-serif" w:hAnsi="Times New Roman;sans-serif"/>
          <w:b w:val="false"/>
          <w:color w:val="000000"/>
          <w:sz w:val="18"/>
        </w:rPr>
      </w:pPr>
      <w:r>
        <w:rPr>
          <w:rFonts w:ascii="Times New Roman;sans-serif" w:hAnsi="Times New Roman;sans-serif"/>
          <w:b w:val="false"/>
          <w:color w:val="000000"/>
          <w:sz w:val="18"/>
        </w:rPr>
        <w:t>List hereunder the following documents if incorporated by reference and the Part of the Form 10-K into which the document is incorporated:</w:t>
      </w:r>
    </w:p>
    <w:p>
      <w:pPr>
        <w:pStyle w:val="TextBody"/>
        <w:bidi w:val="0"/>
        <w:spacing w:lineRule="auto" w:line="288" w:before="180" w:after="283"/>
        <w:ind w:left="0" w:right="0" w:firstLine="270"/>
        <w:jc w:val="left"/>
        <w:rPr>
          <w:rFonts w:ascii="Times New Roman;sans-serif" w:hAnsi="Times New Roman;sans-serif"/>
          <w:b w:val="false"/>
          <w:color w:val="000000"/>
          <w:sz w:val="18"/>
        </w:rPr>
      </w:pPr>
      <w:r>
        <w:rPr>
          <w:rFonts w:ascii="Times New Roman;sans-serif" w:hAnsi="Times New Roman;sans-serif"/>
          <w:b w:val="false"/>
          <w:color w:val="000000"/>
          <w:sz w:val="18"/>
        </w:rPr>
        <w:t>Portions of the registrant's definitive Proxy Statement for the 2025 Annual Meeting of Stockholders, to be filed within 120 days after the end of the registrant's fiscal year, are incorporated by reference into Part III, Items 10 through 14 of this Annual Report on Form 10-K.</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ASBURY AUTOMOTIVE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ANNUAL REPORT ON FORM 10-K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YEAR ENDED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DECEMBER 31, 2024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93"/>
        <w:gridCol w:w="258"/>
        <w:gridCol w:w="260"/>
        <w:gridCol w:w="2962"/>
        <w:gridCol w:w="2951"/>
        <w:gridCol w:w="2968"/>
        <w:gridCol w:w="149"/>
        <w:gridCol w:w="149"/>
        <w:gridCol w:w="215"/>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962" w:type="dxa"/>
            <w:tcBorders/>
            <w:vAlign w:val="center"/>
          </w:tcPr>
          <w:p>
            <w:pPr>
              <w:pStyle w:val="TableContents"/>
              <w:bidi w:val="0"/>
              <w:spacing w:before="0" w:after="283"/>
              <w:jc w:val="left"/>
              <w:rPr>
                <w:sz w:val="4"/>
                <w:szCs w:val="4"/>
              </w:rPr>
            </w:pPr>
            <w:r>
              <w:rPr>
                <w:sz w:val="4"/>
                <w:szCs w:val="4"/>
              </w:rPr>
            </w:r>
          </w:p>
        </w:tc>
        <w:tc>
          <w:tcPr>
            <w:tcW w:w="2951" w:type="dxa"/>
            <w:tcBorders/>
            <w:vAlign w:val="center"/>
          </w:tcPr>
          <w:p>
            <w:pPr>
              <w:pStyle w:val="TableContents"/>
              <w:bidi w:val="0"/>
              <w:spacing w:before="0" w:after="283"/>
              <w:jc w:val="left"/>
              <w:rPr>
                <w:sz w:val="4"/>
                <w:szCs w:val="4"/>
              </w:rPr>
            </w:pPr>
            <w:r>
              <w:rPr>
                <w:sz w:val="4"/>
                <w:szCs w:val="4"/>
              </w:rPr>
            </w:r>
          </w:p>
        </w:tc>
        <w:tc>
          <w:tcPr>
            <w:tcW w:w="296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0a854aaee8422dbfe3629dd4ba30c0_16">
              <w:r>
                <w:rPr>
                  <w:rStyle w:val="InternetLink"/>
                  <w:rFonts w:ascii="Times New Roman;sans-serif" w:hAnsi="Times New Roman;sans-serif"/>
                  <w:b w:val="false"/>
                  <w:color w:val="0000FF"/>
                  <w:sz w:val="20"/>
                  <w:u w:val="single"/>
                </w:rPr>
                <w:t>Item 1.</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0a854aaee8422dbfe3629dd4ba30c0_16">
              <w:r>
                <w:rPr>
                  <w:rStyle w:val="InternetLink"/>
                  <w:rFonts w:ascii="Times New Roman;sans-serif" w:hAnsi="Times New Roman;sans-serif"/>
                  <w:b w:val="false"/>
                  <w:color w:val="0000FF"/>
                  <w:sz w:val="20"/>
                  <w:u w:val="single"/>
                </w:rPr>
                <w:t>Business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70a854aaee8422dbfe3629dd4ba30c0_16">
              <w:r>
                <w:rPr>
                  <w:rStyle w:val="InternetLink"/>
                  <w:rFonts w:ascii="Times New Roman;sans-serif" w:hAnsi="Times New Roman;sans-serif"/>
                  <w:b w:val="false"/>
                  <w:color w:val="0000FF"/>
                  <w:sz w:val="20"/>
                  <w:u w:val="single"/>
                </w:rPr>
                <w:t>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0a854aaee8422dbfe3629dd4ba30c0_19">
              <w:r>
                <w:rPr>
                  <w:rStyle w:val="InternetLink"/>
                  <w:rFonts w:ascii="Times New Roman;sans-serif" w:hAnsi="Times New Roman;sans-serif"/>
                  <w:b w:val="false"/>
                  <w:color w:val="0000FF"/>
                  <w:sz w:val="20"/>
                  <w:u w:val="single"/>
                </w:rPr>
                <w:t>Item 1A.</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0a854aaee8422dbfe3629dd4ba30c0_19">
              <w:r>
                <w:rPr>
                  <w:rStyle w:val="InternetLink"/>
                  <w:rFonts w:ascii="Times New Roman;sans-serif" w:hAnsi="Times New Roman;sans-serif"/>
                  <w:b w:val="false"/>
                  <w:color w:val="0000FF"/>
                  <w:sz w:val="20"/>
                  <w:u w:val="single"/>
                </w:rPr>
                <w:t>Risk Factors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70a854aaee8422dbfe3629dd4ba30c0_19">
              <w:r>
                <w:rPr>
                  <w:rStyle w:val="InternetLink"/>
                  <w:rFonts w:ascii="Times New Roman;sans-serif" w:hAnsi="Times New Roman;sans-serif"/>
                  <w:b w:val="false"/>
                  <w:color w:val="0000FF"/>
                  <w:sz w:val="20"/>
                  <w:u w:val="single"/>
                </w:rPr>
                <w:t>18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0a854aaee8422dbfe3629dd4ba30c0_22">
              <w:r>
                <w:rPr>
                  <w:rStyle w:val="InternetLink"/>
                  <w:rFonts w:ascii="Times New Roman;sans-serif" w:hAnsi="Times New Roman;sans-serif"/>
                  <w:b w:val="false"/>
                  <w:color w:val="0000FF"/>
                  <w:sz w:val="20"/>
                  <w:u w:val="single"/>
                </w:rPr>
                <w:t>Item 1B.</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0a854aaee8422dbfe3629dd4ba30c0_22">
              <w:r>
                <w:rPr>
                  <w:rStyle w:val="InternetLink"/>
                  <w:rFonts w:ascii="Times New Roman;sans-serif" w:hAnsi="Times New Roman;sans-serif"/>
                  <w:b w:val="false"/>
                  <w:color w:val="0000FF"/>
                  <w:sz w:val="20"/>
                  <w:u w:val="single"/>
                </w:rPr>
                <w:t>Unresolved Staff Comments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70a854aaee8422dbfe3629dd4ba30c0_22">
              <w:r>
                <w:rPr>
                  <w:rStyle w:val="InternetLink"/>
                  <w:rFonts w:ascii="Times New Roman;sans-serif" w:hAnsi="Times New Roman;sans-serif"/>
                  <w:b w:val="false"/>
                  <w:color w:val="0000FF"/>
                  <w:sz w:val="20"/>
                  <w:u w:val="single"/>
                </w:rPr>
                <w:t>31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0a854aaee8422dbfe3629dd4ba30c0_25">
              <w:r>
                <w:rPr>
                  <w:rStyle w:val="InternetLink"/>
                  <w:rFonts w:ascii="Times New Roman;sans-serif" w:hAnsi="Times New Roman;sans-serif"/>
                  <w:b w:val="false"/>
                  <w:color w:val="0000FF"/>
                  <w:sz w:val="20"/>
                  <w:u w:val="single"/>
                </w:rPr>
                <w:t>Item 1C.</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0a854aaee8422dbfe3629dd4ba30c0_25">
              <w:r>
                <w:rPr>
                  <w:rStyle w:val="InternetLink"/>
                  <w:rFonts w:ascii="Times New Roman;sans-serif" w:hAnsi="Times New Roman;sans-serif"/>
                  <w:b w:val="false"/>
                  <w:color w:val="0000FF"/>
                  <w:sz w:val="20"/>
                  <w:u w:val="single"/>
                </w:rPr>
                <w:t>Cybersecurity</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70a854aaee8422dbfe3629dd4ba30c0_25">
              <w:r>
                <w:rPr>
                  <w:rStyle w:val="InternetLink"/>
                  <w:rFonts w:ascii="Times New Roman;sans-serif" w:hAnsi="Times New Roman;sans-serif"/>
                  <w:b w:val="false"/>
                  <w:color w:val="0000FF"/>
                  <w:sz w:val="20"/>
                  <w:u w:val="single"/>
                </w:rPr>
                <w:t>31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0a854aaee8422dbfe3629dd4ba30c0_28">
              <w:r>
                <w:rPr>
                  <w:rStyle w:val="InternetLink"/>
                  <w:rFonts w:ascii="Times New Roman;sans-serif" w:hAnsi="Times New Roman;sans-serif"/>
                  <w:b w:val="false"/>
                  <w:color w:val="0000FF"/>
                  <w:sz w:val="20"/>
                  <w:u w:val="single"/>
                </w:rPr>
                <w:t>Item 2.</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0a854aaee8422dbfe3629dd4ba30c0_28">
              <w:r>
                <w:rPr>
                  <w:rStyle w:val="InternetLink"/>
                  <w:rFonts w:ascii="Times New Roman;sans-serif" w:hAnsi="Times New Roman;sans-serif"/>
                  <w:b w:val="false"/>
                  <w:color w:val="0000FF"/>
                  <w:sz w:val="20"/>
                  <w:u w:val="single"/>
                </w:rPr>
                <w:t>Properties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70a854aaee8422dbfe3629dd4ba30c0_28">
              <w:r>
                <w:rPr>
                  <w:rStyle w:val="InternetLink"/>
                  <w:rFonts w:ascii="Times New Roman;sans-serif" w:hAnsi="Times New Roman;sans-serif"/>
                  <w:b w:val="false"/>
                  <w:color w:val="0000FF"/>
                  <w:sz w:val="20"/>
                  <w:u w:val="single"/>
                </w:rPr>
                <w:t>33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0a854aaee8422dbfe3629dd4ba30c0_31">
              <w:r>
                <w:rPr>
                  <w:rStyle w:val="InternetLink"/>
                  <w:rFonts w:ascii="Times New Roman;sans-serif" w:hAnsi="Times New Roman;sans-serif"/>
                  <w:b w:val="false"/>
                  <w:color w:val="0000FF"/>
                  <w:sz w:val="20"/>
                  <w:u w:val="single"/>
                </w:rPr>
                <w:t>Item 3.</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0a854aaee8422dbfe3629dd4ba30c0_31">
              <w:r>
                <w:rPr>
                  <w:rStyle w:val="InternetLink"/>
                  <w:rFonts w:ascii="Times New Roman;sans-serif" w:hAnsi="Times New Roman;sans-serif"/>
                  <w:b w:val="false"/>
                  <w:color w:val="0000FF"/>
                  <w:sz w:val="20"/>
                  <w:u w:val="single"/>
                </w:rPr>
                <w:t>Legal Proceedings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70a854aaee8422dbfe3629dd4ba30c0_31">
              <w:r>
                <w:rPr>
                  <w:rStyle w:val="InternetLink"/>
                  <w:rFonts w:ascii="Times New Roman;sans-serif" w:hAnsi="Times New Roman;sans-serif"/>
                  <w:b w:val="false"/>
                  <w:color w:val="0000FF"/>
                  <w:sz w:val="20"/>
                  <w:u w:val="single"/>
                </w:rPr>
                <w:t>33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0a854aaee8422dbfe3629dd4ba30c0_34">
              <w:r>
                <w:rPr>
                  <w:rStyle w:val="InternetLink"/>
                  <w:rFonts w:ascii="Times New Roman;sans-serif" w:hAnsi="Times New Roman;sans-serif"/>
                  <w:b w:val="false"/>
                  <w:color w:val="0000FF"/>
                  <w:sz w:val="20"/>
                  <w:u w:val="single"/>
                </w:rPr>
                <w:t>Item 4.</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0a854aaee8422dbfe3629dd4ba30c0_34">
              <w:r>
                <w:rPr>
                  <w:rStyle w:val="InternetLink"/>
                  <w:rFonts w:ascii="Times New Roman;sans-serif" w:hAnsi="Times New Roman;sans-serif"/>
                  <w:b w:val="false"/>
                  <w:color w:val="0000FF"/>
                  <w:sz w:val="20"/>
                  <w:u w:val="single"/>
                </w:rPr>
                <w:t>Mine Safety Disclosures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70a854aaee8422dbfe3629dd4ba30c0_34">
              <w:r>
                <w:rPr>
                  <w:rStyle w:val="InternetLink"/>
                  <w:rFonts w:ascii="Times New Roman;sans-serif" w:hAnsi="Times New Roman;sans-serif"/>
                  <w:b w:val="false"/>
                  <w:color w:val="0000FF"/>
                  <w:sz w:val="20"/>
                  <w:u w:val="single"/>
                </w:rPr>
                <w:t>34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0a854aaee8422dbfe3629dd4ba30c0_40">
              <w:r>
                <w:rPr>
                  <w:rStyle w:val="InternetLink"/>
                  <w:rFonts w:ascii="Times New Roman;sans-serif" w:hAnsi="Times New Roman;sans-serif"/>
                  <w:b w:val="false"/>
                  <w:color w:val="0000FF"/>
                  <w:sz w:val="20"/>
                  <w:u w:val="single"/>
                </w:rPr>
                <w:t>Item 5.</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0a854aaee8422dbfe3629dd4ba30c0_40">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70a854aaee8422dbfe3629dd4ba30c0_40">
              <w:r>
                <w:rPr>
                  <w:rStyle w:val="InternetLink"/>
                  <w:rFonts w:ascii="Times New Roman;sans-serif" w:hAnsi="Times New Roman;sans-serif"/>
                  <w:b w:val="false"/>
                  <w:color w:val="0000FF"/>
                  <w:sz w:val="20"/>
                  <w:u w:val="single"/>
                </w:rPr>
                <w:t>35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0a854aaee8422dbfe3629dd4ba30c0_43">
              <w:r>
                <w:rPr>
                  <w:rStyle w:val="InternetLink"/>
                  <w:rFonts w:ascii="Times New Roman;sans-serif" w:hAnsi="Times New Roman;sans-serif"/>
                  <w:b w:val="false"/>
                  <w:color w:val="0000FF"/>
                  <w:sz w:val="20"/>
                  <w:u w:val="single"/>
                </w:rPr>
                <w:t>Item 6.</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0a854aaee8422dbfe3629dd4ba30c0_43">
              <w:r>
                <w:rPr>
                  <w:rStyle w:val="InternetLink"/>
                  <w:rFonts w:ascii="Times New Roman;sans-serif" w:hAnsi="Times New Roman;sans-serif"/>
                  <w:b w:val="false"/>
                  <w:color w:val="0000FF"/>
                  <w:sz w:val="20"/>
                  <w:u w:val="single"/>
                </w:rPr>
                <w:t>Reserved</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70a854aaee8422dbfe3629dd4ba30c0_43">
              <w:r>
                <w:rPr>
                  <w:rStyle w:val="InternetLink"/>
                  <w:rFonts w:ascii="Times New Roman;sans-serif" w:hAnsi="Times New Roman;sans-serif"/>
                  <w:b w:val="false"/>
                  <w:color w:val="0000FF"/>
                  <w:sz w:val="20"/>
                  <w:u w:val="single"/>
                </w:rPr>
                <w:t>37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0a854aaee8422dbfe3629dd4ba30c0_46">
              <w:r>
                <w:rPr>
                  <w:rStyle w:val="InternetLink"/>
                  <w:rFonts w:ascii="Times New Roman;sans-serif" w:hAnsi="Times New Roman;sans-serif"/>
                  <w:b w:val="false"/>
                  <w:color w:val="0000FF"/>
                  <w:sz w:val="20"/>
                  <w:u w:val="single"/>
                </w:rPr>
                <w:t>Item 7.</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0a854aaee8422dbfe3629dd4ba30c0_4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70a854aaee8422dbfe3629dd4ba30c0_46">
              <w:r>
                <w:rPr>
                  <w:rStyle w:val="InternetLink"/>
                  <w:rFonts w:ascii="Times New Roman;sans-serif" w:hAnsi="Times New Roman;sans-serif"/>
                  <w:b w:val="false"/>
                  <w:color w:val="0000FF"/>
                  <w:sz w:val="20"/>
                  <w:u w:val="single"/>
                </w:rPr>
                <w:t>37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0a854aaee8422dbfe3629dd4ba30c0_64">
              <w:r>
                <w:rPr>
                  <w:rStyle w:val="InternetLink"/>
                  <w:rFonts w:ascii="Times New Roman;sans-serif" w:hAnsi="Times New Roman;sans-serif"/>
                  <w:b w:val="false"/>
                  <w:color w:val="0000FF"/>
                  <w:sz w:val="20"/>
                  <w:u w:val="single"/>
                </w:rPr>
                <w:t>Item 7A.</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0a854aaee8422dbfe3629dd4ba30c0_64">
              <w:r>
                <w:rPr>
                  <w:rStyle w:val="InternetLink"/>
                  <w:rFonts w:ascii="Times New Roman;sans-serif" w:hAnsi="Times New Roman;sans-serif"/>
                  <w:b w:val="false"/>
                  <w:color w:val="0000FF"/>
                  <w:sz w:val="20"/>
                  <w:u w:val="single"/>
                </w:rPr>
                <w:t>Quantitative and Qualitative Disclosures About Market Risk</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70a854aaee8422dbfe3629dd4ba30c0_64">
              <w:r>
                <w:rPr>
                  <w:rStyle w:val="InternetLink"/>
                  <w:rFonts w:ascii="Times New Roman;sans-serif" w:hAnsi="Times New Roman;sans-serif"/>
                  <w:b w:val="false"/>
                  <w:color w:val="0000FF"/>
                  <w:sz w:val="20"/>
                  <w:u w:val="single"/>
                </w:rPr>
                <w:t>66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0a854aaee8422dbfe3629dd4ba30c0_67">
              <w:r>
                <w:rPr>
                  <w:rStyle w:val="InternetLink"/>
                  <w:rFonts w:ascii="Times New Roman;sans-serif" w:hAnsi="Times New Roman;sans-serif"/>
                  <w:b w:val="false"/>
                  <w:color w:val="0000FF"/>
                  <w:sz w:val="20"/>
                  <w:u w:val="single"/>
                </w:rPr>
                <w:t>Item 8.</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0a854aaee8422dbfe3629dd4ba30c0_67">
              <w:r>
                <w:rPr>
                  <w:rStyle w:val="InternetLink"/>
                  <w:rFonts w:ascii="Times New Roman;sans-serif" w:hAnsi="Times New Roman;sans-serif"/>
                  <w:b w:val="false"/>
                  <w:color w:val="0000FF"/>
                  <w:sz w:val="20"/>
                  <w:u w:val="single"/>
                </w:rPr>
                <w:t>Financial Statements and Supplementary Data</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70a854aaee8422dbfe3629dd4ba30c0_67">
              <w:r>
                <w:rPr>
                  <w:rStyle w:val="InternetLink"/>
                  <w:rFonts w:ascii="Times New Roman;sans-serif" w:hAnsi="Times New Roman;sans-serif"/>
                  <w:b w:val="false"/>
                  <w:color w:val="0000FF"/>
                  <w:sz w:val="20"/>
                  <w:u w:val="single"/>
                </w:rPr>
                <w:t>68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0a854aaee8422dbfe3629dd4ba30c0_163">
              <w:r>
                <w:rPr>
                  <w:rStyle w:val="InternetLink"/>
                  <w:rFonts w:ascii="Times New Roman;sans-serif" w:hAnsi="Times New Roman;sans-serif"/>
                  <w:b w:val="false"/>
                  <w:color w:val="0000FF"/>
                  <w:sz w:val="20"/>
                  <w:u w:val="single"/>
                </w:rPr>
                <w:t>Item 9.</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0a854aaee8422dbfe3629dd4ba30c0_163">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70a854aaee8422dbfe3629dd4ba30c0_163">
              <w:r>
                <w:rPr>
                  <w:rStyle w:val="InternetLink"/>
                  <w:rFonts w:ascii="Times New Roman;sans-serif" w:hAnsi="Times New Roman;sans-serif"/>
                  <w:b w:val="false"/>
                  <w:color w:val="0000FF"/>
                  <w:sz w:val="20"/>
                  <w:u w:val="single"/>
                </w:rPr>
                <w:t>120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0a854aaee8422dbfe3629dd4ba30c0_166">
              <w:r>
                <w:rPr>
                  <w:rStyle w:val="InternetLink"/>
                  <w:rFonts w:ascii="Times New Roman;sans-serif" w:hAnsi="Times New Roman;sans-serif"/>
                  <w:b w:val="false"/>
                  <w:color w:val="0000FF"/>
                  <w:sz w:val="20"/>
                  <w:u w:val="single"/>
                </w:rPr>
                <w:t>Item 9A.</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0a854aaee8422dbfe3629dd4ba30c0_166">
              <w:r>
                <w:rPr>
                  <w:rStyle w:val="InternetLink"/>
                  <w:rFonts w:ascii="Times New Roman;sans-serif" w:hAnsi="Times New Roman;sans-serif"/>
                  <w:b w:val="false"/>
                  <w:color w:val="0000FF"/>
                  <w:sz w:val="20"/>
                  <w:u w:val="single"/>
                </w:rPr>
                <w:t>Controls and Procedures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70a854aaee8422dbfe3629dd4ba30c0_166">
              <w:r>
                <w:rPr>
                  <w:rStyle w:val="InternetLink"/>
                  <w:rFonts w:ascii="Times New Roman;sans-serif" w:hAnsi="Times New Roman;sans-serif"/>
                  <w:b w:val="false"/>
                  <w:color w:val="0000FF"/>
                  <w:sz w:val="20"/>
                  <w:u w:val="single"/>
                </w:rPr>
                <w:t>120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0a854aaee8422dbfe3629dd4ba30c0_169">
              <w:r>
                <w:rPr>
                  <w:rStyle w:val="InternetLink"/>
                  <w:rFonts w:ascii="Times New Roman;sans-serif" w:hAnsi="Times New Roman;sans-serif"/>
                  <w:b w:val="false"/>
                  <w:color w:val="0000FF"/>
                  <w:sz w:val="20"/>
                  <w:u w:val="single"/>
                </w:rPr>
                <w:t>Item 9B.</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0a854aaee8422dbfe3629dd4ba30c0_169">
              <w:r>
                <w:rPr>
                  <w:rStyle w:val="InternetLink"/>
                  <w:rFonts w:ascii="Times New Roman;sans-serif" w:hAnsi="Times New Roman;sans-serif"/>
                  <w:b w:val="false"/>
                  <w:color w:val="0000FF"/>
                  <w:sz w:val="20"/>
                  <w:u w:val="single"/>
                </w:rPr>
                <w:t>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70a854aaee8422dbfe3629dd4ba30c0_169">
              <w:r>
                <w:rPr>
                  <w:rStyle w:val="InternetLink"/>
                  <w:rFonts w:ascii="Times New Roman;sans-serif" w:hAnsi="Times New Roman;sans-serif"/>
                  <w:b w:val="false"/>
                  <w:color w:val="0000FF"/>
                  <w:sz w:val="20"/>
                  <w:u w:val="single"/>
                </w:rPr>
                <w:t>121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0a854aaee8422dbfe3629dd4ba30c0_172">
              <w:r>
                <w:rPr>
                  <w:rStyle w:val="InternetLink"/>
                  <w:rFonts w:ascii="Times New Roman;sans-serif" w:hAnsi="Times New Roman;sans-serif"/>
                  <w:b w:val="false"/>
                  <w:color w:val="0000FF"/>
                  <w:sz w:val="20"/>
                  <w:u w:val="single"/>
                </w:rPr>
                <w:t>Item 9C.</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0a854aaee8422dbfe3629dd4ba30c0_172">
              <w:r>
                <w:rPr>
                  <w:rStyle w:val="InternetLink"/>
                  <w:rFonts w:ascii="Times New Roman;sans-serif" w:hAnsi="Times New Roman;sans-serif"/>
                  <w:b w:val="false"/>
                  <w:color w:val="0000FF"/>
                  <w:sz w:val="20"/>
                  <w:u w:val="single"/>
                </w:rPr>
                <w:t>Disclosure Regarding Foreign Jurisdictions that Prevent Inspections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70a854aaee8422dbfe3629dd4ba30c0_172">
              <w:r>
                <w:rPr>
                  <w:rStyle w:val="InternetLink"/>
                  <w:rFonts w:ascii="Times New Roman;sans-serif" w:hAnsi="Times New Roman;sans-serif"/>
                  <w:b w:val="false"/>
                  <w:color w:val="0000FF"/>
                  <w:sz w:val="20"/>
                  <w:u w:val="single"/>
                </w:rPr>
                <w:t>121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III</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0a854aaee8422dbfe3629dd4ba30c0_178">
              <w:r>
                <w:rPr>
                  <w:rStyle w:val="InternetLink"/>
                  <w:rFonts w:ascii="Times New Roman;sans-serif" w:hAnsi="Times New Roman;sans-serif"/>
                  <w:b w:val="false"/>
                  <w:color w:val="0000FF"/>
                  <w:sz w:val="20"/>
                  <w:u w:val="single"/>
                </w:rPr>
                <w:t>Item 10.</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0a854aaee8422dbfe3629dd4ba30c0_178">
              <w:r>
                <w:rPr>
                  <w:rStyle w:val="InternetLink"/>
                  <w:rFonts w:ascii="Times New Roman;sans-serif" w:hAnsi="Times New Roman;sans-serif"/>
                  <w:b w:val="false"/>
                  <w:color w:val="0000FF"/>
                  <w:sz w:val="20"/>
                  <w:u w:val="single"/>
                </w:rPr>
                <w:t>Directors, Executive Officers, and Corporate Governance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70a854aaee8422dbfe3629dd4ba30c0_178">
              <w:r>
                <w:rPr>
                  <w:rStyle w:val="InternetLink"/>
                  <w:rFonts w:ascii="Times New Roman;sans-serif" w:hAnsi="Times New Roman;sans-serif"/>
                  <w:b w:val="false"/>
                  <w:color w:val="0000FF"/>
                  <w:sz w:val="20"/>
                  <w:u w:val="single"/>
                </w:rPr>
                <w:t>122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0a854aaee8422dbfe3629dd4ba30c0_181">
              <w:r>
                <w:rPr>
                  <w:rStyle w:val="InternetLink"/>
                  <w:rFonts w:ascii="Times New Roman;sans-serif" w:hAnsi="Times New Roman;sans-serif"/>
                  <w:b w:val="false"/>
                  <w:color w:val="0000FF"/>
                  <w:sz w:val="20"/>
                  <w:u w:val="single"/>
                </w:rPr>
                <w:t>Item 11.</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0a854aaee8422dbfe3629dd4ba30c0_181">
              <w:r>
                <w:rPr>
                  <w:rStyle w:val="InternetLink"/>
                  <w:rFonts w:ascii="Times New Roman;sans-serif" w:hAnsi="Times New Roman;sans-serif"/>
                  <w:b w:val="false"/>
                  <w:color w:val="0000FF"/>
                  <w:sz w:val="20"/>
                  <w:u w:val="single"/>
                </w:rPr>
                <w:t>Executive Compensation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70a854aaee8422dbfe3629dd4ba30c0_181">
              <w:r>
                <w:rPr>
                  <w:rStyle w:val="InternetLink"/>
                  <w:rFonts w:ascii="Times New Roman;sans-serif" w:hAnsi="Times New Roman;sans-serif"/>
                  <w:b w:val="false"/>
                  <w:color w:val="0000FF"/>
                  <w:sz w:val="20"/>
                  <w:u w:val="single"/>
                </w:rPr>
                <w:t>122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0a854aaee8422dbfe3629dd4ba30c0_184">
              <w:r>
                <w:rPr>
                  <w:rStyle w:val="InternetLink"/>
                  <w:rFonts w:ascii="Times New Roman;sans-serif" w:hAnsi="Times New Roman;sans-serif"/>
                  <w:b w:val="false"/>
                  <w:color w:val="0000FF"/>
                  <w:sz w:val="20"/>
                  <w:u w:val="single"/>
                </w:rPr>
                <w:t>Item 12.</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0a854aaee8422dbfe3629dd4ba30c0_184">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70a854aaee8422dbfe3629dd4ba30c0_184">
              <w:r>
                <w:rPr>
                  <w:rStyle w:val="InternetLink"/>
                  <w:rFonts w:ascii="Times New Roman;sans-serif" w:hAnsi="Times New Roman;sans-serif"/>
                  <w:b w:val="false"/>
                  <w:color w:val="0000FF"/>
                  <w:sz w:val="20"/>
                  <w:u w:val="single"/>
                </w:rPr>
                <w:t>122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0a854aaee8422dbfe3629dd4ba30c0_187">
              <w:r>
                <w:rPr>
                  <w:rStyle w:val="InternetLink"/>
                  <w:rFonts w:ascii="Times New Roman;sans-serif" w:hAnsi="Times New Roman;sans-serif"/>
                  <w:b w:val="false"/>
                  <w:color w:val="0000FF"/>
                  <w:sz w:val="20"/>
                  <w:u w:val="single"/>
                </w:rPr>
                <w:t>Item 13.</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0a854aaee8422dbfe3629dd4ba30c0_187">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70a854aaee8422dbfe3629dd4ba30c0_187">
              <w:r>
                <w:rPr>
                  <w:rStyle w:val="InternetLink"/>
                  <w:rFonts w:ascii="Times New Roman;sans-serif" w:hAnsi="Times New Roman;sans-serif"/>
                  <w:b w:val="false"/>
                  <w:color w:val="0000FF"/>
                  <w:sz w:val="20"/>
                  <w:u w:val="single"/>
                </w:rPr>
                <w:t>122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0a854aaee8422dbfe3629dd4ba30c0_190">
              <w:r>
                <w:rPr>
                  <w:rStyle w:val="InternetLink"/>
                  <w:rFonts w:ascii="Times New Roman;sans-serif" w:hAnsi="Times New Roman;sans-serif"/>
                  <w:b w:val="false"/>
                  <w:color w:val="0000FF"/>
                  <w:sz w:val="20"/>
                  <w:u w:val="single"/>
                </w:rPr>
                <w:t>Item 14.</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0a854aaee8422dbfe3629dd4ba30c0_190">
              <w:r>
                <w:rPr>
                  <w:rStyle w:val="InternetLink"/>
                  <w:rFonts w:ascii="Times New Roman;sans-serif" w:hAnsi="Times New Roman;sans-serif"/>
                  <w:b w:val="false"/>
                  <w:color w:val="0000FF"/>
                  <w:sz w:val="20"/>
                  <w:u w:val="single"/>
                </w:rPr>
                <w:t>Principal Accountant Fees and Services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70a854aaee8422dbfe3629dd4ba30c0_190">
              <w:r>
                <w:rPr>
                  <w:rStyle w:val="InternetLink"/>
                  <w:rFonts w:ascii="Times New Roman;sans-serif" w:hAnsi="Times New Roman;sans-serif"/>
                  <w:b w:val="false"/>
                  <w:color w:val="0000FF"/>
                  <w:sz w:val="20"/>
                  <w:u w:val="single"/>
                </w:rPr>
                <w:t>122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IV</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0a854aaee8422dbfe3629dd4ba30c0_196">
              <w:r>
                <w:rPr>
                  <w:rStyle w:val="InternetLink"/>
                  <w:rFonts w:ascii="Times New Roman;sans-serif" w:hAnsi="Times New Roman;sans-serif"/>
                  <w:b w:val="false"/>
                  <w:color w:val="0000FF"/>
                  <w:sz w:val="20"/>
                  <w:u w:val="single"/>
                </w:rPr>
                <w:t>Item 15.</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0a854aaee8422dbfe3629dd4ba30c0_196">
              <w:r>
                <w:rPr>
                  <w:rStyle w:val="InternetLink"/>
                  <w:rFonts w:ascii="Times New Roman;sans-serif" w:hAnsi="Times New Roman;sans-serif"/>
                  <w:b w:val="false"/>
                  <w:color w:val="000080"/>
                  <w:sz w:val="20"/>
                  <w:u w:val="single"/>
                </w:rPr>
                <w:t>Exhibits</w:t>
              </w:r>
            </w:hyperlink>
            <w:hyperlink w:anchor="i970a854aaee8422dbfe3629dd4ba30c0_196">
              <w:r>
                <w:rPr>
                  <w:rStyle w:val="InternetLink"/>
                  <w:rFonts w:ascii="Times New Roman;sans-serif" w:hAnsi="Times New Roman;sans-serif"/>
                  <w:b w:val="false"/>
                  <w:color w:val="000080"/>
                  <w:sz w:val="20"/>
                  <w:u w:val="single"/>
                </w:rPr>
                <w:t xml:space="preserve"> and</w:t>
              </w:r>
            </w:hyperlink>
            <w:hyperlink w:anchor="i970a854aaee8422dbfe3629dd4ba30c0_196">
              <w:r>
                <w:rPr>
                  <w:rStyle w:val="InternetLink"/>
                  <w:rFonts w:ascii="Times New Roman;sans-serif" w:hAnsi="Times New Roman;sans-serif"/>
                  <w:b w:val="false"/>
                  <w:color w:val="000080"/>
                  <w:sz w:val="20"/>
                  <w:u w:val="single"/>
                </w:rPr>
                <w:t xml:space="preserve"> </w:t>
              </w:r>
            </w:hyperlink>
            <w:hyperlink w:anchor="i970a854aaee8422dbfe3629dd4ba30c0_196">
              <w:r>
                <w:rPr>
                  <w:rStyle w:val="InternetLink"/>
                  <w:rFonts w:ascii="Times New Roman;sans-serif" w:hAnsi="Times New Roman;sans-serif"/>
                  <w:b w:val="false"/>
                  <w:color w:val="000080"/>
                  <w:sz w:val="20"/>
                  <w:u w:val="single"/>
                </w:rPr>
                <w:t>Financial Statement Schedules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70a854aaee8422dbfe3629dd4ba30c0_196">
              <w:r>
                <w:rPr>
                  <w:rStyle w:val="InternetLink"/>
                  <w:rFonts w:ascii="Times New Roman;sans-serif" w:hAnsi="Times New Roman;sans-serif"/>
                  <w:b w:val="false"/>
                  <w:color w:val="0000FF"/>
                  <w:sz w:val="20"/>
                  <w:u w:val="single"/>
                </w:rPr>
                <w:t>123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0a854aaee8422dbfe3629dd4ba30c0_199">
              <w:r>
                <w:rPr>
                  <w:rStyle w:val="InternetLink"/>
                  <w:rFonts w:ascii="Times New Roman;sans-serif" w:hAnsi="Times New Roman;sans-serif"/>
                  <w:b w:val="false"/>
                  <w:color w:val="0000FF"/>
                  <w:sz w:val="20"/>
                  <w:u w:val="single"/>
                </w:rPr>
                <w:t>Item 16.</w:t>
              </w:r>
            </w:hyperlink>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0a854aaee8422dbfe3629dd4ba30c0_199">
              <w:r>
                <w:rPr>
                  <w:rStyle w:val="InternetLink"/>
                  <w:rFonts w:ascii="Times New Roman;sans-serif" w:hAnsi="Times New Roman;sans-serif"/>
                  <w:b w:val="false"/>
                  <w:color w:val="0000FF"/>
                  <w:sz w:val="20"/>
                  <w:u w:val="single"/>
                </w:rPr>
                <w:t>Form 10-K Summary</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70a854aaee8422dbfe3629dd4ba30c0_199">
              <w:r>
                <w:rPr>
                  <w:rStyle w:val="InternetLink"/>
                  <w:rFonts w:ascii="Times New Roman;sans-serif" w:hAnsi="Times New Roman;sans-serif"/>
                  <w:b w:val="false"/>
                  <w:color w:val="0000FF"/>
                  <w:sz w:val="20"/>
                  <w:u w:val="single"/>
                </w:rPr>
                <w:t>127</w:t>
              </w:r>
            </w:hyperlink>
          </w:p>
        </w:tc>
      </w:tr>
      <w:tr>
        <w:trPr/>
        <w:tc>
          <w:tcPr>
            <w:tcW w:w="969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970a854aaee8422dbfe3629dd4ba30c0_202">
              <w:r>
                <w:rPr>
                  <w:rStyle w:val="InternetLink"/>
                  <w:rFonts w:ascii="Times New Roman;sans-serif" w:hAnsi="Times New Roman;sans-serif"/>
                  <w:b w:val="false"/>
                  <w:color w:val="0000FF"/>
                  <w:sz w:val="20"/>
                  <w:u w:val="single"/>
                </w:rPr>
                <w:t>SIGNATURES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70a854aaee8422dbfe3629dd4ba30c0_202">
              <w:r>
                <w:rPr>
                  <w:rStyle w:val="InternetLink"/>
                  <w:rFonts w:ascii="Times New Roman;sans-serif" w:hAnsi="Times New Roman;sans-serif"/>
                  <w:b w:val="false"/>
                  <w:color w:val="0000FF"/>
                  <w:sz w:val="20"/>
                  <w:u w:val="single"/>
                </w:rPr>
                <w:t>128</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PART 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Forward-Looking Information </w:t>
      </w:r>
    </w:p>
    <w:p>
      <w:pPr>
        <w:pStyle w:val="TextBody"/>
        <w:bidi w:val="0"/>
        <w:spacing w:lineRule="auto" w:line="288" w:before="0" w:after="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Certain of the discussions and information included or incorporated by reference in this report may constitute "forward-looking statements" within the meaning of the federal securities laws. Forward-looking statements are statements that are not historical in nature and may include statements relating to our goals, plans and projections regarding industry and general economic trends, our expected financial position, results of operations or market position and our business strategy. Such statements can generally be identified by words such as "may," "target," "could," "would," "will," "should," "believe," "expect," "anticipate," "plan," "intend," "foresee," and other similar words or phrases. Forward-looking statements may also relate to our expectations and assumptions with respect to, among other things:</w:t>
      </w:r>
    </w:p>
    <w:p>
      <w:pPr>
        <w:pStyle w:val="TextBody"/>
        <w:bidi w:val="0"/>
        <w:spacing w:before="0" w:after="0"/>
        <w:ind w:left="0" w:right="0" w:firstLine="315"/>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the seasonally adjusted annual rate of new vehicle sales in the United States;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general economic conditions and its expected impact on our revenue and expenses;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our expected parts and service revenue due to, among other things, improvements in vehicle technology;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our ability to limit our exposure to regional economic downturns due to our geographic diversity and brand mix;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manufacturers' continued use of incentive programs to drive demand for their product offerings;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capital allocation strategy, including as it relates to acquisitions and divestitures, stock repurchases and capital expenditures;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revenue growth strategy;</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growth of the brands that comprise our portfolio over the long-term;</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disruptions in the production and supply of vehicles and parts from our vehicle and parts manufacturers and other suppliers, which can disrupt our operations; and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estimated future capital expenditures, which can be impacted by increasing prices and labor shortages and acquisitions and divestitures.</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involve known and unknown risks, uncertainties and other factors that may cause our actual future results, performance or achievements to be materially different from any future results, performance, or achievements expressed or implied by the forward-looking statements. Such factors include, but are not limited to:</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ability to acquire and successfully integrate acquired businesses into our existing operations and realize expected benefits and synergies from such acquisitions;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effects of increased expenses or unanticipated liabilities incurred as a result of, or due to activities related to our acquisitions or divestitures;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changes in general economic and business conditions, including the current inflationary environment, the current interest rate environment, changes in U.S. trade policy, including the imposition of tariffs, changes in employment levels, consumer confidence levels, consumer demand and preferences, the availability and cost of credit, fuel prices and levels of discretionary personal income;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our ability to generate sufficient cash flows, maintain our liquidity and obtain any necessary additional funds for working capital, capital expenditures, acquisitions, stock repurchases, debt maturity payments and other corporate purposes, if necessary or desirable;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significant disruptions in the production and delivery of vehicles and parts for any reason, including supply shortages, the ongoing conflict in Russia and Ukraine, including any government sanctions imposed in connection therewith, natural disasters, severe weather, civil unrest, product recalls, work stoppages or other occurrences that are outside of our control;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our ability to successfully attract and retain skilled employees;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ability to successfully operate, including our ability to maintain, and obtain future necessary regulatory approvals, for Total Care Auto, Powered by Landcar ("TCA"), our finance and insurance ("F&amp;I ") product provider;</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adverse conditions affecting the vehicle manufacturers whose brands we sell, and their ability to design, manufacture, deliver and market their vehicles successfully;</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changes in the mix and total number of vehicles we are able to sell;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our outstanding indebtedness and our continued ability to comply with applicable covenants in our various financing and lease agreements, or to obtain waivers of these covenants as necessary;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high levels of competition in our industry, which may create pricing and margin pressures on our products and services;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our relationships with manufacturers of the vehicles we sell and our ability to renew, and enter into new framework and dealer agreements with vehicle manufacturers whose brands we sell, on terms acceptable to us;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availability of manufacturer incentive programs and our ability to earn these incentives;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failure of our, or those of our third-party service providers, management information systems and our ability to successfully transition between key information systems, including dealer management systems;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any data security breaches occurring, including with regard to personally identifiable information ("PII");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changes in laws and regulations governing the operation of automobile franchises, including trade restrictions, consumer protections, accounting standards, taxation requirements and environmental laws;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changes in, or the imposition of, new tariffs or trade restrictions on imported vehicles or parts;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adverse results from litigation, regulatory investigations or other similar proceedings involving us, including costs, expenses, settlements and judgments related thereto;</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our ability to consummate planned or pending mergers, acquisitions and dispositions;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any disruptions in the financial markets, which may impact our ability to access capital;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relationships with, and the financial stability of, our lenders and lessors;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our ability to execute our initiatives and other strategies;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ability to leverage scale and cost structure to improve operating efficiencies across our dealership portfolio; and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ability to remediate material weakness and the ongoing effectiveness of internal control over financial reporting.</w:t>
      </w:r>
    </w:p>
    <w:p>
      <w:pPr>
        <w:pStyle w:val="TextBody"/>
        <w:bidi w:val="0"/>
        <w:spacing w:before="0" w:after="0"/>
        <w:jc w:val="left"/>
        <w:rPr/>
      </w:pPr>
      <w:r>
        <w:rPr/>
      </w:r>
    </w:p>
    <w:p>
      <w:pPr>
        <w:pStyle w:val="TextBody"/>
        <w:bidi w:val="0"/>
        <w:spacing w:lineRule="auto" w:line="276"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Many of these factors are beyond our ability to control or predict, and their ultimate impact could be material. Moreover, the factors set forth under "Item 1A. Risk Factors" and "Item 7. Management's Discussion and Analysis of Financial Condition and Results of Operations" below and other cautionary statements made in this report should be read and considered as forward-looking statements subject to such uncertainties. We urge you to carefully consider those factors.</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speak only as of the date of this report. We expressly disclaim any obligation to update any forward-looking statement contained herein.</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Additional Information</w:t>
      </w:r>
    </w:p>
    <w:p>
      <w:pPr>
        <w:pStyle w:val="TextBody"/>
        <w:bidi w:val="0"/>
        <w:spacing w:lineRule="auto" w:line="288" w:before="0" w:after="180"/>
        <w:ind w:left="0" w:right="0" w:firstLine="315"/>
        <w:jc w:val="left"/>
        <w:rPr/>
      </w:pPr>
      <w:r>
        <w:rPr>
          <w:rFonts w:ascii="Times New Roman;sans-serif" w:hAnsi="Times New Roman;sans-serif"/>
          <w:b w:val="false"/>
          <w:color w:val="000000"/>
          <w:sz w:val="20"/>
        </w:rPr>
        <w:t xml:space="preserve">Our annual reports on Form 10-K, quarterly reports on Form 10-Q, current reports on Form 8-K, and any amendments to such reports filed pursuant to Section 13(a) or 15(d) of the Securities Exchange Act of 1934, are made available free of charge on our website at </w:t>
      </w:r>
      <w:r>
        <w:rPr>
          <w:rFonts w:ascii="Times New Roman;sans-serif" w:hAnsi="Times New Roman;sans-serif"/>
          <w:b w:val="false"/>
          <w:i/>
          <w:color w:val="000000"/>
          <w:sz w:val="20"/>
        </w:rPr>
        <w:t>http://www.asburyauto.com</w:t>
      </w:r>
      <w:r>
        <w:rPr>
          <w:color w:val="000000"/>
        </w:rPr>
        <w:t xml:space="preserve"> </w:t>
      </w:r>
      <w:r>
        <w:rPr>
          <w:rFonts w:ascii="Times New Roman;sans-serif" w:hAnsi="Times New Roman;sans-serif"/>
          <w:b w:val="false"/>
          <w:color w:val="000000"/>
          <w:sz w:val="20"/>
        </w:rPr>
        <w:t>as soon as practical after such reports are filed with the U.S. Securities and Exchange Commission (the "Commission"). In addition, the proxy statement that will be delivered to our stockholders in connection with our 2025 Annual Meeting of Stockholders, when filed, will also be available on our website, and at the URL stated in such proxy statement. We also make available on our website copies of our certificate of incorporation, bylaws, and other materials that outline our corporate governance policies and practices, including:</w:t>
      </w:r>
      <w:r>
        <w:rPr>
          <w:color w:val="000000"/>
        </w:rPr>
        <w:t>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respective charters of our audit committee, governance and nominating committee, compensation and human resources committee, and capital allocation and risk management committee;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criteria for independence of the members of our Board of Directors, audit committee, and compensation and human resources committee;</w:t>
      </w:r>
    </w:p>
    <w:p>
      <w:pPr>
        <w:pStyle w:val="TextBody"/>
        <w:bidi w:val="0"/>
        <w:spacing w:lineRule="auto" w:line="288" w:before="0" w:after="120"/>
        <w:ind w:left="0" w:right="0" w:hanging="360"/>
        <w:jc w:val="left"/>
        <w:rPr/>
      </w:pPr>
      <w:r>
        <w:rPr>
          <w:color w:val="000000"/>
        </w:rPr>
        <w:t>• </w:t>
      </w:r>
      <w:r>
        <w:rPr>
          <w:rFonts w:ascii="Times New Roman;sans-serif" w:hAnsi="Times New Roman;sans-serif"/>
          <w:b w:val="false"/>
          <w:color w:val="000000"/>
          <w:sz w:val="20"/>
        </w:rPr>
        <w:t>our Corporate Governance Guidelines; and</w:t>
      </w:r>
    </w:p>
    <w:p>
      <w:pPr>
        <w:pStyle w:val="TextBody"/>
        <w:bidi w:val="0"/>
        <w:spacing w:lineRule="auto" w:line="288" w:before="0" w:after="180"/>
        <w:ind w:left="0" w:right="0" w:hanging="360"/>
        <w:jc w:val="left"/>
        <w:rPr/>
      </w:pPr>
      <w:r>
        <w:rPr>
          <w:color w:val="000000"/>
        </w:rPr>
        <w:t>• </w:t>
      </w:r>
      <w:r>
        <w:rPr>
          <w:rFonts w:ascii="Times New Roman;sans-serif" w:hAnsi="Times New Roman;sans-serif"/>
          <w:b w:val="false"/>
          <w:color w:val="000000"/>
          <w:sz w:val="20"/>
        </w:rPr>
        <w:t>our Code of Business Conduct and Ethics for Directors, Officers, and Employees.</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provide any information required by Item 5.05 of Form 8-K (relating to amendments or waivers of our Code of Business Conduct and Ethics for Directors, Officers, and Employees) by disclosure on our website.</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You may also obtain a printed copy of the foregoing materials by sending a written request to: Investor Relations Department, Asbury Automotive Group, Inc., 2905 Premiere Parkway, NW, Suite 300, Duluth, Georgia 30097. In addition,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left"/>
        <w:rPr/>
      </w:pPr>
      <w:r>
        <w:rPr>
          <w:rFonts w:ascii="Times New Roman;sans-serif" w:hAnsi="Times New Roman;sans-serif"/>
          <w:b w:val="false"/>
          <w:color w:val="000000"/>
          <w:sz w:val="20"/>
        </w:rPr>
        <w:t xml:space="preserve">Commission makes available on its website, free of charge, reports, proxy and information statements, and other information regarding issuers, such as us, that file electronically with the Commission. The Commission's website is </w:t>
      </w:r>
      <w:r>
        <w:rPr>
          <w:rFonts w:ascii="Times New Roman;sans-serif" w:hAnsi="Times New Roman;sans-serif"/>
          <w:b w:val="false"/>
          <w:i/>
          <w:color w:val="000000"/>
          <w:sz w:val="20"/>
        </w:rPr>
        <w:t>http://www.sec.gov</w:t>
      </w:r>
      <w:r>
        <w:rPr>
          <w:rFonts w:ascii="Times New Roman;sans-serif" w:hAnsi="Times New Roman;sans-serif"/>
          <w:b w:val="false"/>
          <w:color w:val="000000"/>
          <w:sz w:val="20"/>
        </w:rPr>
        <w:t>. Unless otherwise specified, information contained on our website, available by hyperlink from our website or on the Commission's website, is not incorporated into this report or other documents we file with, or furnish to, the Commission.</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Except as the context otherwise requires, "we," "our," "us," "Asbury," and the "Company" refer to Asbury Automotive Group, Inc. and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6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Group, Inc., a Delaware corporation organized in 2002, is a Fortune 500 company and one of the largest franchised automotive retailers in the United States. Our mission and vision is to put the guest experience first and follow our "North Star" to be the most guest-centric automotive retailer in the industry. We follow three key principles to guide us: (1) have a fun, supportive and inclusive culture where team members thrive personally while building meaningful bonds with one another; (2) be great brand ambassadors and exceptional stewards of capital for our partners who fuel our mission; and (3) be caring professionals who strive to delight our guests and foster love for the brand. Our strong organizational culture and purposeful mission allow us to continuously deliver best-in-class experiences to our guests. As of December 31, 2024, we owned and operated 198 new vehicle franchises, representing 31 brands of automobiles at 152 dealership locations, 37 collision centers, and Total Care Auto, Powered by Landcar ("TCA" or "TCA Business"), our finance and insurance ("F&amp;I") product provider, within 14 states. Our store operations are conducted by our subsidiaries and the Company operates in two reportable segments, the Dealerships and TCA segments.</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offer an extensive range of automotive products and services fulfilling the entire vehicle ownership lifecycle including new and used vehicles, parts and service, which includes vehicle repair and maintenance services, replacement parts and collision repair services (collectively referred to as "parts and services" or "P&amp;S"), and F&amp;I products, including arranging vehicle financing through third parties and aftermarket products, such as extended service contracts, guaranteed asset protection ("GAP") debt cancellation and prepaid maintenance. We strive for a diversified mix of products, services, brands and geographic locations which allows us to reduce our reliance on any one manufacturer, minimize the impact from changes in customer preference and maintain profitability across fluctuations in new vehicle sales. Our diverse revenue base, along with our commitment to operational excellence across our dealership portfolio, provides a resilient business model and strong profit margins. </w:t>
      </w:r>
    </w:p>
    <w:p>
      <w:pPr>
        <w:pStyle w:val="TextBody"/>
        <w:bidi w:val="0"/>
        <w:spacing w:lineRule="auto" w:line="288" w:before="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omni-channel platform is designed to engage with customers where and when they want to interact and to increase our market share through digital innovation. We are focused on providing a high level of customer service and have designed our dealerships’ services to meet the increasingly sophisticated needs of customers throughout the vehicle ownership lifecycle. Our digital capabilities further enhance our physical dealership network and drive additional revenue. Our ability to provide a low friction experience across our omni-channel platform drives customer satisfaction and repeat business across our dealership portfolio.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Acquisitions </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14, 2025, the Company, through one of its subsidiaries, entered into a Purchase and Sale Agreement (the "Transaction Agreement") with various entities that comprise the Herb Chambers automotive group (the "Herb Chambers Dealerships"). Pursuant to the Transaction Agreement, the Company is expected to acquire substantially all of the assets, including all real property and businesses, of the Herb Chambers Dealerships (collectively, the "Businesses") for an aggregate purchase price of approximately $1.34 billion, which includes $750 million for goodwill and approximately $590 million for the real estate and leasehold improvements. In addition, the Company will acquire new vehicles, used vehicles, service loaner vehicles, fixed assets, parts and supplies for a purchase price to be determined at the closing (the "Closing") of the transactions set forth in the Transaction Agreement and will reimburse the Herb Chambers Dealerships for certain dealership construction and development costs incurred prior to the Closing. The Businesses include 33 dealerships, 52 franchises and three collision centers. Herb Chambers will retain ownership of the Mercedes-Benz of Boston dealership in Somerville, Massachusetts (the "MB Boston Dealership"). The Transaction Agreement includes certain restrictions and obligations regarding the sale of the MB Boston Dealership, including a put right obligating the Company to purchase the MB Boston Dealership during the five-year period following the Closing, absent certain circumstances. </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Closing is subject to various customary closing conditions, including (i) receipt of approval of the transactions by certain automotive manufacturers, (ii) receipt of certain governmental clearances, including the expiration or termination of the waiting period under the Hart-Scott-Rodino Antitrust Improvements Act of 1976, as amended, (iii) the continued accuracy of the representations and warranties of the parties, (iv) the assignment of certain leases and key contracts and (v) the absence of a material adverse effect. The Transaction Agreement also contains certain termination rights. The Herb Chambers Dealerships may, in some circumstances of termination, be required to pay us a termination fee of $100 million, and in other circumstances of termination, be entitled to receive certain earnest money. The Closing is anticipated to occur in the second quarter of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Some but not all of the factors that could cause actual results or events to differ materially from those anticipated are set forth at "Item 1A. Risk Factors" in this Form 10-K.</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acquisitions during the years ended December 31, 2024 and 2022.</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11, 2023, the Company completed the acquisition of the business of the Jim Koons ("Koons") Automotive Companies, (collectively, the "Koons acquisition"), thereby acquiring 20 new vehicle dealerships, six collision centers and the real property related thereto for an aggregate purchase price of approximately $1.50 billion, which includes $256.1 million of new vehicle floor plan financing and $100.9 million of assets held for sale related to Koons Lexus of Wilmington. The acquisition was funded with borrowings under Asbury’s existing credit facility and cash on hand. The Koons acquisition diversified Asbury's geographic mix, with expansion in the greater Washington-Baltimore region of the United States. </w:t>
      </w: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Divestitures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we sold 1 Lexus franchise (1 dealership location) in Wilmington, Delaware due to OEM requirements in connection with the Koons acquisition, 1 Nissan franchise (1 dealership location) in Denver, Colorado, 1 Nissan franchise (1 dealership location) in Atlanta, Georgia, 1 Chevrolet franchise (1 dealership location) in Atlanta, Georgia and 1 Honda franchise (1 dealership location) in Spokane, Washington. The Company recorded a pre-tax gain totaling $8.6 million, which is presented in our accompanying consolidated statements of income as a gain on dealership divestitures, net.</w:t>
      </w:r>
    </w:p>
    <w:p>
      <w:pPr>
        <w:pStyle w:val="TextBody"/>
        <w:bidi w:val="0"/>
        <w:spacing w:lineRule="auto" w:line="288" w:before="18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we sold 1 franchise (1 dealership location) in Austin, Texas. The Company recorded a pre-tax gain totaling $13.5 million.</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we sold one franchise (one dealership location) in St. Louis, Missouri, three franchises (three dealership locations) and one collision center in Denver, Colorado, two franchises (two dealership locations) in Spokane, Washington, one franchise (one dealership location) in Albuquerque, New Mexico and 11 franchises (nine dealership locations) and two collision centers in North Carolina. The Company recorded a pre-tax gain totaling $207.1 million.</w:t>
      </w: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Four Key Components of Our Business</w:t>
      </w:r>
    </w:p>
    <w:p>
      <w:pPr>
        <w:pStyle w:val="TextBody"/>
        <w:bidi w:val="0"/>
        <w:spacing w:lineRule="auto" w:line="288" w:before="180" w:after="283"/>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chart presents the contribution to total revenue and gross profit by each line of business for the year ended December 31, 2024:</w:t>
      </w:r>
    </w:p>
    <w:p>
      <w:pPr>
        <w:pStyle w:val="TextBody"/>
        <w:bidi w:val="0"/>
        <w:spacing w:before="180" w:after="283"/>
        <w:ind w:left="0" w:right="0" w:firstLine="270"/>
        <w:jc w:val="left"/>
        <w:rPr/>
      </w:pPr>
      <w:r>
        <w:rPr/>
      </w:r>
    </w:p>
    <w:p>
      <w:pPr>
        <w:pStyle w:val="TextBody"/>
        <w:bidi w:val="0"/>
        <w:spacing w:before="180" w:after="283"/>
        <w:ind w:left="0" w:right="0" w:firstLine="270"/>
        <w:jc w:val="left"/>
        <w:rPr/>
      </w:pPr>
      <w:r>
        <w:rPr/>
        <w:drawing>
          <wp:inline distT="0" distB="0" distL="0" distR="0">
            <wp:extent cx="6343650" cy="360997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6343650" cy="3609975"/>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Our new vehicle franchise retail network within our Dealerships segment is made up of dealerships located in 14 states operating primarily under 16 locally branded dealership groups. The following chart provides a detailed breakdown of our states, brand names, and franchises as of December 31, 2024:</w:t>
      </w:r>
    </w:p>
    <w:tbl>
      <w:tblPr>
        <w:tblW w:w="10205" w:type="dxa"/>
        <w:jc w:val="left"/>
        <w:tblInd w:w="0" w:type="dxa"/>
        <w:tblLayout w:type="fixed"/>
        <w:tblCellMar>
          <w:top w:w="28" w:type="dxa"/>
          <w:left w:w="28" w:type="dxa"/>
          <w:bottom w:w="28" w:type="dxa"/>
          <w:right w:w="28" w:type="dxa"/>
        </w:tblCellMar>
      </w:tblPr>
      <w:tblGrid>
        <w:gridCol w:w="1248"/>
        <w:gridCol w:w="1098"/>
        <w:gridCol w:w="1099"/>
        <w:gridCol w:w="109"/>
        <w:gridCol w:w="109"/>
        <w:gridCol w:w="109"/>
        <w:gridCol w:w="411"/>
        <w:gridCol w:w="344"/>
        <w:gridCol w:w="354"/>
        <w:gridCol w:w="109"/>
        <w:gridCol w:w="109"/>
        <w:gridCol w:w="109"/>
        <w:gridCol w:w="1562"/>
        <w:gridCol w:w="1420"/>
        <w:gridCol w:w="2015"/>
      </w:tblGrid>
      <w:tr>
        <w:trPr/>
        <w:tc>
          <w:tcPr>
            <w:tcW w:w="124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r>
      <w:tr>
        <w:trPr/>
        <w:tc>
          <w:tcPr>
            <w:tcW w:w="3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Dealership Group Brand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Franchise</w:t>
            </w:r>
          </w:p>
        </w:tc>
      </w:tr>
      <w:tr>
        <w:trPr/>
        <w:tc>
          <w:tcPr>
            <w:tcW w:w="3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Coggin Automotive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Acura, BMW, Buick, Chevrolet, Ford(a), GMC, Honda(d), Hyundai, Mercedes-Benz, Nissan(a), Toyota</w:t>
            </w:r>
          </w:p>
        </w:tc>
      </w:tr>
      <w:tr>
        <w:trPr/>
        <w:tc>
          <w:tcPr>
            <w:tcW w:w="3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Courtesy Autogroup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Chrysler, Dodge Ram, Honda, Hyundai, Infiniti, Jeep, Kia, Mercedes-Benz, Nissan, Sprinter, Toyota</w:t>
            </w:r>
          </w:p>
        </w:tc>
      </w:tr>
      <w:tr>
        <w:trPr/>
        <w:tc>
          <w:tcPr>
            <w:tcW w:w="3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Automotive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Nissan</w:t>
            </w:r>
          </w:p>
        </w:tc>
      </w:tr>
      <w:tr>
        <w:trPr/>
        <w:tc>
          <w:tcPr>
            <w:tcW w:w="3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Acura, BMW(a), MINI</w:t>
            </w:r>
          </w:p>
        </w:tc>
      </w:tr>
      <w:tr>
        <w:trPr/>
        <w:tc>
          <w:tcPr>
            <w:tcW w:w="3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McDavid Auto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Ford, Honda(a), Lincoln</w:t>
            </w:r>
          </w:p>
        </w:tc>
      </w:tr>
      <w:tr>
        <w:trPr/>
        <w:tc>
          <w:tcPr>
            <w:tcW w:w="3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Greenville Automotive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Rover, Porsche, Toyota, Volvo</w:t>
            </w:r>
          </w:p>
        </w:tc>
      </w:tr>
      <w:tr>
        <w:trPr/>
        <w:tc>
          <w:tcPr>
            <w:tcW w:w="3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Hare, Bill Estes &amp; Kahlo Automotive Groups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Chevrolet(b), Chrysler(a), Dodge Ram(a), Ford, GMC, Honda, Isuzu, Jeep(a), Toyota</w:t>
            </w:r>
          </w:p>
        </w:tc>
      </w:tr>
      <w:tr>
        <w:trPr/>
        <w:tc>
          <w:tcPr>
            <w:tcW w:w="3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Jim Koons Automotive Companies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Chevrolet(a), Ford, GMC, Kia, Mercedes-Benz, Sprinter, Toyota(b), Volvo</w:t>
            </w:r>
          </w:p>
        </w:tc>
      </w:tr>
      <w:tr>
        <w:trPr/>
        <w:tc>
          <w:tcPr>
            <w:tcW w:w="3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Virginia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Buick, Chevrolet, Chrysler, Dodge Ram, Ford(b), GMC(a), Hyundai, Jeep, Kia, Toyota(a)</w:t>
            </w:r>
          </w:p>
        </w:tc>
      </w:tr>
      <w:tr>
        <w:trPr/>
        <w:tc>
          <w:tcPr>
            <w:tcW w:w="3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Larry H. Miller Dealerships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Arizona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Chrysler(b), Dodge Ram(c), Fiat, Ford, Genesis, Hyundai, Jeep(b), Nissan, Toyota, Volkswagen(a)</w:t>
            </w:r>
          </w:p>
        </w:tc>
      </w:tr>
      <w:tr>
        <w:trPr/>
        <w:tc>
          <w:tcPr>
            <w:tcW w:w="3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Toyota(a)</w:t>
            </w:r>
          </w:p>
        </w:tc>
      </w:tr>
      <w:tr>
        <w:trPr/>
        <w:tc>
          <w:tcPr>
            <w:tcW w:w="3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Chrysler(a), Dodge Ram(b), Fiat, Ford, Jeep(a), Nissan, Volkswagen</w:t>
            </w:r>
          </w:p>
        </w:tc>
      </w:tr>
      <w:tr>
        <w:trPr/>
        <w:tc>
          <w:tcPr>
            <w:tcW w:w="3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Idaho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Chrysler, Dodge Ram, Honda, Jeep, Subaru</w:t>
            </w:r>
          </w:p>
        </w:tc>
      </w:tr>
      <w:tr>
        <w:trPr/>
        <w:tc>
          <w:tcPr>
            <w:tcW w:w="3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Mexico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Chevrolet, Chrysler(a), Dodge Ram, Hyundai(a), Jeep(a), Toyota</w:t>
            </w:r>
          </w:p>
        </w:tc>
      </w:tr>
      <w:tr>
        <w:trPr/>
        <w:tc>
          <w:tcPr>
            <w:tcW w:w="3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Utah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Chevrolet(a), Chrysler(c), Dodge Ram(c), Ford(b), Honda, Jeep(c), Lexus(a), Lincoln, Mercedes-Benz, Toyota, Sprinter</w:t>
            </w:r>
          </w:p>
        </w:tc>
      </w:tr>
      <w:tr>
        <w:trPr/>
        <w:tc>
          <w:tcPr>
            <w:tcW w:w="3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Mike Shaw, Stevinson &amp; Arapahoe Automotive Groups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Subaru(a), Chevrolet, Chrysler, Dodge Ram, Hyundai(a), Jaguar, Jeep, Lexus(a), Porsche, Toyota(a)</w:t>
            </w:r>
          </w:p>
        </w:tc>
      </w:tr>
      <w:tr>
        <w:trPr/>
        <w:tc>
          <w:tcPr>
            <w:tcW w:w="3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Nalley Automotive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Acura, Audi, Bentley, BMW, Honda, Hyundai, Infiniti(a), Kia, Lexus(a), Toyota(b), Volkswagen</w:t>
            </w:r>
          </w:p>
        </w:tc>
      </w:tr>
      <w:tr>
        <w:trPr/>
        <w:tc>
          <w:tcPr>
            <w:tcW w:w="3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Park Place Automotive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Acura, Lexus(a), Land Rover, Mercedes-Benz(b), Porsche, Volvo, Sprinter(b)</w:t>
            </w:r>
          </w:p>
        </w:tc>
      </w:tr>
      <w:tr>
        <w:trPr/>
        <w:tc>
          <w:tcPr>
            <w:tcW w:w="3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Plaza Motor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Missouri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 BMW, Infiniti, Land Rover, Mercedes-Benz(a), Sprinter(a)</w:t>
            </w:r>
          </w:p>
        </w:tc>
      </w:tr>
    </w:tbl>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bidi w:val="0"/>
        <w:spacing w:lineRule="auto" w:line="288" w:before="60" w:after="40"/>
        <w:ind w:left="0" w:right="0" w:hanging="810"/>
        <w:jc w:val="left"/>
        <w:rPr>
          <w:rFonts w:ascii="Times New Roman;sans-serif" w:hAnsi="Times New Roman;sans-serif"/>
          <w:b w:val="false"/>
          <w:color w:val="000000"/>
          <w:sz w:val="20"/>
        </w:rPr>
      </w:pPr>
      <w:r>
        <w:rPr>
          <w:rFonts w:ascii="Times New Roman;sans-serif" w:hAnsi="Times New Roman;sans-serif"/>
          <w:b w:val="false"/>
          <w:color w:val="000000"/>
          <w:sz w:val="20"/>
        </w:rPr>
        <w:t>(a)This dealership group has two of these franchises.</w:t>
      </w:r>
    </w:p>
    <w:p>
      <w:pPr>
        <w:pStyle w:val="TextBody"/>
        <w:bidi w:val="0"/>
        <w:spacing w:lineRule="auto" w:line="288" w:before="0" w:after="40"/>
        <w:ind w:left="0" w:right="0" w:hanging="810"/>
        <w:jc w:val="left"/>
        <w:rPr>
          <w:rFonts w:ascii="Times New Roman;sans-serif" w:hAnsi="Times New Roman;sans-serif"/>
          <w:b w:val="false"/>
          <w:color w:val="000000"/>
          <w:sz w:val="20"/>
        </w:rPr>
      </w:pPr>
      <w:r>
        <w:rPr>
          <w:rFonts w:ascii="Times New Roman;sans-serif" w:hAnsi="Times New Roman;sans-serif"/>
          <w:b w:val="false"/>
          <w:color w:val="000000"/>
          <w:sz w:val="20"/>
        </w:rPr>
        <w:t>(b)This dealership group has three of these franchises.</w:t>
      </w:r>
    </w:p>
    <w:p>
      <w:pPr>
        <w:pStyle w:val="TextBody"/>
        <w:bidi w:val="0"/>
        <w:spacing w:lineRule="auto" w:line="288" w:before="0" w:after="40"/>
        <w:ind w:left="0" w:right="0" w:hanging="810"/>
        <w:jc w:val="left"/>
        <w:rPr>
          <w:rFonts w:ascii="Times New Roman;sans-serif" w:hAnsi="Times New Roman;sans-serif"/>
          <w:b w:val="false"/>
          <w:color w:val="000000"/>
          <w:sz w:val="20"/>
        </w:rPr>
      </w:pPr>
      <w:r>
        <w:rPr>
          <w:rFonts w:ascii="Times New Roman;sans-serif" w:hAnsi="Times New Roman;sans-serif"/>
          <w:b w:val="false"/>
          <w:color w:val="000000"/>
          <w:sz w:val="20"/>
        </w:rPr>
        <w:t>(c)This dealership group has four of these franchises.</w:t>
      </w:r>
    </w:p>
    <w:p>
      <w:pPr>
        <w:pStyle w:val="TextBody"/>
        <w:bidi w:val="0"/>
        <w:spacing w:lineRule="auto" w:line="288" w:before="0" w:after="40"/>
        <w:ind w:left="0" w:right="0" w:hanging="810"/>
        <w:jc w:val="left"/>
        <w:rPr>
          <w:rFonts w:ascii="Times New Roman;sans-serif" w:hAnsi="Times New Roman;sans-serif"/>
          <w:b w:val="false"/>
          <w:color w:val="000000"/>
          <w:sz w:val="20"/>
        </w:rPr>
      </w:pPr>
      <w:r>
        <w:rPr>
          <w:rFonts w:ascii="Times New Roman;sans-serif" w:hAnsi="Times New Roman;sans-serif"/>
          <w:b w:val="false"/>
          <w:color w:val="000000"/>
          <w:sz w:val="20"/>
        </w:rPr>
        <w:t>(d)This dealership group has five of these franchises.</w:t>
      </w:r>
    </w:p>
    <w:p>
      <w:pPr>
        <w:pStyle w:val="TextBody"/>
        <w:bidi w:val="0"/>
        <w:spacing w:before="0" w:after="0"/>
        <w:ind w:left="0" w:right="0" w:hanging="450"/>
        <w:jc w:val="left"/>
        <w:rPr/>
      </w:pPr>
      <w:r>
        <w:rPr/>
      </w:r>
    </w:p>
    <w:p>
      <w:pPr>
        <w:pStyle w:val="TextBody"/>
        <w:bidi w:val="0"/>
        <w:spacing w:before="0" w:after="180"/>
        <w:ind w:left="0" w:right="0" w:hanging="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Operations</w:t>
      </w:r>
    </w:p>
    <w:p>
      <w:pPr>
        <w:pStyle w:val="TextBody"/>
        <w:bidi w:val="0"/>
        <w:spacing w:lineRule="auto" w:line="288" w:before="180" w:after="180"/>
        <w:jc w:val="left"/>
        <w:rPr>
          <w:rFonts w:ascii="Times New Roman;sans-serif" w:hAnsi="Times New Roman;sans-serif"/>
          <w:b/>
          <w:i/>
          <w:color w:val="000000"/>
          <w:sz w:val="20"/>
        </w:rPr>
      </w:pPr>
      <w:r>
        <w:rPr>
          <w:rFonts w:ascii="Times New Roman;sans-serif" w:hAnsi="Times New Roman;sans-serif"/>
          <w:b/>
          <w:i/>
          <w:color w:val="000000"/>
          <w:sz w:val="20"/>
        </w:rPr>
        <w:t>New Vehicle Sales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number of franchises we owned as of December 31, 2024 and the percentage of new vehicle revenues represented by class and franchise for the year ended December 31, 2024:</w:t>
      </w:r>
    </w:p>
    <w:tbl>
      <w:tblPr>
        <w:tblW w:w="6026" w:type="dxa"/>
        <w:jc w:val="center"/>
        <w:tblInd w:w="0" w:type="dxa"/>
        <w:tblLayout w:type="fixed"/>
        <w:tblCellMar>
          <w:top w:w="28" w:type="dxa"/>
          <w:left w:w="28" w:type="dxa"/>
          <w:bottom w:w="28" w:type="dxa"/>
          <w:right w:w="28" w:type="dxa"/>
        </w:tblCellMar>
      </w:tblPr>
      <w:tblGrid>
        <w:gridCol w:w="853"/>
        <w:gridCol w:w="750"/>
        <w:gridCol w:w="752"/>
        <w:gridCol w:w="109"/>
        <w:gridCol w:w="109"/>
        <w:gridCol w:w="109"/>
        <w:gridCol w:w="510"/>
        <w:gridCol w:w="510"/>
        <w:gridCol w:w="511"/>
        <w:gridCol w:w="109"/>
        <w:gridCol w:w="109"/>
        <w:gridCol w:w="109"/>
        <w:gridCol w:w="303"/>
        <w:gridCol w:w="303"/>
        <w:gridCol w:w="880"/>
      </w:tblGrid>
      <w:tr>
        <w:trPr/>
        <w:tc>
          <w:tcPr>
            <w:tcW w:w="85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Class/Franchise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w:t>
              <w:br/>
              <w:t>Franchises 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New</w:t>
              <w:br/>
              <w:t>Vehicle Revenues</w:t>
            </w:r>
          </w:p>
        </w:tc>
      </w:tr>
      <w:tr>
        <w:trPr/>
        <w:tc>
          <w:tcPr>
            <w:tcW w:w="23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Luxury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Mercedes-Benz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Lexus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8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BMW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Acura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8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Infiniti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Rover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8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Porsche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Volvo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8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Lincoln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8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Bentley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Jaguar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Luxury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Import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Toyota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Honda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Hyundai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8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Sprinter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Nissan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8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Volkswagen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8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Subaru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Fiat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Isuzu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Import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Domestic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Chrysler, Dodge, Jeep, 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Chevrolet, Buick, GMC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8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Domestic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Franchises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315"/>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Franchise accounted for less than 1% of new vehicle revenues for the year ended December 31, 2024.</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new vehicle revenues include new vehicle sales and lease transactions arranged by our dealerships with third-party financial institutions. We believe that leasing provides a number of benefits to our other business lines, including the historical customer loyalty to the leasing dealership for repairs and maintenance services and the fact that lessors typically give the leasing dealership the first option to purchase the off-lease vehicle. </w:t>
      </w:r>
    </w:p>
    <w:p>
      <w:pPr>
        <w:pStyle w:val="TextBody"/>
        <w:bidi w:val="0"/>
        <w:spacing w:before="0" w:after="180"/>
        <w:jc w:val="left"/>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Used Vehicle Sales</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sell used vehicles at all our franchised dealership locations. Used vehicle sales include the sale of used vehicles to individual retail customers ("used retail") and the sale of used vehicles to other dealers or licensed wholesalers ("wholesale") (the terms "used retail" and "wholesale" collectively referred to as "used"). </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from the sale of used vehicles depends primarily on our dealerships' ability to obtain a high quality supply of used vehicles and our use of technology to manage our inventory. Our new vehicle operations typically provide our used vehicle operations with a large supply of trade-ins and off-lease vehicles, which we believe are good sources of high quality used vehicles. We also purchase a portion of our used vehicle inventory at "open" auctions and auctions restricted to new vehicle dealers. Additionally, our used vehicle sales benefit from our ability to sell certified pre-owned vehicles from our franchised dealerships.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Parts and Service</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vehicle repair and maintenance services, sell replacement parts, and recondition used vehicles at all of our dealerships. In addition, we provide collision repair services at our 37 free-standing collision repair centers that we operate either on the premises of, or in close proximity to, our dealerships. Historically, parts and service revenues have been more stable than those from vehicle sales. Industry-wide, parts and service revenues have consistently increased over time primarily due to the increased cost of maintaining vehicles, the added technical complexity of vehicles, and the increasing number of vehicles on the road. </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automotive parts and service industry tends to be highly fragmented, with franchised dealerships and independent repair shops competing for this business. We believe, however, that the increased use of advanced technology in vehicles is making it difficult for independent repair shops to compete effectively with franchised dealerships as they may not be able to make the investments necessary to perform major or technical repairs. In an effort to maintain the necessary knowledge to service vehicles and further develop our technician staff, we focus on our internal and manufacturer specific training and development programs for new and existing technicians. We believe our parts and service business is also well-positioned to benefit from the service work potentially generated through the sale of extended service contracts to customers who purchase new and used vehicles from us, as historically these customers tend to have their vehicles serviced at the location where they purchased the extended service contract. In addition, our franchised dealerships benefit from manufacturer policies requiring that warranty and recall related repairs be performed at a franchised dealership. We believe our collision repair centers provide us with an attractive opportunity to grow our business due to the high margins provided by collision repair services and the fact that we are able to source original equipment manufacturer parts from our franchised dealerships.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Finance and Insurance</w:t>
      </w:r>
    </w:p>
    <w:p>
      <w:pPr>
        <w:pStyle w:val="TextBody"/>
        <w:bidi w:val="0"/>
        <w:spacing w:lineRule="auto" w:line="288" w:before="0" w:after="180"/>
        <w:ind w:left="0" w:right="0" w:firstLine="315"/>
        <w:jc w:val="left"/>
        <w:rPr/>
      </w:pPr>
      <w:r>
        <w:rPr>
          <w:rFonts w:ascii="Times New Roman;sans-serif" w:hAnsi="Times New Roman;sans-serif"/>
          <w:b w:val="false"/>
          <w:color w:val="000000"/>
          <w:sz w:val="20"/>
        </w:rPr>
        <w:t xml:space="preserve">We offer a wide variety of automotive F&amp;I products to our customers. Through the acquisition of TCA in December 2021, we </w:t>
      </w:r>
      <w:r>
        <w:rPr>
          <w:rFonts w:ascii="Times New Roman;sans-serif" w:hAnsi="Times New Roman;sans-serif"/>
          <w:b w:val="false"/>
          <w:color w:val="000000"/>
          <w:sz w:val="20"/>
          <w:shd w:fill="FFFFFF" w:val="clear"/>
        </w:rPr>
        <w:t xml:space="preserve">offer extended vehicle service contracts, prepaid maintenance contracts, key replacement contracts, guaranteed asset protection contracts, paintless dent repair contracts, appearance protection contracts, tire and wheel, and lease wear and tear contracts. These F&amp;I products are sold to our customers via our network of dealerships. </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TCA F&amp;I products, we offer our customers a variety of vehicle protection products through independent third parties in connection with the purchase of vehicles. These products are underwritten and administered by these third parties. Under our arrangements with the providers of these products, we primarily sell the products on a straight commission basis. We are subject to chargebacks for service and other contracts as a result of early termination, default, or prepayment of the contract. In addition, we participate in future profits associated with the performance of the third-party held underlying portfolio for certain products pursuant to retrospective commission arrangements. </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arrange third-party financing for the sale or lease of vehicles to our customers in exchange for compensation paid to us by the third-party financial institution. We do not directly finance our customers' vehicle purchases or leases, therefore our exposure to losses in connection with those third-party financing arrangements is limited generally to the compensation we receive. The compensation we receive is subject to chargeback, or repayment, to the third-party finance company if a customer defaults or prepays the retail installment contract typically during some limited time period at the beginning of the contract term. We have negotiated agreements with certain lenders pursuant to which we receive additional compensation upon reaching a certain volume of business. </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F&amp;I revenue in our Dealerships segment represents the commissions earned from both TCA and independent third parties related to a broad range of F&amp;I products. This F&amp;I revenue is presented net of third-party chargebacks. </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F&amp;I revenue in our TCA segment represents the premium revenue earned from customers for F&amp;I products primarily sold in connection with the purchase of vehicles at our dealerships. The premium revenue is recognized over the life of the F&amp;I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product contract as services are provided. We capitalize costs, such as employee sales commissions, to obtain customer contracts, and amortize those costs over the life of the contract. Amortization of costs to obtain customer contracts is included in selling, general and administrative expenses in the consolidated statements of income. The portion of commissions that are paid to affiliated dealerships are eliminated upon consolidation. The Dealerships segment also provides vehicle repair and maintenance services to TCA customers in connection with claims related to TCA's products. Upon consolidation, the associated service revenue recorded by the Dealerships segment is eliminated against the service costs incurred by the Dealerships segment. All claims paid related to the contracts are recognized in F&amp;I cost of sales in the TCA segment. </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F&amp;I revenue includes investment income and other gains and losses related to the performance of our investment portfolio.</w:t>
      </w: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Business Strategy</w:t>
      </w:r>
    </w:p>
    <w:p>
      <w:pPr>
        <w:pStyle w:val="TextBody"/>
        <w:bidi w:val="0"/>
        <w:spacing w:lineRule="auto" w:line="288" w:before="180" w:after="180"/>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We seek to be the most guest-centric automotive retailer and to create long-term value for our stockholders by striving to drive operational excellence and deploy capital to its highest risk adjusted returns. To achieve these objectives, we employ the strategies described below.</w:t>
      </w:r>
    </w:p>
    <w:p>
      <w:pPr>
        <w:pStyle w:val="TextBody"/>
        <w:bidi w:val="0"/>
        <w:spacing w:lineRule="auto" w:line="288" w:before="18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Provide an exceptional customer experience in our stores.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are guided by our mission and vision to be the most guest-centric automotive retailer in the industry and use that framework as our North Star. We have designed our dealerships’ services to meet the needs of an increasingly sophisticated and demanding automotive consumer. We endeavor to establish relationships that we believe will result in both repeat business and additional business through customer referrals. Furthermore, we provide our dealership managers with appropriate incentives to employ efficient selling approaches, engage in extensive follow-up to develop long-term relationships with customers, and extensively train our sales staff to meet customer needs.</w:t>
      </w:r>
    </w:p>
    <w:p>
      <w:pPr>
        <w:pStyle w:val="TextBody"/>
        <w:bidi w:val="0"/>
        <w:spacing w:lineRule="auto" w:line="288" w:before="180" w:after="180"/>
        <w:jc w:val="both"/>
        <w:rPr/>
      </w:pPr>
      <w:r>
        <w:rPr>
          <w:rFonts w:ascii="Times New Roman;sans-serif" w:hAnsi="Times New Roman;sans-serif"/>
          <w:b w:val="false"/>
          <w:i/>
          <w:color w:val="000000"/>
          <w:sz w:val="20"/>
        </w:rPr>
        <w:t>Accelerate same store growth and guest experience through technology investment</w:t>
      </w:r>
      <w:r>
        <w:rPr>
          <w:rFonts w:ascii="Times New Roman;sans-serif" w:hAnsi="Times New Roman;sans-serif"/>
          <w:b/>
          <w:i/>
          <w:color w:val="000000"/>
          <w:sz w:val="20"/>
        </w:rPr>
        <w:t>.</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As part of our long-term growth strategy, we invest in technologies or partner with leading software platform vendors to develop applications that (i) serve our guests with omni-channel buying options offering enhanced speed, and transparency and (ii) drive a more efficient guest experience at a lower cost to serve.</w:t>
      </w:r>
    </w:p>
    <w:p>
      <w:pPr>
        <w:pStyle w:val="TextBody"/>
        <w:bidi w:val="0"/>
        <w:spacing w:lineRule="auto" w:line="288" w:before="180" w:after="180"/>
        <w:jc w:val="both"/>
        <w:rPr/>
      </w:pPr>
      <w:r>
        <w:rPr>
          <w:rFonts w:ascii="Times New Roman;sans-serif" w:hAnsi="Times New Roman;sans-serif"/>
          <w:b w:val="false"/>
          <w:i/>
          <w:color w:val="000000"/>
          <w:sz w:val="20"/>
        </w:rPr>
        <w:t>Grow F&amp;I product penetration and expand TCA's service offerings across the full dealership portfolio.</w:t>
      </w:r>
      <w:r>
        <w:rPr>
          <w:color w:val="000000"/>
        </w:rPr>
        <w:t xml:space="preserve"> </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be positioned to leverage the acquisition of LHM to improve profitability via the ownership of TCA, a highly scalable provider of a full-suite of F&amp;I products. TCA’s key offerings include vehicle service contracts, prepaid maintenance, protection plans, key and remote replacement, leased vehicle protection and tire and wheel protection. Over the long-term, we expect that the profitability of our TCA products will be higher than the profitability associated with selling F&amp;I products offered by third-parties. We are continuing to integrate TCA’s service offerings across our full dealership portfolio to increase our F&amp;I product penetration and profitability. We expect to complete the rollout of TCA's service offerings to all of our dealerships in 2025 by offering TCA products in our Florida market during the first quarter of 2025, and the Koons platform in the second quarter of 2025; however, no assurance can be given that the rollout will be completed with the timeframe contemplated. </w:t>
      </w:r>
    </w:p>
    <w:p>
      <w:pPr>
        <w:pStyle w:val="TextBody"/>
        <w:bidi w:val="0"/>
        <w:spacing w:lineRule="auto" w:line="288" w:before="0" w:after="180"/>
        <w:jc w:val="both"/>
        <w:rPr/>
      </w:pPr>
      <w:r>
        <w:rPr>
          <w:rFonts w:ascii="Times New Roman;sans-serif" w:hAnsi="Times New Roman;sans-serif"/>
          <w:b w:val="false"/>
          <w:i/>
          <w:color w:val="000000"/>
          <w:sz w:val="20"/>
        </w:rPr>
        <w:t>Attract, retain and invest in top talent to drive growth and optimize operations</w:t>
      </w:r>
      <w:r>
        <w:rPr>
          <w:rFonts w:ascii="Times New Roman;sans-serif" w:hAnsi="Times New Roman;sans-serif"/>
          <w:b/>
          <w:i/>
          <w:color w:val="000000"/>
          <w:sz w:val="20"/>
        </w:rPr>
        <w:t>.</w:t>
      </w:r>
      <w:r>
        <w:rPr>
          <w:color w:val="000000"/>
        </w:rPr>
        <w:t xml:space="preserve"> </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 core of our business success lies in our talent pool, so we are focused on attracting, hiring and retaining the best people. We also invest in resources to train and develop our employees. Our executive management team has extensive experience in the auto retail sector and is able to leverage experience from all positions throughout the Company. In addition, we believe that local management of dealership operations enables our retail network to provide market specific responses to sales, customer service and inventory requirements. The general manager of each of our dealerships is responsible for the operations, personnel and financial performance of that dealership as well as other day-to-day operations.</w:t>
      </w:r>
    </w:p>
    <w:p>
      <w:pPr>
        <w:pStyle w:val="TextBody"/>
        <w:bidi w:val="0"/>
        <w:spacing w:lineRule="auto" w:line="288" w:before="0" w:after="180"/>
        <w:jc w:val="left"/>
        <w:rPr/>
      </w:pPr>
      <w:r>
        <w:rPr>
          <w:rFonts w:ascii="Times New Roman;sans-serif" w:hAnsi="Times New Roman;sans-serif"/>
          <w:b w:val="false"/>
          <w:i/>
          <w:color w:val="000000"/>
          <w:sz w:val="20"/>
        </w:rPr>
        <w:t>Leverage scale and cost structure to improve operating efficiencies.</w:t>
      </w:r>
      <w:r>
        <w:rPr>
          <w:color w:val="000000"/>
        </w:rPr>
        <w:t xml:space="preserve"> </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are positioned to leverage our significant scale so that we are able to achieve competitive operating margins by centralizing and streamlining various back-office functions. We are able to improve financial controls and lower servicing costs by maintaining key store-level accounting and administrative activities in our shared service centers, and we leverage our scale to reduce costs related to purchasing certain equipment, supplies, and services through national vendor relationships. Similarly, we are able to leverage our scale to implement these best practices when integrating newly acquired dealerships allowing us to continue to improve our operating efficiencies.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left"/>
        <w:rPr/>
      </w:pPr>
      <w:r>
        <w:rPr>
          <w:rFonts w:ascii="Times New Roman;sans-serif" w:hAnsi="Times New Roman;sans-serif"/>
          <w:b w:val="false"/>
          <w:i/>
          <w:color w:val="000000"/>
          <w:sz w:val="20"/>
        </w:rPr>
        <w:t>Deploy capital to highest returns and continue to invest in the business.</w:t>
      </w:r>
      <w:r>
        <w:rPr>
          <w:color w:val="000000"/>
        </w:rPr>
        <w:t xml:space="preserve"> </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Our capital allocation decisions are made within the context of maintaining sufficient liquidity and a prudent capital structure. We target a 2.5x to 3.5x transaction adjusted net leverage ratio, which is calculated as set forth in our credit facility, in a normal business environment. The Company’s transaction adjusted net leverage ratio was 2.85x at December 31, 2024, compared to 2.54x at December 31, 2023. We believe our cash position and borrowing capacity, combined with our current and expected future cash generation capability, provides us with financial flexibility to, among other things, reinvest in our business, acquire dealerships and repurchase our stock, when prudent.</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continually evaluate our existing dealership network and seek to make strategic investments that will increase the capacity of our dealerships and improve the customer experience. In addition, we continue to execute on our strategy of selectively acquiring our leased properties where financing rates make it attractive to be an owner and provide us a further means to finance our business.</w:t>
      </w:r>
    </w:p>
    <w:p>
      <w:pPr>
        <w:pStyle w:val="TextBody"/>
        <w:bidi w:val="0"/>
        <w:spacing w:lineRule="auto" w:line="288" w:before="0" w:after="180"/>
        <w:jc w:val="left"/>
        <w:rPr/>
      </w:pPr>
      <w:r>
        <w:rPr>
          <w:rFonts w:ascii="Times New Roman;sans-serif" w:hAnsi="Times New Roman;sans-serif"/>
          <w:b w:val="false"/>
          <w:i/>
          <w:color w:val="000000"/>
          <w:sz w:val="20"/>
        </w:rPr>
        <w:t>Evaluate opportunities to refine the dealership portfolio.</w:t>
      </w:r>
      <w:r>
        <w:rPr>
          <w:color w:val="000000"/>
        </w:rPr>
        <w:t xml:space="preserve"> </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continually evaluate the financial and operating results of our dealerships, as well as each dealership’s geographical location and, based on various financial and strategic rationales, may make decisions to dispose of dealerships to refine our dealership and real estate portfolio. We also evaluate dealership acquisition opportunities based on market position and geography, brand representation and availability, key personnel and other factors. Our approach to dispositions and acquisitions is highly disciplined with a focus on long-term strategic value to stockholders. </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Deliver on our mission to grow and transform our business with revenue of $30 billion or more by 2030.</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continually evaluate additional opportunities to drive revenue growth while maintaining our disciplined approach to capital allocation. In February 2024, the Company announced an update to our strategic outlook targeting revenue of $30 billion or more by 2030. We intend to execute on this strategic plan by focusing on a variety of growth efforts including, balanced capital allocation, driving same-store revenue growth and acquiring revenue through strategic transactions. Aligning with our strategic outlook, the Company, on February 14, 2025, through one of its subsidiaries, entered into a Transaction Agreement with the Herb Chambers Dealerships that will result in the Company acquiring substantially all of the assets, including all real property and businesses of the Herb Chambers Dealerships, which comprise 33 dealerships, 52 franchises and three collision centers, which is expected to positively contribute to the Company’s overall revenue objectives.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automotive retail and service industry is highly competitive with respect to price, service, location, and selection. For new vehicle sales, our dealerships compete with other franchised dealerships, primarily in their regions. Our new vehicle store competitors also have franchise agreements with the various vehicle manufacturers, and as such, generally obtain new vehicle inventory from vehicle manufacturers on the same terms as us. The franchise agreements grant the franchised dealership a non-exclusive right to sell the manufacturer's (or distributor's) brand of vehicles and offer related parts and service within a specified market area. State automotive franchise laws restrict competitors from relocating their stores or establishing new stores of a particular vehicle brand within a specified area that is served by our dealership of the same vehicle brand. Recently, certain electric vehicle manufacturers have been permitted to circumvent the state automotive franchise laws of several states in the United States thereby permitting them to sell their new vehicles directly to consumers. We rely on our advertising and merchandising, sales expertise, service reputation, strong local branding, and location of our dealerships to assist in the sale of new vehicles.</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Our used vehicle operations compete with other franchised dealerships, non-franchised automotive dealerships, regional and national vehicle rental companies, and internet-based vehicle brokers for the supply and resale of used vehicles.</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compete with other franchised dealerships to perform warranty and recall-related repairs. We compete with other franchised dealerships and independent service centers for collision and non-warranty repair and maintenance services. We compete with other automobile dealers, service stores, and auto parts retailers in our parts operations. We believe that we have a competitive advantage in parts and service sales due to our ability to use factory-approved replacement parts, our skilled manufacturer trained and certified technicians, our competitive prices, our familiarity with manufacturer brands and models, and the quality of our customer service. </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compete with a broad range of financial institutions in arranging financing for our customers' vehicle purchases. In addition, many financial institutions are now offering F&amp;I products through the internet, which has increased competition and may reduce our profits on certain of these items. We believe the principal competitive factors in providing financing are convenience, interest rates, and flexibility in contract length.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automobile industry has historically been subject to seasonal variations. Demand for new vehicles is generally highest during the second and third quarters of each year and, accordingly, we expect our revenues and operating results to generally be higher during these periods. In addition, we typically experience higher sales of luxury vehicles, which have higher average selling prices and gross profit per vehicle retailed, in the fourth quarter. Revenues and operating results may be impacted significantly from quarter to quarter by changing economic conditions, vehicle manufacturer incentive programs, or adverse weather events, or other occurrences that are outside of our control.</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Dealer and Framework Agreements</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Each of our dealerships operate pursuant to a dealer agreement between the dealership and the manufacturer (or in some cases the distributor) of each brand of new vehicles sold and/or serviced at the dealership. The dealer agreements grant the franchised dealership a non-exclusive right to sell the manufacturer's (or distributor's) brand of vehicles and offer related parts and service within a specified market area. Each dealer agreement also grants our dealerships the right to use the manufacturer's trademarks and service marks in connection with the dealerships' operations and they also impose numerous operational requirements related to, among other things, the following:</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inventories of new vehicles and manufacturer replacement parts;</w:t>
      </w:r>
      <w:r>
        <w:rPr>
          <w:color w:val="000000"/>
        </w:rPr>
        <w:t> </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maintenance of minimum net working capital requirements, and in some cases, minimum net worth requirements;</w:t>
      </w:r>
      <w:r>
        <w:rPr>
          <w:color w:val="000000"/>
        </w:rPr>
        <w:t> </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achievement of certain sales and customer satisfaction targets;</w:t>
      </w:r>
      <w:r>
        <w:rPr>
          <w:color w:val="000000"/>
        </w:rPr>
        <w:t> </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advertising and marketing practices;</w:t>
      </w:r>
      <w:r>
        <w:rPr>
          <w:color w:val="000000"/>
        </w:rPr>
        <w:t> </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facilities and signs;</w:t>
      </w:r>
      <w:r>
        <w:rPr>
          <w:color w:val="000000"/>
        </w:rPr>
        <w:t> </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products offered to customers;</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dealership management;</w:t>
      </w:r>
      <w:r>
        <w:rPr>
          <w:color w:val="000000"/>
        </w:rPr>
        <w:t> </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personnel training;</w:t>
      </w:r>
      <w:r>
        <w:rPr>
          <w:color w:val="000000"/>
        </w:rPr>
        <w:t> </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information systems;</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geographic market, including but not limited to requirements to meet sales and service targets within an assigned market area, geographic limitations on where the dealership may locate or advertise, and restrictions on the export of vehicles; and</w:t>
      </w:r>
      <w:r>
        <w:rPr>
          <w:color w:val="000000"/>
        </w:rPr>
        <w:t>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dealership monthly and annual financial reporting.</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Our dealer agreements are for various terms, ranging from one year to indefinite. We expect that we will be able to renew expiring agreements in the ordinary course of business. However, typical dealer agreements give the manufacturer the right to terminate or the option of non-renewal of the dealer agreement under certain circumstances, subject to applicable state automotive dealership franchise laws, including:</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insolvency or bankruptcy of the dealership;</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failure to adequately operate the dealership or to maintain required capitalization levels;</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impairment of the reputation or financial condition of the dealership;</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change of ownership or management of the dealership without manufacturer consent;</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certain extraordinary corporate transactions such as a merger or sale of all or substantially all of our assets without manufacturer consent;</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failure to complete facility upgrades required by the manufacturer or agreed to by the dealer;</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failure to maintain any license, permits or authorization required to conduct the dealership's business;</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conviction of a dealer/manager or owner for certain crimes; or</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material breach of other provisions of a dealer agreement.</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Notwithstanding the terms of any dealer agreement, the states in which we operate have automotive dealership franchise laws which provide that it is unlawful for a manufacturer to terminate or not renew a franchise unless "good cause" exists.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requirements under dealer agreements, we are subject to provisions contained in supplemental agreements, framework agreements, dealer addenda and manufacturers' policies, collectively referred to as "framework agreements." Framework agreements impose requirements on us in addition to those described above. Such agreements also define other standards and limitations, including:</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company-wide performance criteria;</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capitalization requirements;</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limitations on changes in our ownership or management;</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limitations on the number of a particular manufacturer's franchises owned by us;</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restrictions or prohibitions on our ability to pledge the stock of certain of our subsidiaries;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conditions for consent to proposed acquisitions, including sales and customer satisfaction criteria, as well as limitations on the total local, regional, and national market share percentage that would be represented by a particular manufacturer's franchises owned by us after giving effect to a proposed acquisition.</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Some dealer agreements and framework agreements grant the manufacturer the right to terminate or not renew our dealer and framework agreements, or to compel us to divest our dealerships, for a number of reasons, including default under the agreement, any unapproved change of control (specific changes vary from manufacturer to manufacturer, but which include material changes in the composition of our Board of Directors during a specified time period, the acquisition of 5% or more of our voting stock by another vehicle manufacturer or distributor, the acquisition of 20% or more of our voting stock by third parties, and the acquisition of an ownership interest sufficient to direct or influence management and policies), or certain other unapproved events (including certain extraordinary corporate transactions such as a merger or sale of all or substantially all of our assets). Triggers of the clauses are often based upon actions by our stockholders and are generally outside of our control. Some of our dealer agreements and framework agreements also give the manufacturer a right of first refusal if we propose to sell any dealership representing the manufacturer's brands to a third-party. These agreements may also attempt to limit the protections available under applicable state laws and require us to resolve disputes through binding arbitration. For additional information, please refer to the risk factor captioned "We are dependent upon our relationships with the manufacturers of vehicles that we sell and are subject to restrictions imposed by, and significant influence from, these vehicle manufacturers. Any of these restrictions or any changes or deterioration of these relationships could have a material adverse effect on our business, financial condition, results of operations, and cash flows."</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Our framework agreements with certain manufacturers contain provisions that, among other things, attempt to limit the protections available to dealers under these laws. If these laws are repealed in the states in which we operate, manufacturers may be able to terminate our franchises without providing us with advance notice, an opportunity to cure or a showing of good cause. Without the protection of these laws, it may also be more difficult for us to renew our dealer agreements upon expiration.</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laws that provide manufacturers the ability to terminate our dealer agreements could materially adversely affect our business, financial condition and results of operations. Furthermore, if a manufacturer seeks protection from creditors in bankruptcy, courts have held that the federal bankruptcy laws may supersede these laws, resulting in either the termination, non-renewal or rejection of franchises by such manufacturers, which, in turn, could materially adversely affect our business, financial condition, and results of operations. For additional information, please refer to the risk factor captioned "If state laws that protect automotive retailers are repealed, weakened, or superseded by our framework agreements with manufacturers, our dealerships will be more susceptible to termination, non-renewal or renegotiation of their dealer agreements which could have a material adverse effect on our business, results of operations, financial condition, and cash flows."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Regulations</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operate in a highly regulated industry. In every state in which we operate, we must obtain one or more licenses issued by state regulatory authorities in order to operate our business. In addition, we are subject to numerous complex federal, state, and local laws regulating the conduct of our business, including those relating to our sales, operations, finance and insurance, marketing, and employment practices. These laws and regulations include state franchise laws and regulations, product standards and recalls, consumer protection laws, privacy and data security laws, anti-money laundering laws, and other extensive laws and regulations applicable to new and used motor vehicle dealers. These laws also include federal and state wage and hour, anti-discrimination, and other laws governing employment practices.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Industry Regulations</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Federal Trade Commission ("FTC") has regulatory authority over automotive dealers and has implemented enforcement initiatives relating to the marketing practices of automotive dealers. Our operations are also subject to the National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Traffic and Motor Vehicle Safety Act, Federal Motor Vehicle Safety Standards and other product standards promulgated by the United States Department of Transportation, and the rules and regulations of various state motor vehicle regulatory agencies.</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Our financing activities with customers are subject to federal truth-in-lending, consumer leasing, and equal credit opportunity laws and regulations, as well as state and local motor vehicle finance laws, leasing laws, installment finance laws, usury laws, and other installment state and leasing laws and regulations. Some U.S. states regulate fees and charges that may be collected as a result of vehicle sales and service. Claims arising out of actual or alleged violations of law may be asserted against us or our stores by individuals or governmental entities and may expose us to significant damages, fines or other penalties, including revocation or suspension of our license to conduct store operations. Our financing activities, as well as our sale of finance and insurance products, may also be impacted indirectly by laws and regulations that govern automotive finance companies and other financial institutions, including regulations adopted by the Consumer Financial Protection Bureau (the "CFPB").</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Our TCA business involves the offer and sale of extended vehicle service contracts, debt protection products, vehicle protection plans and other miscellaneous vehicle protection products, which are subject to a wide range of federal, state and local laws and regulations. The Departments of Insurance of U.S. states have regulatory authority over our TCA business. Our TCA business is subject to state licensing and registration requirements, and financial responsibility and security requirements. For additional information, please refer to the risk factors captioned: "Our dealership operations and facilities are subject to extensive governmental laws and regulations. If we are found to be in purported violation of or subject to liabilities under any of these laws or regulations, or if new laws or regulations are enacted that adversely affect our operations, our business, results of operations, financial condition, cash flows, reputation and prospects could suffer" and "Our TCA business is subject to a wide range of federal, state and local laws and regulations, some of which we may not have previously been subject. If we are found to be in purported violation of or subject to liabilities under any of these laws or regulations, or if new laws or regulations are enacted that adversely affect our TCA business, our business, results of operations, financial condition, cash flows, reputation and prospects could suffer."</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Environmental, Health and Safety Laws and Regulations</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a wide range of environmental laws and regulations, including those governing discharges into water, air emissions, storage of petroleum substances and chemicals, handling and disposal of solid and hazardous wastes, remediation of various types of contamination, and otherwise relating to health, safety and protection of the environment. For example, and without creating an exhaustive list: as with automobile dealerships generally, and service and parts and collision repair center operations in particular, our business involves the generation, use, handling, and disposal of hazardous or toxic substances and wastes and the use of above ground and underground storage tanks (ASTs and USTs). Operations involving the management of wastes and the use of ASTs and USTs are subject to requirements of the Resource Conservation and Recovery Act, analogous state statutes, and their implementing regulations. Pursuant to these laws, federal and state environmental agencies have established approved methods for handling, storing, treating, transporting, and disposing of regulated substances and wastes with which we must comply. We also are subject to laws and regulations governing responses to any releases of contamination at or from our facilities or at facilities that receive our hazardous wastes for treatment or disposal. The Comprehensive Environmental Response, Compensation and Liability Act ("CERCLA") and similar state statutes, can impose strict and joint and several liability for cleanup costs on those that are considered to have contributed to the release of a "hazardous substance." We also are subject to the Clean Water Act, analogous state statutes, and their implementing regulations which, among other things, prohibit discharges of pollutants into regulated waters without permits, require containment of potential discharges of oil or hazardous substances, and require preparation of spill contingency plans.</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have incurred, and will continue to incur, costs and capital expenditures to comply with these laws and regulations. We believe that our operations currently are being conducted in substantial compliance with all applicable regulations. From time to time, we may experience incidents and encounter conditions that are not in compliance with regulations. We may occasionally receive notices from governmental agencies regarding potential violations of these laws or regulations. In such cases, we will work with the agencies to address any issues and to implement appropriate corrective action when necessary. However, none of our dealerships has been subject to any material liabilities in the past, nor do we know of any fact or condition that would result in any material liabilities being incurred in the future.</w:t>
      </w:r>
    </w:p>
    <w:p>
      <w:pPr>
        <w:pStyle w:val="TextBody"/>
        <w:bidi w:val="0"/>
        <w:spacing w:lineRule="auto" w:line="288" w:before="0" w:after="180"/>
        <w:ind w:left="0" w:right="0" w:hanging="90"/>
        <w:jc w:val="left"/>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Mission and Vision</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Asbury, our North Star and our mission is to be the most guest-centric automotive retailer. Our success depends on our employees and their commitment to delivering a consistent and exceptional guest experience. Our employees work at locations in Colorado, Florida, Georgia, Indiana, Missouri, South Carolina, Texas, California, Arizona, New Mexico, Idaho, Utah, Virginia and Maryland. We believe that our employees help to set us apart from our competitors, and, therefore, we understand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they are our greatest asset. As a result, a critical part of our business strategy is investing in, supporting and developing our employees so that they are trained and incentivized to provide best-in-class service to our guests.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employed approximately 15,000 full-time and part-time employees, none of whom were covered by collective bargaining agreements. We believe we have good relations with our employees.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Inclusive and Welcoming Culture</w:t>
      </w:r>
    </w:p>
    <w:p>
      <w:pPr>
        <w:pStyle w:val="TextBody"/>
        <w:bidi w:val="0"/>
        <w:spacing w:lineRule="auto" w:line="288" w:before="0" w:after="180"/>
        <w:ind w:left="0" w:right="0" w:firstLine="315"/>
        <w:jc w:val="left"/>
        <w:rPr/>
      </w:pPr>
      <w:r>
        <w:rPr>
          <w:rFonts w:ascii="Times New Roman;sans-serif" w:hAnsi="Times New Roman;sans-serif"/>
          <w:b w:val="false"/>
          <w:color w:val="000000"/>
          <w:sz w:val="20"/>
        </w:rPr>
        <w:t>We strive to create a welcoming and inclusive workplace throughout our dealerships and offices for our team members who represent a wide range of backgrounds and experiences. We feel that building this culture enables us to attract, retain and develop the careers of our highly talented team members. We intend to continue to learn and develop - working towards building a workplace where every Asbury team member feels included and welcomed.</w:t>
      </w:r>
      <w:r>
        <w:rPr>
          <w:color w:val="000000"/>
        </w:rPr>
        <w:t xml:space="preserve"> </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Community Outreach</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Through our Asbury Cares program, we support selected community partner organizations across the nation to help reduce disparities in our communities where we live and serve. Since 2021, we have awarded all of our full-time employees with an additional 40 hours of paid time off per year that can be used to volunteer with our local community partners. We have seen significant year-over-year growth in employee participation in our community engagement events.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significant portion of our Asbury Cares Community program revolves around education and making sure that young people in underserved communities have access to a quality education. We formed a partnership with HBCU Change, an app-based organization that lets users round up their spending and donate to historically black colleges and universities ("HBCU"). We learned that many HBCUs historically lag in funding and resources compared to other public or private universities and many have closed their doors in recent years. Many of our Asbury team members are proud HBCU alumni and these institutions provide a unique community of support and understanding for not only African American students, but students of all races and backgrounds. </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In partnership with HBCU Change, we launched a campaign to help raise funds for HBCUs across the country and in the local communities where we operate. The point-of-sale credit card machines in our locations show a prompt asking our guests if they would like to round up their change or donate $1, $3, $5, or a custom amount to HBCUs in their communities. At the end of each quarter, the funds raised are donated to HBCUs across the country. Through donations from our guests and company match, we have contributed more than $1.5 million to HBCUs since the start of our partnership with HBCU Change in May 2021.</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Recruitment and Talent Development</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When recruiting for open positions, we search for the most talented people who each have varying backgrounds, perspectives, and experiences. We also partner with local colleges and trade schools to develop apprenticeship and internship programs. This allows us to help provide valuable training to entry-level candidates while also growing our pipeline.</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Our goal is to promote employees from within to career growth opportunities whenever possible. We invest resources to train and develop our employees to reach their career goals. In 2022, we launched a training curriculum for all store positions. In addition, we offer our employees access to an online career path tool, which helps them plan their desired career path and see the required performance goals and milestones to be considered for a promotion. Our fixed operations organization encourages technicians to obtain and maintain certification status with our vehicle manufacturers, and in most cases, our dealership pays for the training. Our employees also attend vehicle manufacturer-sponsored and industry training events.</w:t>
      </w:r>
    </w:p>
    <w:p>
      <w:pPr>
        <w:pStyle w:val="TextBody"/>
        <w:bidi w:val="0"/>
        <w:spacing w:lineRule="auto" w:line="288" w:before="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We pride ourselves on rewarding and developing talented and tenured employees.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Compensation and Benefits</w:t>
      </w:r>
    </w:p>
    <w:p>
      <w:pPr>
        <w:pStyle w:val="TextBody"/>
        <w:bidi w:val="0"/>
        <w:spacing w:lineRule="auto" w:line="288" w:before="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We offer competitive compensation and benefits to attract and retain the best people, including the following benefits for our full-time employees: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Health, dental, and vision benefits with multiple plan choices;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Discounted healthcare premiums for biometric screening and completion of health survey; and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Employee assistance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Saving and retirement</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Holiday match; and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401(k) match.</w:t>
      </w:r>
    </w:p>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Paid time off</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Up to 4 weeks paid time off;</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Paid pregnancy leave; and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Paid parental leave.</w:t>
      </w:r>
    </w:p>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Disability and accident insurance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Short-term disability and long-term disability insurance;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Accident insurance, hospital indemnity, employee critical illness insurance;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Employer paid life insurance; and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Supplemental life insurance.</w:t>
      </w:r>
    </w:p>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Scholarships for education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Annual scholarship program.</w:t>
      </w:r>
    </w:p>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Broad employee equity ownership</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also lead the industry by offering equity awards to frontline employees because we want them to be owners of our Company and committed to our long-term success.</w: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Self-Insurance Programs</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Due to the inherent risk in the automotive retail industry, our operations expose us to a variety of liabilities. These risks generally require significant levels of insurance covering liabilities such as claims from employees, customers, or other third parties, for personal injury and property-related losses occurring in the course of our operations. We may be subject to fines and civil and criminal penalties in connection with alleged violations of federal and state laws or regulatory environments. Further, the automobile retail industry is subject to substantial risk of real and personal property loss, due to the significant concentration of property values located at the various dealership locations.</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our self-insurance programs, including property and casualty, workers’ compensation, and medical, the Company retains various levels of aggregate loss limits and per-claim deductibles. In addition, the Company maintains separate insurance policies to address potential cyber and directors and officers exposures. We are self-insured for certain employee medical claims and maintain stop-loss insurance for individual claims. </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Provisions for retained losses and deductibles are made by charges to expense based upon periodic evaluations of the estimated ultimate liabilities on reported and unreported claims. The insurance companies that underwrite our insurance require we secure certain of our obligations for deductible reimbursements with collateral. Our collateral requirements are set by the insurance companies and, to date, have been satisfied by posting surety bonds, letters of credit, and/or cash deposits. Our collateral requirements may change from time-to-time based on, among other things, our claims experience.</w:t>
      </w:r>
    </w:p>
    <w:p>
      <w:pPr>
        <w:pStyle w:val="TextBody"/>
        <w:bidi w:val="0"/>
        <w:spacing w:before="0" w:after="180"/>
        <w:ind w:left="0" w:right="0" w:firstLine="315"/>
        <w:jc w:val="left"/>
        <w:rPr/>
      </w:pPr>
      <w:r>
        <w:rPr/>
      </w:r>
    </w:p>
    <w:p>
      <w:pPr>
        <w:pStyle w:val="TextBody"/>
        <w:bidi w:val="0"/>
        <w:spacing w:before="0" w:after="180"/>
        <w:ind w:left="0" w:right="0" w:firstLine="315"/>
        <w:jc w:val="left"/>
        <w:rPr/>
      </w:pPr>
      <w:r>
        <w:rPr/>
      </w:r>
    </w:p>
    <w:p>
      <w:pPr>
        <w:pStyle w:val="TextBody"/>
        <w:bidi w:val="0"/>
        <w:spacing w:before="0" w:after="180"/>
        <w:ind w:left="0" w:right="0" w:firstLine="315"/>
        <w:jc w:val="left"/>
        <w:rPr/>
      </w:pPr>
      <w:r>
        <w:rPr/>
      </w:r>
    </w:p>
    <w:p>
      <w:pPr>
        <w:pStyle w:val="TextBody"/>
        <w:bidi w:val="0"/>
        <w:spacing w:before="0" w:after="180"/>
        <w:ind w:left="0" w:right="0" w:firstLine="315"/>
        <w:jc w:val="left"/>
        <w:rPr/>
      </w:pPr>
      <w:r>
        <w:rPr/>
      </w:r>
    </w:p>
    <w:p>
      <w:pPr>
        <w:pStyle w:val="TextBody"/>
        <w:bidi w:val="0"/>
        <w:spacing w:before="0" w:after="180"/>
        <w:ind w:left="0" w:right="0" w:firstLine="31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18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other information contained, referred to or incorporated by reference into this report, you should consider carefully the following factors when evaluating our business and before making an investment decision. Our business, operations, ability to implement our strategy, reputation, results of operations, financial condition, cash flows, and prospects may be materially adversely affected by the risks described below. In addition, other risks or uncertainties not presently known to us or that we currently do not deem material could arise, any of which could also materially adversely affect us.</w:t>
      </w: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Risks Related to Our Business</w:t>
      </w: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Operating Risks</w:t>
      </w:r>
    </w:p>
    <w:p>
      <w:pPr>
        <w:pStyle w:val="TextBody"/>
        <w:bidi w:val="0"/>
        <w:spacing w:lineRule="auto" w:line="288" w:before="180" w:after="180"/>
        <w:jc w:val="left"/>
        <w:rPr>
          <w:rFonts w:ascii="Times New Roman;sans-serif" w:hAnsi="Times New Roman;sans-serif"/>
          <w:b/>
          <w:i/>
          <w:color w:val="000000"/>
          <w:sz w:val="20"/>
        </w:rPr>
      </w:pPr>
      <w:r>
        <w:rPr>
          <w:rFonts w:ascii="Times New Roman;sans-serif" w:hAnsi="Times New Roman;sans-serif"/>
          <w:b/>
          <w:i/>
          <w:color w:val="000000"/>
          <w:sz w:val="20"/>
        </w:rPr>
        <w:t>Disruptions in the production and delivery of new vehicles and parts from manufacturers due to the lack of availability of parts and key components from suppliers could have a material adverse effect on our business, results of operations, financial condition and cash flows.</w:t>
      </w:r>
    </w:p>
    <w:p>
      <w:pPr>
        <w:pStyle w:val="TextBody"/>
        <w:bidi w:val="0"/>
        <w:spacing w:lineRule="auto" w:line="288" w:before="0" w:after="180"/>
        <w:ind w:left="0" w:right="0" w:firstLine="315"/>
        <w:jc w:val="left"/>
        <w:rPr/>
      </w:pPr>
      <w:r>
        <w:rPr>
          <w:rFonts w:ascii="Times New Roman;sans-serif" w:hAnsi="Times New Roman;sans-serif"/>
          <w:b w:val="false"/>
          <w:color w:val="000000"/>
          <w:sz w:val="20"/>
          <w:shd w:fill="FFFFFF" w:val="clear"/>
        </w:rPr>
        <w:t>Historically, we have generated a significant portion of our revenue through new vehicle sales, and new vehicle sales also tend to lead to sales of higher-margin products and services, such as F&amp;I products and vehicle-related parts and service.</w:t>
      </w:r>
      <w:r>
        <w:rPr>
          <w:color w:val="000000"/>
        </w:rPr>
        <w:t xml:space="preserve"> </w:t>
      </w:r>
      <w:r>
        <w:rPr>
          <w:rFonts w:ascii="Times New Roman;sans-serif" w:hAnsi="Times New Roman;sans-serif"/>
          <w:b w:val="false"/>
          <w:color w:val="000000"/>
          <w:sz w:val="20"/>
          <w:shd w:fill="FFFFFF" w:val="clear"/>
        </w:rPr>
        <w:t>In addition, new vehicle buyers often trade in an owned vehicle, or turn in a leased vehicle, to us at the time of purchase, and these traded vehicles have historically been an important source for our used vehicle inventory. We rely exclusively on the various vehicle manufacturers for our new vehicle inventory and maintenance and replacement parts inventory. In turn, our vehicle manufacturers rely on certain third-party suppliers to manufacture and deliver certain parts and key components for their vehicles. As a result, our profitability is dependent to a great extent on various aspects of vehicle manufacturers’ operations and timely delivery of new vehicles and parts.</w:t>
      </w:r>
    </w:p>
    <w:p>
      <w:pPr>
        <w:pStyle w:val="TextBody"/>
        <w:bidi w:val="0"/>
        <w:spacing w:lineRule="auto" w:line="288" w:before="120" w:after="180"/>
        <w:jc w:val="left"/>
        <w:rPr>
          <w:rFonts w:ascii="Times New Roman;sans-serif" w:hAnsi="Times New Roman;sans-serif"/>
          <w:b/>
          <w:i/>
          <w:color w:val="212529"/>
          <w:sz w:val="20"/>
        </w:rPr>
      </w:pPr>
      <w:r>
        <w:rPr>
          <w:rFonts w:ascii="Times New Roman;sans-serif" w:hAnsi="Times New Roman;sans-serif"/>
          <w:b/>
          <w:i/>
          <w:color w:val="212529"/>
          <w:sz w:val="20"/>
        </w:rPr>
        <w:t>Property loss or other uninsured liabilities could have a material adverse impact on our results of operations.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substantial risk of property loss due to the significant concentration of property at dealership locations, including vehicles and parts. We have historically experienced business interruptions from time to time at several of our dealerships, due to actual or threatened adverse weather conditions or natural disasters, such as hurricanes, earthquakes, tornadoes, floods, hail storms, fires or other extraordinary events. Concentration of property at dealership locations also makes the automotive retail business particularly vulnerable to theft, fraud and misappropriation of assets. Illegal or unethical conduct by employees, customers, vendors, and unaffiliated third parties can result in loss of assets, disrupt operations, impact brand reputation, jeopardize manufacturer and other relationships, result in the imposition of fines or penalties, and subject us to governmental investigations or lawsuits. While we maintain insurance to protect against a number of losses, this insurance coverage often contains significant deductibles. In addition, we "self-insure" a portion of our potential liabilities, meaning we do not carry insurance from a third-party for such liabilities, and are wholly responsible for any related losses including for certain potential liabilities that some states prohibit the maintenance of insurance to protect against. In certain instances, our insurance may not fully cover a loss depending on the applicable deductible or the magnitude and nature of the claim. Additionally, changes in the cost or availability of insurance in the future could substantially increase our costs to maintain our current level of coverage or could cause us to reduce our insurance coverage and increase our self-insured risks. To the extent we incur significant additional costs for insurance, suffer losses that are not covered by in-force insurance or suffer losses for which we are self-insured, our financial condition, results of operations and cash flows could be materially adversely impacted.</w:t>
      </w:r>
    </w:p>
    <w:p>
      <w:pPr>
        <w:pStyle w:val="TextBody"/>
        <w:bidi w:val="0"/>
        <w:spacing w:lineRule="auto" w:line="288" w:before="180" w:after="180"/>
        <w:jc w:val="left"/>
        <w:rPr>
          <w:rFonts w:ascii="Times New Roman;sans-serif" w:hAnsi="Times New Roman;sans-serif"/>
          <w:b/>
          <w:i/>
          <w:color w:val="000000"/>
          <w:sz w:val="20"/>
        </w:rPr>
      </w:pPr>
      <w:r>
        <w:rPr>
          <w:rFonts w:ascii="Times New Roman;sans-serif" w:hAnsi="Times New Roman;sans-serif"/>
          <w:b/>
          <w:i/>
          <w:color w:val="000000"/>
          <w:sz w:val="20"/>
        </w:rPr>
        <w:t>If we are unable to acquire and successfully integrate additional businesses into our existing operations, and realize expected benefits and synergies from such acquisitions, our revenue and earnings growth may be adversely affected.</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the automotive retailing industry is a mature industry whose sales are significantly impacted by the prevailing economic climate, both nationally and in local markets. Accordingly, we believe that our future growth depends in part on our ability to manage expansion, control costs in our operations and acquire and effectively integrate acquired dealerships into our organization. For example, with the consummation of the Koons acquisition in 2023 and the pending Herb Chambers acquisition, we have experienced, and expect to continue to experience, significantly more sales, and have more assets and employees than we did previously. However, there can be no assurance that there will be sufficient revenue from such acquisitions to offset increased expenses and costs arising out of such acquisitions. </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When seeking to acquire other dealerships, we often compete with several other national, regional and local dealership groups, and other strategic and financial buyers, some of which may have greater financial resources than us. Competition for attractive acquisition targets may result in fewer acquisition opportunities for us and we may have to forgo acquisition opportunities to the extent we cannot negotiate such acquisitions on acceptable terms. The integration processes require us to expend significant capital and significantly expand the scope of our operations and financial systems. Integration also requires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support or other actions by third parties such as vendors, suppliers, and licensing agencies, and the untimely or inadequate responses from such third parties can delay or otherwise negatively impact integration processes. </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also face additional risks commonly encountered with growth through acquisitions. These risks include, but are not limited to: (i) failing to obtain manufacturers’ consents to acquisitions of additional franchises; (ii) manufacturers' requirements to divest certain franchises when acquiring additional franchises; (iii) incurring significant transaction-related costs for completed, failed and pending acquisitions; (iv) incurring significantly higher capital expenditures and operating expenses; (v) the inability to obtain the necessary financing in order to complete acquisitions; (vi) failing to successfully integrate the operations and personnel of the acquired dealerships and impairing relationships with employees; (vii) impairing relationships with employees of the acquired dealerships; (viii) incorrectly valuing entities to be acquired or incurring undisclosed liabilities at acquired dealerships; (ix) disrupting our ongoing business and diverting our management resources to newly acquired dealerships; (x) failing to achieve expected performance levels and financial results on a same store basis after integration; (xi) impairing relationships with manufacturers and customers as a result of changes in management; (xii) delays or difficulties related to our ability to obtain future necessary regulatory approvals for TCA in jurisdictions applicable to acquired dealerships; (xiii) difficulties in entering geographic markets in which we have no or limited direct prior experience; (xiv) failing to realize expected benefits and synergies from the transaction; and (xv) failing to implement or improve controls, policies and information systems and related security measures in the acquired businesses.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may not adequately anticipate all the demands that our growth will impose on our personnel, procedures and structures, including our financial and reporting control systems, information technology systems, data processing systems, and management structure. Moreover, our failure to retain qualified management personnel at any acquired dealership may increase the risks associated with integrating the acquired dealership. If we cannot adequately anticipate and respond to these demands, we may fail to realize acquisition synergies and our resources will be focused on incorporating new operations into our structure rather than on areas that may be more profitable.</w:t>
      </w:r>
    </w:p>
    <w:p>
      <w:pPr>
        <w:pStyle w:val="TextBody"/>
        <w:bidi w:val="0"/>
        <w:spacing w:lineRule="auto" w:line="288" w:before="180" w:after="180"/>
        <w:jc w:val="left"/>
        <w:rPr>
          <w:rFonts w:ascii="Times New Roman;sans-serif" w:hAnsi="Times New Roman;sans-serif"/>
          <w:b/>
          <w:i/>
          <w:color w:val="212529"/>
          <w:sz w:val="20"/>
        </w:rPr>
      </w:pPr>
      <w:r>
        <w:rPr>
          <w:rFonts w:ascii="Times New Roman;sans-serif" w:hAnsi="Times New Roman;sans-serif"/>
          <w:b/>
          <w:i/>
          <w:color w:val="212529"/>
          <w:sz w:val="20"/>
        </w:rPr>
        <w:t>We are a holding company and as a result are dependent on our operating subsidiaries to generate sufficient cash and distribute cash to us to service our indebtedness and fund our ongoing operations.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make payments on our indebtedness and fund our ongoing operations depends on our operating subsidiaries' ability to generate cash in the future and distribute that cash to us. It is possible that our subsidiaries may not generate cash from operations in an amount sufficient to enable us to service our indebtedness. In addition, many of our subsidiaries are required to comply with the provisions of franchise agreements, dealer agreements, other agreements with manufacturers, mortgages, and credit facility providers. Many of these agreements contain minimum working capital or net worth requirements, and are subject to change at least annually. Although the requirements contained in these agreements did not restrict our subsidiaries from distributing cash to us as of December 31, 2024, unexpected changes to our financial metrics or to the terms of our franchise agreements, dealer agreements, or other agreements with manufacturers could require us to alter the manner in which we distribute or use cash. If our operating subsidiaries are unable to generate and distribute sufficient cash to us to service our indebtedness and fund our ongoing operations, our financial condition may be materially adversely affected.</w:t>
      </w:r>
    </w:p>
    <w:p>
      <w:pPr>
        <w:pStyle w:val="TextBody"/>
        <w:bidi w:val="0"/>
        <w:spacing w:lineRule="auto" w:line="288" w:before="180" w:after="180"/>
        <w:jc w:val="left"/>
        <w:rPr/>
      </w:pPr>
      <w:r>
        <w:rPr>
          <w:rFonts w:ascii="Times New Roman;sans-serif" w:hAnsi="Times New Roman;sans-serif"/>
          <w:b/>
          <w:i/>
          <w:color w:val="000000"/>
          <w:sz w:val="20"/>
        </w:rPr>
        <w:t xml:space="preserve">Our inability to execute a substantial portion of our business strategy, including our mission to grow and transform our business, could </w:t>
      </w:r>
      <w:r>
        <w:rPr>
          <w:rFonts w:ascii="Times New Roman;sans-serif" w:hAnsi="Times New Roman;sans-serif"/>
          <w:b/>
          <w:i/>
          <w:color w:val="212529"/>
          <w:sz w:val="20"/>
        </w:rPr>
        <w:t>have an adverse effect on our business, results of operations, financial condition and cash flows</w:t>
      </w:r>
      <w:r>
        <w:rPr>
          <w:rFonts w:ascii="Times New Roman;sans-serif" w:hAnsi="Times New Roman;sans-serif"/>
          <w:b/>
          <w:i/>
          <w:color w:val="000000"/>
          <w:sz w:val="20"/>
        </w:rPr>
        <w:t>.</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Our inability to execute a substantial portion of our business strategy, could adversely affect our business, results of operations, financial condition and cash flows. We seek to execute on our strategic plan using a variety of growth efforts, which includes driving same-store revenue growth and acquiring additional revenue through strategic acquisitions. Many of the factors that impact our ability to execute our strategic vision, such as the advancement of certain technologies, general economic conditions and legal and regulatory obstacles are beyond our control.</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Consumers are increasingly shopping for new and used vehicles, automotive repair and maintenance service and other automotive products and services online and through mobile applications, including through third-party online and mobile sales platforms, with which we compete, that are designed to generate consumer sales that are sold to automotive dealers. We have invested and will continue to invest in our omni-channel and other online applications in furtherance of our strategic vision. We face increased competition for market share from other automotive retailers and other sales platforms that have also invested in digital channels. There can be no assurance that our initiatives and investments in digital channels will be successful or result in improved financial performance.</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not adequately anticipate all the demands that our growth will impose on our personnel, procedures and structures, including our financial and reporting control systems, information technology systems, data processing systems, and management structure. Furthermore, we may decide to alter or discontinue aspects of our strategic plan and may adopt alternative or additional strategies in response to business or competitive factors or other factors or events beyond our control.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cannot give assurance that we will be able to execute a substantial portion of our strategic plan which could have a material adverse effect on our business, financial condition, results of operations, and cash flows.</w:t>
      </w:r>
    </w:p>
    <w:p>
      <w:pPr>
        <w:pStyle w:val="TextBody"/>
        <w:bidi w:val="0"/>
        <w:spacing w:lineRule="auto" w:line="288" w:before="180" w:after="180"/>
        <w:jc w:val="left"/>
        <w:rPr>
          <w:rFonts w:ascii="Times New Roman;sans-serif" w:hAnsi="Times New Roman;sans-serif"/>
          <w:b/>
          <w:i/>
          <w:color w:val="212529"/>
          <w:sz w:val="20"/>
        </w:rPr>
      </w:pPr>
      <w:r>
        <w:rPr>
          <w:rFonts w:ascii="Times New Roman;sans-serif" w:hAnsi="Times New Roman;sans-serif"/>
          <w:b/>
          <w:i/>
          <w:color w:val="212529"/>
          <w:sz w:val="20"/>
        </w:rPr>
        <w:t>Goodwill and manufacturer franchise rights comprise a significant portion of our total assets. We must test our goodwill and manufacturer franchise rights for impairment at least annually, which could result in a material, non-cash write-down of goodwill or manufacturer franchise rights and could have a material adverse effect on our results of operations and stockholders’ equity.</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intangible assets are goodwill and our rights under our franchise agreements with vehicle manufacturers. Goodwill and indefinite-lived intangible assets, including manufacturer franchise rights, are subject to impairment assessments at least annually (or more frequently when events or changes in circumstances indicate that an impairment may have occurred), by applying a qualitative or quantitative assessment. A decrease in our market capitalization or profitability increases the risk of goodwill impairment. The fair value of our manufacturer franchise rights is determined by discounting a subset of the projected cash flows at a dealership that we attribute to the value of the franchise. Changes to the business mix or declining cash flows in a dealership increase the risk of impairment. During the year ended December 31, 2024, we recognized asset impairment charges of $149.5 million associated with manufacturer franchise rights recorded at certain dealerships and goodwill associated with certain asset disposal groups. We cannot accurately predict the amount and timing of any additional impairment charges at this time; however, any such impairment charge could have an adverse effect on our results of operations and stockholders' equity. See Note 10 "Goodwill and Intangible Franchise Rights" of the notes to the consolidated financial statements for more information.</w:t>
      </w:r>
    </w:p>
    <w:p>
      <w:pPr>
        <w:pStyle w:val="TextBody"/>
        <w:bidi w:val="0"/>
        <w:spacing w:lineRule="auto" w:line="288" w:before="180" w:after="180"/>
        <w:jc w:val="left"/>
        <w:rPr>
          <w:rFonts w:ascii="Times New Roman;sans-serif" w:hAnsi="Times New Roman;sans-serif"/>
          <w:b/>
          <w:i/>
          <w:color w:val="212529"/>
          <w:sz w:val="20"/>
        </w:rPr>
      </w:pPr>
      <w:r>
        <w:rPr>
          <w:rFonts w:ascii="Times New Roman;sans-serif" w:hAnsi="Times New Roman;sans-serif"/>
          <w:b/>
          <w:i/>
          <w:color w:val="212529"/>
          <w:sz w:val="20"/>
        </w:rPr>
        <w:t>The loss of key personnel and limited management and personnel resources could adversely affect our business.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depends, to a significant degree, upon the continued contributions of our management team, and service and sales personnel. In addition, manufacturer dealer or framework agreements may require the prior approval of the applicable manufacturer before any change is made in dealership general managers or other management positions. The loss of the services of one or more of these key employees may materially impair the profitability of our operations, or may result in a violation of an applicable dealer or framework agreement. In addition, the market for qualified employees in the industry and in the states in which we operate, specifically for general managers and sales and service personnel, is highly competitive and may subject us to increased labor costs during periods of low unemployment. The loss of the services of such employees or the inability to attract additional qualified employees may adversely affect the ability of our dealerships to conduct their operations in accordance with the standards set by us or the manufacturers. If we are unable to retain our key personnel, we may be unable to successfully execute our business plans, which may have a material adverse effect on our business.</w:t>
      </w:r>
    </w:p>
    <w:p>
      <w:pPr>
        <w:pStyle w:val="TextBody"/>
        <w:bidi w:val="0"/>
        <w:spacing w:lineRule="auto" w:line="288" w:before="180" w:after="180"/>
        <w:jc w:val="left"/>
        <w:rPr/>
      </w:pPr>
      <w:r>
        <w:rPr>
          <w:rFonts w:ascii="Times New Roman;sans-serif" w:hAnsi="Times New Roman;sans-serif"/>
          <w:b/>
          <w:i/>
          <w:color w:val="000000"/>
          <w:sz w:val="20"/>
        </w:rPr>
        <w:t xml:space="preserve">The </w:t>
      </w:r>
      <w:r>
        <w:rPr>
          <w:rFonts w:ascii="Times New Roman;sans-serif" w:hAnsi="Times New Roman;sans-serif"/>
          <w:b/>
          <w:i/>
          <w:color w:val="212529"/>
          <w:sz w:val="20"/>
        </w:rPr>
        <w:t>Herb Chambers Dealerships</w:t>
      </w:r>
      <w:r>
        <w:rPr>
          <w:color w:val="000000"/>
        </w:rPr>
        <w:t xml:space="preserve"> </w:t>
      </w:r>
      <w:r>
        <w:rPr>
          <w:rFonts w:ascii="Times New Roman;sans-serif" w:hAnsi="Times New Roman;sans-serif"/>
          <w:b/>
          <w:i/>
          <w:color w:val="000000"/>
          <w:sz w:val="20"/>
        </w:rPr>
        <w:t>acquisition may not occur at all or may not occur in the expected time frame, which may negatively affect the trading price of our common stock and our future business and financial results.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 assurance can be provided that the Herb Chambers Dealerships acquisition will be completed in the manner and on the time frame currently anticipated, or at all. Completion of the Herb Chambers Dealerships acquisition is subject to the satisfaction or waiver of a number of conditions beyond our control that may prevent, delay or otherwise materially adversely affect its completion. If the Herb Chambers Dealerships acquisition is not completed, if there are significant delays in completing the Herb Chambers Dealerships acquisition or if the Herb Chambers Dealerships acquisition involves an unexpected amount of remedies required by regulatory authorities, it could negatively affect the trading price of our common stock and our future business and financial results. The following are some but not all of the factors that could cause the Herb Chambers Dealerships acquisition to be delayed or not successfully be completed: (i) the occurrence of any event, change or other circumstances that could give rise to the termination of the Transaction Agreement; (ii) the risk that the necessary manufacturer approvals may not be obtained; (iii) the risk that the necessary regulatory approvals may not be obtained or may be obtained subject to conditions that are not anticipated; (iv) the inability to obtain the necessary financing in order to complete the acquisition; (v) the risk that the proposed acquisition will not be consummated in a timely manner; and (vi) the risk that any of the closing conditions to the proposed acquisition may not be satisfied or may not be satisfied in a timely manner. </w:t>
      </w:r>
    </w:p>
    <w:p>
      <w:pPr>
        <w:pStyle w:val="TextBody"/>
        <w:bidi w:val="0"/>
        <w:spacing w:lineRule="auto" w:line="288" w:before="180" w:after="180"/>
        <w:jc w:val="left"/>
        <w:rPr/>
      </w:pPr>
      <w:r>
        <w:rPr>
          <w:rFonts w:ascii="Times New Roman;sans-serif" w:hAnsi="Times New Roman;sans-serif"/>
          <w:b/>
          <w:i/>
          <w:color w:val="000000"/>
          <w:sz w:val="20"/>
        </w:rPr>
        <w:t xml:space="preserve">We </w:t>
      </w:r>
      <w:r>
        <w:rPr>
          <w:rFonts w:ascii="Times New Roman;sans-serif" w:hAnsi="Times New Roman;sans-serif"/>
          <w:b/>
          <w:i/>
          <w:color w:val="212529"/>
          <w:sz w:val="20"/>
        </w:rPr>
        <w:t>may</w:t>
      </w:r>
      <w:r>
        <w:rPr>
          <w:color w:val="000000"/>
        </w:rPr>
        <w:t xml:space="preserve"> </w:t>
      </w:r>
      <w:r>
        <w:rPr>
          <w:rFonts w:ascii="Times New Roman;sans-serif" w:hAnsi="Times New Roman;sans-serif"/>
          <w:b/>
          <w:i/>
          <w:color w:val="000000"/>
          <w:sz w:val="20"/>
        </w:rPr>
        <w:t xml:space="preserve">not realize the strategic benefits and cost synergies that are anticipated from the planned </w:t>
      </w:r>
      <w:r>
        <w:rPr>
          <w:rFonts w:ascii="Times New Roman;sans-serif" w:hAnsi="Times New Roman;sans-serif"/>
          <w:b/>
          <w:i/>
          <w:color w:val="212529"/>
          <w:sz w:val="20"/>
        </w:rPr>
        <w:t>Herb Chambers Dealerships</w:t>
      </w:r>
      <w:r>
        <w:rPr>
          <w:color w:val="000000"/>
        </w:rPr>
        <w:t xml:space="preserve"> </w:t>
      </w:r>
      <w:r>
        <w:rPr>
          <w:rFonts w:ascii="Times New Roman;sans-serif" w:hAnsi="Times New Roman;sans-serif"/>
          <w:b/>
          <w:i/>
          <w:color w:val="000000"/>
          <w:sz w:val="20"/>
        </w:rPr>
        <w:t>acquisition.</w:t>
      </w:r>
    </w:p>
    <w:p>
      <w:pPr>
        <w:pStyle w:val="TextBody"/>
        <w:bidi w:val="0"/>
        <w:spacing w:lineRule="auto" w:line="288" w:before="18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growth depends in part on our ability to acquire and effectively integrate acquired dealerships into our organization, such as the pending Herb Chambers Dealerships acquisition. The benefits that are expected to result from the Herb Chambers Dealerships acquisition will depend, in part, on our ability to consummate the Herb Chambers Dealerships acquisition within the anticipated time period, or at all, and to integrate and realize the anticipated cost synergies from the Herb Chambers Dealerships acquisition. There is a significant degree of difficulty and management distraction inherent in the process of integrating an acquisition. Some members of our management may be required to devote considerable time to this integration process, which will decrease the time they will have to manage the Company, service existing customers, attract new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and develop new businesses or strategies. If management is not able to effectively manage the integration process, or if any significant business activities are interrupted as a result of the integration process, our business, financial condition and results of operations could suffer. We also cannot guarantee that the benefits and cost synergies that we currently expect to realize as a result of the Herb Chambers Dealerships acquisition will be achieved within our anticipated time frames or at all. Additionally, we may incur substantial expenses in connection with the integration of the Herb Chambers Dealerships, which may exceed expectations and offset certain anticipated benefits.</w:t>
      </w:r>
    </w:p>
    <w:p>
      <w:pPr>
        <w:pStyle w:val="TextBody"/>
        <w:bidi w:val="0"/>
        <w:spacing w:lineRule="auto" w:line="288" w:before="18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are some but not all of the factors that could cause actual results or events to differ materially from those anticipated in connection with the Herb Chambers Dealerships acquisition: (i) risks related to disruption of management time from ongoing business operations due to the proposed acquisition; (ii) the failure to realize the benefits expected from the proposed acquisition; (iii) the failure to promptly and effectively integrate the operations, including information technology systems and security, and personnel, including applicable pay plans; (iv) the effect of the announcement of the proposed Transaction on the ability of the Company to retain and hire key personnel, and maintain relationships with suppliers; and (v) our ability to execute our business strategy and accelerate same store growth after integration. </w:t>
      </w: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Risks Related to Macroeconomic and Market Conditions</w:t>
      </w:r>
    </w:p>
    <w:p>
      <w:pPr>
        <w:pStyle w:val="TextBody"/>
        <w:bidi w:val="0"/>
        <w:spacing w:lineRule="auto" w:line="288" w:before="180" w:after="180"/>
        <w:jc w:val="left"/>
        <w:rPr>
          <w:rFonts w:ascii="Times New Roman;sans-serif" w:hAnsi="Times New Roman;sans-serif"/>
          <w:b/>
          <w:i/>
          <w:color w:val="212529"/>
          <w:sz w:val="20"/>
        </w:rPr>
      </w:pPr>
      <w:r>
        <w:rPr>
          <w:rFonts w:ascii="Times New Roman;sans-serif" w:hAnsi="Times New Roman;sans-serif"/>
          <w:b/>
          <w:i/>
          <w:color w:val="212529"/>
          <w:sz w:val="20"/>
        </w:rPr>
        <w:t>The automotive retail industry is sensitive to unfavorable changes in general economic conditions and various other factors that could affect demand for our products and services, which could have a material adverse effect on our business, our ability to implement our strategy and our results of operations.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Our future performance will be impacted by general economic conditions including among other things: changes in employment levels; consumer demand, preferences and confidence levels; the availability and cost of credit; fuel prices; levels of discretionary personal income; inflation; interest rates; and changes in U.S. trade policy, including the imposition of tariffs and resulting consequences. Recently, inflation has increased throughout the U.S. economy. Inflation can adversely affect us by increasing the costs of labor, fuel and other costs as well as by reducing demand for automobiles. Sales of certain vehicles, particularly trucks and sport utility vehicles that historically have provided us with higher gross profit per vehicle retailed, may be sensitive to fuel prices. In addition, rapid changes in fuel prices can cause shifts in consumer preferences which are difficult to accommodate given the long lead-time of inventory acquisition. Inflation is also often accompanied by higher interest rates, which could reduce the fair value of our outstanding debt obligations. Changes in interest rates can also significantly impact new and used vehicle sales and vehicle affordability due to the direct relationship between interest rates and monthly loan payments, a critical factor for many vehicle buyers, and the impact interest rates have on customers’ borrowing capacity and disposable income. In an inflationary environment, depending on automotive industry and other economic conditions, we may be unable to raise prices to keep up with the rate of inflation, which would reduce our profit margins. We have experienced, and continue to experience, increases in the prices of labor, fuel and other costs of providing service. Continued inflationary pressures could impact our profitability.</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also are subject to economic, competitive, and other conditions prevailing in the various markets in which we operate, even if those conditions are not prominent nationally.</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Retail vehicle sales are cyclical and historically have experienced periodic downturns characterized by oversupply and weak demand, which could result in a need for us to lower the prices at which we sell vehicles, which would reduce our revenue per vehicle sold and our margins. Additionally, a shift in consumer vehicle preferences driven by pricing, fuel costs or other factors may have a material adverse effect on our revenues, margins and results of operations.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Changes in general economic conditions may make it difficult for us to execute our business strategy. In such an event, we may be required to enter into certain transactions in order to generate additional cash, which may include, but not be limited to, selling certain of our dealerships or other assets or increasing borrowings under our existing, or any future, credit facilities. There can be no assurance that, if necessary, we would be able to enter into any such transactions in a timely manner or on reasonable terms, if at all. Furthermore, in the event we were required to sell dealership assets, the sale of any material portion of such assets could have a material adverse effect on our revenue and profitability.</w:t>
      </w:r>
    </w:p>
    <w:p>
      <w:pPr>
        <w:pStyle w:val="TextBody"/>
        <w:bidi w:val="0"/>
        <w:spacing w:lineRule="auto" w:line="288" w:before="180" w:after="180"/>
        <w:jc w:val="left"/>
        <w:rPr>
          <w:rFonts w:ascii="Times New Roman;sans-serif" w:hAnsi="Times New Roman;sans-serif"/>
          <w:b/>
          <w:i/>
          <w:color w:val="212529"/>
          <w:sz w:val="20"/>
        </w:rPr>
      </w:pPr>
      <w:r>
        <w:rPr>
          <w:rFonts w:ascii="Times New Roman;sans-serif" w:hAnsi="Times New Roman;sans-serif"/>
          <w:b/>
          <w:i/>
          <w:color w:val="212529"/>
          <w:sz w:val="20"/>
        </w:rPr>
        <w:t>Adverse conditions affecting one or more of the vehicle manufacturers with which we hold franchises or their inability to deliver a desirable mix of vehicles that our consumers demand could have a material adverse effect on our business, results of operations, financial condition and cash flows.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we have generated most of our revenue through new vehicle sales, and new vehicle sales also tend to lead to sales of higher-margin products and services, such as finance and insurance products and vehicle-related parts and service. As a result, our profitability is dependent to a great extent on various aspects of vehicle manufacturers’ operations, many of which are outside of our control. Our ability to sell new vehicles is dependent on manufacturers’ ability to design and produce, and willingness to allocate and deliver to our dealerships, a desirable mix of popular new vehicles that consumers demand.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example, improvements in electric, battery-powered and hybrid gas/electric vehicles have increased consumer demand for such vehicles. If consumer demand increases for certain types of vehicles, including electric, battery-powered and hybrid gas/electric, and our manufacturers are not able to adapt and produce such vehicles that meet consumer demands, our new and used vehicle sales volumes, parts and service revenue and our results of operations may be adversely affected. Further, if manufacturers shift significant resources away from traditional production models to invest in clean vehicles and new technologies, we may experience an inadequate supply of historically popular vehicles and other adverse effects on our new and used vehicle sales volume, parts and service revenue and our results of operations until such time as consumer preferences for clean vehicles and other new technologies become widespread. In addition, popular vehicles may often be difficult to obtain from manufacturers for a number of reasons, including the fact that manufacturers generally allocate their vehicles to dealerships based on sales history and capital expenditures associated with such dealerships. Further, if a manufacturer fails to produce desirable vehicles or develops a reputation for producing undesirable vehicles or produces vehicles that do not comply with applicable laws or government regulations, and we own dealerships which sell that manufacturer’s vehicles, our revenues from those dealerships could be adversely affected as consumers shift their vehicle purchases away from that brand.</w:t>
      </w:r>
    </w:p>
    <w:p>
      <w:pPr>
        <w:pStyle w:val="TextBody"/>
        <w:bidi w:val="0"/>
        <w:spacing w:lineRule="auto" w:line="288" w:before="180" w:after="180"/>
        <w:ind w:left="0" w:right="0" w:firstLine="315"/>
        <w:jc w:val="left"/>
        <w:rPr/>
      </w:pPr>
      <w:r>
        <w:rPr>
          <w:rFonts w:ascii="Times New Roman;sans-serif" w:hAnsi="Times New Roman;sans-serif"/>
          <w:b w:val="false"/>
          <w:color w:val="000000"/>
          <w:sz w:val="20"/>
        </w:rPr>
        <w:t xml:space="preserve">Although we seek to limit our dependence on any one vehicle manufacturer, there can be no assurance that the brand mix allocated and delivered to our dealerships by the manufacturers will be appropriate or sufficiently diverse to protect us from a significant decline in the desirability of vehicles manufactured by a particular manufacturer or disruptions in a manufacturer's ability to produce vehicles. For the year ended December 31, 2024, manufacturers representing </w:t>
      </w:r>
      <w:r>
        <w:rPr>
          <w:rFonts w:ascii="Times New Roman;sans-serif" w:hAnsi="Times New Roman;sans-serif"/>
          <w:b w:val="false"/>
          <w:color w:val="000000"/>
          <w:sz w:val="20"/>
          <w:shd w:fill="FFFFFF" w:val="clear"/>
        </w:rPr>
        <w:t>5%</w:t>
      </w:r>
      <w:r>
        <w:rPr>
          <w:color w:val="000000"/>
        </w:rPr>
        <w:t xml:space="preserve"> </w:t>
      </w:r>
      <w:r>
        <w:rPr>
          <w:rFonts w:ascii="Times New Roman;sans-serif" w:hAnsi="Times New Roman;sans-serif"/>
          <w:b w:val="false"/>
          <w:color w:val="000000"/>
          <w:sz w:val="20"/>
        </w:rPr>
        <w:t>or more of our revenues from new vehicle sales were as follows:</w:t>
      </w:r>
    </w:p>
    <w:tbl>
      <w:tblPr>
        <w:tblW w:w="6253" w:type="dxa"/>
        <w:jc w:val="left"/>
        <w:tblInd w:w="0" w:type="dxa"/>
        <w:tblLayout w:type="fixed"/>
        <w:tblCellMar>
          <w:top w:w="28" w:type="dxa"/>
          <w:left w:w="28" w:type="dxa"/>
          <w:bottom w:w="28" w:type="dxa"/>
          <w:right w:w="28" w:type="dxa"/>
        </w:tblCellMar>
      </w:tblPr>
      <w:tblGrid>
        <w:gridCol w:w="1717"/>
        <w:gridCol w:w="1510"/>
        <w:gridCol w:w="1513"/>
        <w:gridCol w:w="109"/>
        <w:gridCol w:w="109"/>
        <w:gridCol w:w="109"/>
        <w:gridCol w:w="242"/>
        <w:gridCol w:w="242"/>
        <w:gridCol w:w="702"/>
      </w:tblGrid>
      <w:tr>
        <w:trPr/>
        <w:tc>
          <w:tcPr>
            <w:tcW w:w="1717"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Manufacturer (Vehicle Brands):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Total</w:t>
              <w:br/>
              <w:t>New Vehicle</w:t>
              <w:br/>
              <w:t>Revenues</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Toyota Motor Sales, U.S.A., Inc. (</w:t>
            </w:r>
            <w:r>
              <w:rPr>
                <w:rFonts w:ascii="Times New Roman;sans-serif" w:hAnsi="Times New Roman;sans-serif"/>
                <w:b w:val="false"/>
                <w:i/>
                <w:color w:val="000000"/>
                <w:sz w:val="20"/>
              </w:rPr>
              <w:t>Toyota and Lexus</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Ford Motor Company (</w:t>
            </w:r>
            <w:r>
              <w:rPr>
                <w:rFonts w:ascii="Times New Roman;sans-serif" w:hAnsi="Times New Roman;sans-serif"/>
                <w:b w:val="false"/>
                <w:i/>
                <w:color w:val="000000"/>
                <w:sz w:val="20"/>
              </w:rPr>
              <w:t>Ford and Lincoln</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American Honda Motor Co., Inc. (</w:t>
            </w:r>
            <w:r>
              <w:rPr>
                <w:rFonts w:ascii="Times New Roman;sans-serif" w:hAnsi="Times New Roman;sans-serif"/>
                <w:b w:val="false"/>
                <w:i/>
                <w:color w:val="000000"/>
                <w:sz w:val="20"/>
              </w:rPr>
              <w:t>Honda and Acura</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Stellantis N.V. (</w:t>
            </w:r>
            <w:r>
              <w:rPr>
                <w:rFonts w:ascii="Times New Roman;sans-serif" w:hAnsi="Times New Roman;sans-serif"/>
                <w:b w:val="false"/>
                <w:i/>
                <w:color w:val="000000"/>
                <w:sz w:val="20"/>
              </w:rPr>
              <w:t>Chrysler, Dodge, Jeep, Ram and Fiat</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Mercedes-Benz USA, LLC (</w:t>
            </w:r>
            <w:r>
              <w:rPr>
                <w:rFonts w:ascii="Times New Roman;sans-serif" w:hAnsi="Times New Roman;sans-serif"/>
                <w:b w:val="false"/>
                <w:i/>
                <w:color w:val="000000"/>
                <w:sz w:val="20"/>
              </w:rPr>
              <w:t>Mercedes-Benz and Sprinter</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General Motors Company (</w:t>
            </w:r>
            <w:r>
              <w:rPr>
                <w:rFonts w:ascii="Times New Roman;sans-serif" w:hAnsi="Times New Roman;sans-serif"/>
                <w:b w:val="false"/>
                <w:i/>
                <w:color w:val="000000"/>
                <w:sz w:val="20"/>
              </w:rPr>
              <w:t>Chevrolet, Buick and GMC)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Hyundai Motor North America (</w:t>
            </w:r>
            <w:r>
              <w:rPr>
                <w:rFonts w:ascii="Times New Roman;sans-serif" w:hAnsi="Times New Roman;sans-serif"/>
                <w:b w:val="false"/>
                <w:i/>
                <w:color w:val="000000"/>
                <w:sz w:val="20"/>
              </w:rPr>
              <w:t>Hyundai and Genesis</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Similar to automotive retailers, vehicle manufacturers may be affected by the long-term U.S. and international economic climate. In addition, we remain vulnerable to other matters that may impact the manufacturers of the vehicles we sell, many of which are outside of our control, including: (i) changes in their respective financial condition; (ii) changes in their respective marketing efforts; (iii) changes in their respective reputation; (iv) manufacturer and other product defects, including recalls; (v) changes in their respective management; (vi) disruptions in the production and delivery of vehicles and parts due to natural disasters, pandemics, wars, conflicts or other reasons; (vii) issues with respect to labor relations; and (viii) consolidation among manufacturers. Our business is highly dependent on consumer demand and brand preferences for our manufacturers’ products. Manufacturer recall campaigns are a common occurrence that have accelerated in frequency and scope. Manufacturer recall campaigns could (i) adversely affect our new and used vehicle sales or customer residual trade-in valuations, (ii) cause us to temporarily remove vehicles from our inventory, (iii) force us to incur increased costs, and (iv) expose us to litigation and adverse publicity related to the sale of recalled vehicles, which could have a material adverse effect on our business, results of operations, financial condition and cash flows. Vehicle manufacturers that produce vehicles outside of the U.S. are subject to additional risks including changes in quotas, tariffs or duties, fluctuations in foreign currency exchange rates, regulations governing imports and the costs related thereto, and foreign governmental regulations.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Adverse conditions that materially affect a vehicle manufacturer and its ability to profitably design, market, produce or distribute desirable new vehicles could in turn materially adversely affect our ability to (i) sell vehicles produced by that manufacturer, (ii) obtain or finance our new vehicle inventories, (iii) access or benefit from manufacturer financial assistance programs, (iv) collect in full or on a timely basis any amounts due therefrom, and/or (v) obtain other goods and services provided by the impacted manufacturer. In addition, we depend on manufacturers’ ability to design, produce, and supply parts to us and any failure to do so could have a material adverse effect on our parts and services business. Our business, results of operations, financial condition, and cash flows could be materially adversely affected as a result of any event that has an adverse effect on any vehicle manufacturer.</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if a vehicle manufacturer’s financial condition worsens and it seeks protection from creditors in bankruptcy or similar proceedings, or otherwise under the laws of its jurisdiction of organization, (i) the manufacturer could seek to terminate or reject all or certain of our franchises, (ii) if the manufacturer is successful in terminating all or certain of our franchises, we may not receive adequate compensation for those franchises, (iii) our cost to obtain financing for our new vehicle inventory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may increase or no longer be available from such manufacturer’s captive finance subsidiary, (iv) consumer demand for such manufacturer’s products could be materially adversely affected, especially if costs related to improving such manufacturer’s financial condition are factored into the price of its products, (v) there may be a significant disruption in the availability of consumer credit to purchase or lease that manufacturer’s vehicles or negative changes in the terms of such financing, which may negatively impact our sales, or (vi) there may be a reduction in the value of receivables and inventory associated with that manufacturer, among other things. The occurrence of any one or more of these events could have a material adverse effect on our business, results of operations, financial condition, and cash flows.</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the automotive manufacturing supply chain spans the globe. As such, supply chain disruptions resulting from natural disasters, adverse weather, pandemics, tariffs, labor stoppages, wars, conflicts and other events may affect the flow of vehicle and parts inventories to us or our manufacturing partners. If we experience disruptions in the supply of vehicle and parts inventories, such disruptions could have a material adverse effect on our business, results of operations, financial condition, and cash flows.</w:t>
      </w:r>
    </w:p>
    <w:p>
      <w:pPr>
        <w:pStyle w:val="TextBody"/>
        <w:bidi w:val="0"/>
        <w:spacing w:lineRule="auto" w:line="288" w:before="180" w:after="180"/>
        <w:jc w:val="left"/>
        <w:rPr>
          <w:rFonts w:ascii="Times New Roman;sans-serif" w:hAnsi="Times New Roman;sans-serif"/>
          <w:b/>
          <w:i/>
          <w:color w:val="212529"/>
          <w:sz w:val="20"/>
        </w:rPr>
      </w:pPr>
      <w:r>
        <w:rPr>
          <w:rFonts w:ascii="Times New Roman;sans-serif" w:hAnsi="Times New Roman;sans-serif"/>
          <w:b/>
          <w:i/>
          <w:color w:val="212529"/>
          <w:sz w:val="20"/>
        </w:rPr>
        <w:t>Substantial competition in automobile sales and services may have a material adverse effect on our results of operations.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automotive retail and service industry is highly competitive with respect to price, service, location, and selection. Our competition includes: (i) franchised automobile dealerships in our markets that sell the same or similar new and used vehicles; (ii) privately negotiated sales of used vehicles; (iii) other used vehicle retailers, including regional and national vehicle rental companies; (iv) companies with a primarily internet-based business model, such as Carvana, and used vehicle brokers that sell used vehicles to consumers; (v) service center and parts supply chain stores; and (vi) independent service and repair shops.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do not have any cost advantage over other retailers in purchasing new vehicles from manufacturers. We typically rely on our advertising, merchandising, sales expertise, service reputation, strong local branding and dealership location to sell new vehicles. Because our dealer agreements only grant us a non-exclusive right to sell a manufacturer’s product within a specified market area, our revenues, gross profit and overall profitability may be materially adversely affected if competing dealerships expand their market share. Further, our vehicle manufacturers may decide to award additional franchises in our markets in ways that negatively impact our sales.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internet has become a significant part of the advertising and sales process in our industry. Customers are using the internet to shop and compare prices for new and used vehicles, automotive repair and maintenance services, finance and insurance products and other automotive products. If we are unable to effectively use the internet to attract customers to our own online channels, and mobile applications, and, in turn, to our stores, our business, financial condition, results of operations and cash flows could be materially adversely affected. Additionally, the growing use of social media by consumers increases the speed and extent that information and opinions can be shared, and negative posts or comments on social media about us or any of our stores could damage our reputation and brand names, which could have a material adverse effect on our business, financial condition, results of operations and cash flows.</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we rely on the protection of state franchise laws in the states in which we operate and if those laws are repealed or weakened, our framework, franchise and related agreements may become more susceptible to termination, nonrenewal or renegotiation. These laws have historically restricted the ability of automobile manufacturers to directly enter the retail market and sell vehicles directly to consumers. However, many states have recently passed or introduced legislation to permit direct to consumer sales of electric vehicles by certain companies, such as Tesla and Rivian, without the requirements of establishing a dealer network. If the state franchise laws are repealed, weakened or amended to permit vehicle manufacturers to sell vehicles (whether electric or not) directly to consumers, they may be able to have a competitive advantage over the traditional dealers, which could have a material adverse effect on our sales in those states, which in turn, could have a material adverse effect on our business, financial condition, results of operations and cash flows.</w:t>
      </w:r>
    </w:p>
    <w:p>
      <w:pPr>
        <w:pStyle w:val="TextBody"/>
        <w:bidi w:val="0"/>
        <w:spacing w:lineRule="auto" w:line="288" w:before="180" w:after="180"/>
        <w:jc w:val="left"/>
        <w:rPr>
          <w:rFonts w:ascii="Times New Roman;sans-serif" w:hAnsi="Times New Roman;sans-serif"/>
          <w:b/>
          <w:i/>
          <w:color w:val="212529"/>
          <w:sz w:val="20"/>
        </w:rPr>
      </w:pPr>
      <w:r>
        <w:rPr>
          <w:rFonts w:ascii="Times New Roman;sans-serif" w:hAnsi="Times New Roman;sans-serif"/>
          <w:b/>
          <w:i/>
          <w:color w:val="212529"/>
          <w:sz w:val="20"/>
        </w:rPr>
        <w:t>We are dependent upon our relationships with the manufacturers of vehicles that we sell and are subject to restrictions imposed by, and significant influence from, these vehicle manufacturers. Any of these restrictions or any changes or deterioration of these relationships could have a material adverse effect on our business, financial condition, results of operations and cash flows.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are dependent on our relationships with the manufacturers of the vehicles we sell, which have the ability to exercise a great deal of control and influence over our day-to-day operations, as a result of the terms of our dealer, framework and related agreements. We may obtain new vehicles from manufacturers, service vehicles, sell new vehicles and display vehicle manufacturers’ trademarks only to the extent permitted under these agreements. The terms of these agreements may conflict with our interests and objectives and may impose limitations on key aspects of our operations, including acquisition strategy and capital spending.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manufacturers can set performance standards with respect to sales volume, sales effectiveness and customer satisfaction, and require us to obtain manufacturer consent before we can acquire dealerships selling a manufacturer’s automobiles. From time to time, we may be precluded under agreements with certain manufacturers from acquiring additional franchises, or subject to other adverse actions, to the extent we are not meeting certain performance criteria at our existing stores (with respect to matters such as sales volume, customer satisfaction and sales effectiveness) until our performance improves in accordance with the agreements, subject to applicable state franchise laws. In addition, many vehicle manufacturers place limits on the total number of franchises that any group of affiliated dealerships may own and certain manufacturers place limits on the number of franchises or share of total brand vehicle sales that may be maintained by an affiliated dealership group on a national, regional or local basis, as well as limits on store ownership in contiguous markets. If we reach any of these limits, we may be prevented from making further acquisitions, or we may be required to dispose of certain dealerships, which could adversely affect our future growth. We cannot provide assurance that manufacturers will approve future acquisitions timely, if at all, which could significantly impair the execution of our acquisition strategy.</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certain manufacturers use a dealership’s manufacturer-determined customer satisfaction index ("CSI") score as a factor governing participation in incentive programs. To the extent we do not meet minimum score requirements, our future payments may be materially reduced or we may be precluded from receiving certain incentives, which could materially adversely affect our business, financial condition, results of operations and cash flows.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Manufacturers also typically establish facilities and minimum capital requirements for dealerships on a case-by-case basis. In certain circumstances, including as a condition to obtaining consent to a proposed acquisition and qualifying for certain financial incentives, a manufacturer may require us to remodel, upgrade or move our facilities, and capitalize the subject dealership at levels we would not otherwise choose to fund, causing us to divert our financial resources away from uses that management believes may be of higher long-term value to us. Delays in obtaining, or failing to obtain, manufacturer consent, would impede our ability to execute acquisitions that we believe would integrate well with our overall strategy and limit our ability to expand our business.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Manufacturers can also establish new franchises or relocate existing franchises, subject to applicable state franchise laws. The establishment or relocation of franchises in our markets could have a material adverse effect on the business, financial condition and results of operations of our dealerships in the market in which the action is taken.</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Manufacturers may also limit our ability to divest one or more of our franchise dealerships in a timely manner. Most of our dealer agreements provide the manufacturer with a right of first refusal to purchase any of the manufacturer’s franchises we seek to sell. Divestitures of our franchise dealerships may also require manufacturer consent and failure to obtain consent would require us to find another potential buyer or wait until the buyer is able to meet the requirements of the manufacturer. A delay in the sale of a dealership could have a negative impact on our business, financial condition, results of operations, and cash flows.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Manufacturers may terminate or may not renew our dealer and framework agreements, or may compel us to divest our dealerships, for a number of reasons, including default under the agreement, any unapproved change of control (which specific changes vary from manufacturer to manufacturer, but which include material changes in the composition of our Board of Directors during a specified time period, the acquisition of 5% or more of our voting stock by another vehicle manufacturer or distributor, the acquisition of 20% or more of our voting stock by third parties, and the acquisition of an ownership interest sufficient to direct or influence management and policies), or certain other unapproved events (including certain extraordinary corporate transactions such as a merger or sale of all or substantially all of our assets). Triggers of these clauses are often based upon actions by our stockholders and are generally outside of our control. Restrictions on any unapproved changes of ownership or management may adversely impact our value, as they may prevent or deter prospective acquirers from gaining control of us. In addition, actions taken by a manufacturer to exploit its bargaining position in negotiating the terms of renewals of franchise agreements or otherwise could also have a material adverse effect on our revenues and profitability.</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assurances that we will be able to renew our dealer and framework agreements on a timely basis, on acceptable terms, or at all. Our business, financial condition and results of operations may be materially adversely affected to the extent that our rights become compromised or our operations are restricted due to the terms of our dealer or framework agreements or if we lose franchises representing a significant percentage of our revenues due to the termination of, or failure to renew, such agreements.</w:t>
      </w:r>
    </w:p>
    <w:p>
      <w:pPr>
        <w:pStyle w:val="TextBody"/>
        <w:bidi w:val="0"/>
        <w:spacing w:lineRule="auto" w:line="288" w:before="180" w:after="180"/>
        <w:jc w:val="left"/>
        <w:rPr>
          <w:rFonts w:ascii="Times New Roman;sans-serif" w:hAnsi="Times New Roman;sans-serif"/>
          <w:b/>
          <w:i/>
          <w:color w:val="212529"/>
          <w:sz w:val="20"/>
        </w:rPr>
      </w:pPr>
      <w:r>
        <w:rPr>
          <w:rFonts w:ascii="Times New Roman;sans-serif" w:hAnsi="Times New Roman;sans-serif"/>
          <w:b/>
          <w:i/>
          <w:color w:val="212529"/>
          <w:sz w:val="20"/>
        </w:rPr>
        <w:t>If vehicle manufacturers reduce or discontinue sales incentive, warranty or other promotional programs, our business, financial condition, results of operations and cash flows may be materially adversely affected.</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benefit from certain sales incentive, warranty, and other promotional programs of vehicle manufacturers that are intended to promote and support their respective new vehicle sales. Key incentive programs include: (i) customer rebates on new vehicles; (ii) dealer incentives on new vehicles; (iii) special financing or leasing terms; (iv) warranties on new and used vehicles; and (v) sponsorship of used vehicle sales by authorized new vehicle dealers.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Vehicle manufacturers often make many changes to their incentive programs. Any reduction or discontinuation of manufacturers’ incentive programs for any reason, including a supply and demand imbalance, may reduce our sales volume which, in turn, could have a material adverse effect on our business, financial condition, results of operations and cash flows.</w:t>
      </w:r>
    </w:p>
    <w:p>
      <w:pPr>
        <w:pStyle w:val="TextBody"/>
        <w:bidi w:val="0"/>
        <w:spacing w:lineRule="auto" w:line="288" w:before="180" w:after="180"/>
        <w:jc w:val="left"/>
        <w:rPr>
          <w:rFonts w:ascii="Times New Roman;sans-serif" w:hAnsi="Times New Roman;sans-serif"/>
          <w:b/>
          <w:i/>
          <w:color w:val="212529"/>
          <w:sz w:val="20"/>
        </w:rPr>
      </w:pPr>
      <w:r>
        <w:rPr>
          <w:rFonts w:ascii="Times New Roman;sans-serif" w:hAnsi="Times New Roman;sans-serif"/>
          <w:b/>
          <w:i/>
          <w:color w:val="212529"/>
          <w:sz w:val="20"/>
        </w:rPr>
        <w:t>Technological advances, including electrification of vehicles and adoption of autonomous vehicles in the long-term, could have a material adverse effect on our business.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automotive industry is predicted to experience change over the long-term. Technological advances are facilitating the development of electric, battery powered and hybrid gas/electric vehicles and autonomous vehicles. While most major vehicle manufacturers have announced plans to electrify some or all of their new vehicle offerings, the eventual timing of widespread availability of electric, battery powered and hybrid gas/electric vehicles and driverless vehicles is uncertain due to regulatory requirements, additional technological requirements, and uncertain consumer acceptance of these vehicles. We expect to continue to sell electric, battery powered and hybrid gas/electric vehicles through our dealerships; however, the effect of these vehicles on the automotive retail business is uncertain and could include changes in the level of the new and used vehicle sales, the price of new and used vehicles and the levels of service required for such vehicles and the profitability of our parts and service business, our finance and insurance business, including our TCA business, and the role of franchised dealers, any of which could materially adversely affect our business, financial condition, results of operations and cash flows.</w:t>
      </w: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Risks Related to Our Indebtedness and Financial Matters</w:t>
      </w:r>
    </w:p>
    <w:p>
      <w:pPr>
        <w:pStyle w:val="TextBody"/>
        <w:bidi w:val="0"/>
        <w:spacing w:lineRule="auto" w:line="288" w:before="180" w:after="180"/>
        <w:jc w:val="left"/>
        <w:rPr>
          <w:rFonts w:ascii="Times New Roman;sans-serif" w:hAnsi="Times New Roman;sans-serif"/>
          <w:b/>
          <w:i/>
          <w:color w:val="212529"/>
          <w:sz w:val="20"/>
        </w:rPr>
      </w:pPr>
      <w:r>
        <w:rPr>
          <w:rFonts w:ascii="Times New Roman;sans-serif" w:hAnsi="Times New Roman;sans-serif"/>
          <w:b/>
          <w:i/>
          <w:color w:val="212529"/>
          <w:sz w:val="20"/>
        </w:rPr>
        <w:t>Our outstanding indebtedness, ability to incur additional debt and the provisions in the agreements governing our debt, and certain other agreements, could have a material adverse effect on our business, financial condition, results of operations, and cash flows.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total debt of $3.16 billion and total floor plan notes payable, net of $1.69 billion. We have the ability to incur substantial additional debt in the future to finance, among other things, acquisitions, working capital and capital expenditures, and new and used vehicle inventory, as well as to refinance new and used vehicle inventory, subject in each case to the restrictions contained in our debt instruments and other agreements existing at the time such indebtedness is incurred. We will continue to have substantial debt service obligations, consisting of required cash payments of principal and interest, for the foreseeable future.</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anticipate the completion of the Herb Chambers Dealerships acquisition will cause us to (i) use a substantial portion of our cash resources; (ii) incur additional debt, which will increase our interest expense, leverage and debt service requirements; (iii) assume certain liabilities; (iv) record goodwill and intangible assets that are subject to impairment testing on a regular basis and potential periodic impairment charges; (v) incur tax expenses in connection with the acquisition and related to the effect of the acquisition on our legal structure; (vi) incur financing, restructuring and other related expenses; and (vii) be subject to certain litigation of the acquired company. We also expect that the completion of the Herb Chambers Dealerships acquisition will impact our debt service obligations.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Our debt service obligations could have important consequences to us for the foreseeable future, including the following: (i) our ability to obtain additional financing, or to obtain such financing on attractive terms, for acquisitions, capital expenditures, working capital or other general corporate purposes may be impaired; (ii) a substantial portion of our cash flow from operating activities must be dedicated to the payment of principal and interest on our debt, thereby reducing the funds available to us for our operations and other corporate purposes; (iii) some of our borrowings are and will continue to be at variable rates of interest, which exposes us to certain risks of interest rate increases; and (iv) we may be or become substantially more leveraged than some of our competitors, which may place us at a relative competitive disadvantage and make us more vulnerable to changes in market conditions and governmental regulations.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ability to incur additional debt in the future, there are operating and financial restrictions and covenants, such as leverage covenants, in certain of our debt and mortgage agreements, including the agreement governing our 2023 Senior Credit Facility and our mortgage agreements and related mortgage guarantees, as well as certain other agreements to which we are a party that may adversely affect our ability to finance our future operations or capital needs or to pursue certain business activities. These limit, among other things, our ability to incur certain additional debt, create certain liens or other encumbrances and make certain payments (including dividends and repurchases of our common stock and for investments). Certain of these agreements also require us to maintain compliance with certain financial ratios, including, but not limited to, our adjusted net leverage ratio.</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failure to comply with any of these covenants in the future could constitute a default under the relevant agreement, which could, depending on the relevant agreement, (i) entitle the creditors under such agreement to terminate our ability to borrow under the relevant agreement and accelerate our obligations to repay outstanding borrowings; (ii) require us to repay those borrowings; (iii) entitle the creditors under such agreement to foreclose on the property securing the relevant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indebtedness; or (iv) prevent us from making debt service payments on certain of our other indebtedness, any of which would have a material adverse effect on our business, financial condition, results of operations and cash flows. In many cases, a default under one of our debt, mortgage, or other agreements, could trigger cross-default provisions in one or more of our other debt or mortgage agreements. There can be no assurance that our creditors would agree to an amendment or waiver of our covenants. In the event we obtain an amendment or waiver, we would likely incur additional fees and higher interest expense.</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financial and other covenants contained in our various debt or mortgage agreements, certain of our lease agreements contain covenants that give our landlords the right to terminate the lease, seek significant cash damages, or evict us from the applicable property, if we fail to comply. Similarly, our failure to comply with any financial or other covenants in any of our framework agreements would give the relevant manufacturer certain rights, including the right to reject proposed acquisitions, and may give it the right to repurchase its franchises from us. Events that give rise to such rights, and our inability to acquire additional dealerships or the requirement that we sell one or more of our dealerships at any time, could inhibit the growth of our business, and could have a material adverse effect on our business, financial condition, results of operations and cash flows. Manufacturers may also have the right to restrict our ability to provide guarantees of our operating companies, pledges of the capital stock of our subsidiaries and liens on our assets, which could materially adversely affect our ability to obtain financing for our business and operations on favorable terms or at desired levels, if at all.</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occurrence of any one of these events may limit our ability to take strategic actions that would otherwise enable us to manage our business in a manner in which we otherwise would, absent such limitations, which could materially adversely affect our business, financial condition, results of operations and cash flows.</w:t>
      </w:r>
    </w:p>
    <w:p>
      <w:pPr>
        <w:pStyle w:val="TextBody"/>
        <w:bidi w:val="0"/>
        <w:spacing w:lineRule="auto" w:line="288" w:before="180" w:after="180"/>
        <w:jc w:val="left"/>
        <w:rPr>
          <w:rFonts w:ascii="Times New Roman;sans-serif" w:hAnsi="Times New Roman;sans-serif"/>
          <w:b/>
          <w:i/>
          <w:color w:val="212529"/>
          <w:sz w:val="20"/>
        </w:rPr>
      </w:pPr>
      <w:r>
        <w:rPr>
          <w:rFonts w:ascii="Times New Roman;sans-serif" w:hAnsi="Times New Roman;sans-serif"/>
          <w:b/>
          <w:i/>
          <w:color w:val="212529"/>
          <w:sz w:val="20"/>
        </w:rPr>
        <w:t>Our business, financial condition and results of operations may be materially adversely affected by increases in interest rates.</w:t>
      </w:r>
    </w:p>
    <w:p>
      <w:pPr>
        <w:pStyle w:val="TextBody"/>
        <w:bidi w:val="0"/>
        <w:spacing w:lineRule="auto" w:line="288" w:before="180" w:after="180"/>
        <w:ind w:left="0" w:right="0" w:firstLine="315"/>
        <w:jc w:val="left"/>
        <w:rPr/>
      </w:pPr>
      <w:r>
        <w:rPr>
          <w:rFonts w:ascii="Times New Roman;sans-serif" w:hAnsi="Times New Roman;sans-serif"/>
          <w:b w:val="false"/>
          <w:color w:val="000000"/>
          <w:sz w:val="20"/>
        </w:rPr>
        <w:t>We generally finance our purchases of new vehicle inventory, have the ability to finance the purchases of used vehicle inventory, and have the availability to borrow funds for working capital under our senior secured credit facilities that charge interest at variable rates. Therefore, our interest expense from variable rate debt will rise with increases in interest rates. In addition, a significant rise in interest rates may also have the effect of depressing demand in the interest rate sensitive aspects of our business, particularly new and used vehicle sales and the related profit margins and F&amp;I revenue per vehicle, because most of our customers finance their vehicle purchases.</w:t>
      </w:r>
      <w:r>
        <w:rPr>
          <w:color w:val="000000"/>
        </w:rPr>
        <w:t xml:space="preserve"> </w:t>
      </w:r>
      <w:r>
        <w:rPr>
          <w:rFonts w:ascii="Times New Roman;sans-serif" w:hAnsi="Times New Roman;sans-serif"/>
          <w:b w:val="false"/>
          <w:color w:val="000000"/>
          <w:sz w:val="20"/>
        </w:rPr>
        <w:t>As a result, rising interest rates may have the effect of simultaneously increasing our capital costs and reducing our revenues. Given our variable interest rate debt and floor plan notes payable outstanding as of December 31, 2024, each one percent increase in market interest rates would increase our total annual interest expense by approximately $16.7 million. When considered in connection with reduced expected sales, if interest rates increase, any such increase could materially adversely affect our business, financial condition and results of operations.</w:t>
      </w:r>
    </w:p>
    <w:p>
      <w:pPr>
        <w:pStyle w:val="TextBody"/>
        <w:bidi w:val="0"/>
        <w:spacing w:lineRule="auto" w:line="288" w:before="180" w:after="180"/>
        <w:jc w:val="left"/>
        <w:rPr>
          <w:rFonts w:ascii="Times New Roman;sans-serif" w:hAnsi="Times New Roman;sans-serif"/>
          <w:b/>
          <w:i/>
          <w:color w:val="212529"/>
          <w:sz w:val="20"/>
        </w:rPr>
      </w:pPr>
      <w:r>
        <w:rPr>
          <w:rFonts w:ascii="Times New Roman;sans-serif" w:hAnsi="Times New Roman;sans-serif"/>
          <w:b/>
          <w:i/>
          <w:color w:val="212529"/>
          <w:sz w:val="20"/>
        </w:rPr>
        <w:t>Our vehicle sales, financial condition and results of operations may be materially adversely affected by changes in costs or availability of consumer financing.</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vehicles purchased by our customers are financed. Reductions in the availability of credit to consumers have contributed to declines in our vehicle sales in past periods. Reductions in available consumer credit or increased costs of that credit, could result in a decline in our vehicle sales, which would have a material adverse effect on our financial condition and results of operations.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Lenders that have historically provided financing to those buyers who, for various reasons, do not have access to traditional financing, including those buyers who have a poor credit history or lack the down payment necessary to purchase a vehicle, are often referred to as subprime lenders. If market conditions cause subprime lenders to tighten credit standards, or if interest rates increase, the ability to obtain financing from subprime lenders for these consumers to purchase vehicles could become limited, resulting in a decline in our vehicle sales, which in turn, could have a material adverse effect on our financial condition and results of operations.</w:t>
      </w:r>
    </w:p>
    <w:p>
      <w:pPr>
        <w:pStyle w:val="TextBody"/>
        <w:bidi w:val="0"/>
        <w:spacing w:lineRule="auto" w:line="288" w:before="180" w:after="180"/>
        <w:jc w:val="left"/>
        <w:rPr>
          <w:rFonts w:ascii="Times New Roman;sans-serif" w:hAnsi="Times New Roman;sans-serif"/>
          <w:b/>
          <w:i/>
          <w:color w:val="000000"/>
          <w:sz w:val="20"/>
        </w:rPr>
      </w:pPr>
      <w:r>
        <w:rPr>
          <w:rFonts w:ascii="Times New Roman;sans-serif" w:hAnsi="Times New Roman;sans-serif"/>
          <w:b/>
          <w:i/>
          <w:color w:val="000000"/>
          <w:sz w:val="20"/>
        </w:rPr>
        <w:t>We have identified a material weakness in our internal control over financial reporting and may identify additional material weaknesses in the future or otherwise fail to maintain an effective system of internal controls, which may result in material misstatements or otherwise adversely affect the accuracy, reliability or timeliness of our financial statements.</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under Item 9A. "Controls and Procedures" below, we have concluded that a material weakness in our internal control over financial reporting existed as of December 31, 2024 and, accordingly, internal control over financial reporting and our disclosure controls and procedures were not effective as of such date.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As a result of management's evaluation, management identified the material weakness as a result of deficiencies in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general controls ("ITGCs") at a third-party software vendor who supports the Dealer Management System ("DMS") utilized by the Koons dealership group that we acquired in December 2023.</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Management has developed its remediation plan and plans to implement it during 2025. Until the remediation plan is fully implemented, tested and deemed effective, we cannot provide assurance that our actions will adequately remediate the material weakness or that additional material weaknesses in our internal controls will not be identified in the future. Effective internal control over financial reporting is necessary for us to provide reliable and timely financial reports and, together with adequate disclosure controls and procedures, are designed to reasonably detect and prevent fraud. The occurrence of, or failure to remediate, this material weakness and any future material weaknesses in our internal control over financial reporting may adversely affect the accuracy, reliability and timeliness of our financial statements and have other consequences that could materially and adversely affect our business.</w:t>
      </w: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Risks Related to Legal and Regulatory Matters</w:t>
      </w:r>
    </w:p>
    <w:p>
      <w:pPr>
        <w:pStyle w:val="TextBody"/>
        <w:bidi w:val="0"/>
        <w:spacing w:lineRule="auto" w:line="288" w:before="180" w:after="180"/>
        <w:jc w:val="left"/>
        <w:rPr>
          <w:rFonts w:ascii="Times New Roman;sans-serif" w:hAnsi="Times New Roman;sans-serif"/>
          <w:b/>
          <w:i/>
          <w:color w:val="212529"/>
          <w:sz w:val="20"/>
        </w:rPr>
      </w:pPr>
      <w:r>
        <w:rPr>
          <w:rFonts w:ascii="Times New Roman;sans-serif" w:hAnsi="Times New Roman;sans-serif"/>
          <w:b/>
          <w:i/>
          <w:color w:val="212529"/>
          <w:sz w:val="20"/>
        </w:rPr>
        <w:t>If state laws that protect automotive retailers are repealed, weakened, or superseded by our framework agreements with manufacturers, our dealerships will be more susceptible to termination, non-renewal, or renegotiation of their dealer agreements, which could have a material adverse effect on our business, results of operations, financial condition and cash flows.</w:t>
      </w:r>
    </w:p>
    <w:p>
      <w:pPr>
        <w:pStyle w:val="TextBody"/>
        <w:bidi w:val="0"/>
        <w:spacing w:lineRule="auto" w:line="288" w:before="0" w:after="180"/>
        <w:ind w:left="0" w:right="0" w:firstLine="315"/>
        <w:jc w:val="left"/>
        <w:rPr/>
      </w:pPr>
      <w:r>
        <w:rPr>
          <w:rFonts w:ascii="Times New Roman;sans-serif" w:hAnsi="Times New Roman;sans-serif"/>
          <w:b w:val="false"/>
          <w:color w:val="000000"/>
          <w:sz w:val="20"/>
        </w:rPr>
        <w:t>Applicable state laws generally provide that an automobile manufacturer may not terminate or refuse to renew a dealer agreement unless it has first provided the dealer with written notice setting forth "good cause" and stating the grounds for termination or non-renewal. Many states also limit the circumstances in which an automobile manufacturer may sell vehicles directly to consumers.</w:t>
      </w:r>
      <w:r>
        <w:rPr>
          <w:color w:val="000000"/>
        </w:rPr>
        <w:t xml:space="preserve"> </w:t>
      </w:r>
      <w:r>
        <w:rPr>
          <w:rFonts w:ascii="Times New Roman;sans-serif" w:hAnsi="Times New Roman;sans-serif"/>
          <w:b w:val="false"/>
          <w:color w:val="000000"/>
          <w:sz w:val="20"/>
        </w:rPr>
        <w:t>Some state laws allow dealers to file protests or petitions or allow them to attempt to comply with the manufacturer’s criteria within a notice period to avoid the termination or non-renewal. Our framework agreements with certain manufacturers contain provisions that, among other things, attempt to limit the protections available to dealers under these laws, and, though unsuccessful to date, manufacturers’ ongoing lobbying efforts may lead to the repeal or revision of these laws. If these laws are repealed in the states in which we operate, manufacturers may be able to terminate our franchises without providing advance notice, an opportunity to cure or a showing of good cause. Without the protection of these state laws, it may also be more difficult for us to renew our dealer agreements upon expiration. Changes in laws that provide manufacturers the ability to terminate our dealer agreements could materially adversely affect our business, results of operations, financial condition and cash flows. Furthermore, if a manufacturer seeks protection from creditors in bankruptcy, courts have held that the federal bankruptcy laws may supersede the state laws that protect automotive retailers resulting in either the termination, non-renewal or rejection of franchises by such manufacturers, which, in turn, could materially adversely affect our business, result of operations, financial condition and cash flows.</w:t>
      </w:r>
      <w:r>
        <w:rPr>
          <w:color w:val="000000"/>
        </w:rPr>
        <w:t xml:space="preserve"> </w:t>
      </w:r>
      <w:r>
        <w:rPr>
          <w:rFonts w:ascii="Times New Roman;sans-serif" w:hAnsi="Times New Roman;sans-serif"/>
          <w:b w:val="false"/>
          <w:color w:val="000000"/>
          <w:sz w:val="20"/>
        </w:rPr>
        <w:t>Market disruptors continue to push for legislation permitting direct-to-consumer sales models; if those lobbying efforts are successful, automotive manufacturers could bypass the traditional franchised dealer network, which in turn could materially adversely affect our business, results of operations, financial condition and cash flows.</w:t>
      </w:r>
    </w:p>
    <w:p>
      <w:pPr>
        <w:pStyle w:val="TextBody"/>
        <w:bidi w:val="0"/>
        <w:spacing w:lineRule="auto" w:line="288" w:before="180" w:after="180"/>
        <w:jc w:val="left"/>
        <w:rPr>
          <w:rFonts w:ascii="Times New Roman;sans-serif" w:hAnsi="Times New Roman;sans-serif"/>
          <w:b/>
          <w:i/>
          <w:color w:val="212529"/>
          <w:sz w:val="20"/>
        </w:rPr>
      </w:pPr>
      <w:r>
        <w:rPr>
          <w:rFonts w:ascii="Times New Roman;sans-serif" w:hAnsi="Times New Roman;sans-serif"/>
          <w:b/>
          <w:i/>
          <w:color w:val="212529"/>
          <w:sz w:val="20"/>
        </w:rPr>
        <w:t>New laws, regulations, or governmental policies in response to climate change, including fuel economy and greenhouse gas emission standards, or changes to existing standards, could adversely impact our business, results of operations, financial condition, cash flow, and prospects.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New laws and regulations designed to address climate change concerns could affect vehicle manufacturers’ ability to produce cost effective vehicles. For example, laws and regulations enacted that directly or indirectly affect vehicle manufacturers (through an increase in the cost of production or their ability to produce satisfactory products) or our business (through an impact on our inventory availability, cost of sales, operations or demand for the products we sell) could materially adversely impact our business, results of operations, financial condition, cash flow, and prospects. In addition, vehicle manufacturers are subject to government-mandated fuel economy and greenhouse gas, or GHG, emission standards, which continue to change and become more stringent over time. Significant increases in fuel economy requirements or new federal or state restrictions on emissions of carbon dioxide that may be imposed on vehicles and automobile fuels could adversely affect demand for vehicles, annual miles driven or the products we sell or lead to changes in automotive technology.</w:t>
      </w:r>
    </w:p>
    <w:p>
      <w:pPr>
        <w:pStyle w:val="TextBody"/>
        <w:bidi w:val="0"/>
        <w:spacing w:lineRule="auto" w:line="288" w:before="180" w:after="180"/>
        <w:jc w:val="left"/>
        <w:rPr>
          <w:rFonts w:ascii="Times New Roman;sans-serif" w:hAnsi="Times New Roman;sans-serif"/>
          <w:b/>
          <w:i/>
          <w:color w:val="212529"/>
          <w:sz w:val="20"/>
        </w:rPr>
      </w:pPr>
      <w:r>
        <w:rPr>
          <w:rFonts w:ascii="Times New Roman;sans-serif" w:hAnsi="Times New Roman;sans-serif"/>
          <w:b/>
          <w:i/>
          <w:color w:val="212529"/>
          <w:sz w:val="20"/>
        </w:rPr>
        <w:t>A failure of any of our information systems or those of our third-party service providers, the inability to successfully transition from one key information system platform to a different platform, or a data security breach with regard to personally identifiable information ("PII") about our customers or employees, could have a material adverse effect on our business, results of operations, financial condition and cash flows.</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depend on the efficient operation of our information systems and those of our third-party service providers. We rely on information systems at our dealerships in all aspects of our sales and service efforts, as well as in the preparation of our consolidated financial and operating data. All of our dealerships currently operate on three dealer management systems ("DMS"). We have piloted a new DMS, and the inability to successfully transition from our existing DMS to a new DMS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have a material adverse effect on the management of our day-to-day business activities. Additionally, in the ordinary course of business, we and our partners receive significant PII about our customers in order to complete the sale or service of a vehicle and related products. We also receive PII from our employees. The regulatory environment surrounding information security and privacy is increasingly demanding, with numerous state and federal regulations, as well as payment card industry and other vendor standards, governing the collection and maintenance of PII from consumers and other individuals.</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Cyber incidents can result from human error or intentional (or deliberate) attacks or unintentional events by insiders (e.g., employees) or third parties, including cybercriminals, competitors, nation-states and "hacktivists," among others. Cyber incidents can include, for example, phishing, credential harvesting or use of stolen access credentials, unauthorized access to systems, networks or devices (for example, through hacking activity), structured query language attacks, infection from or spread of malware, ransomware, computer viruses or other malicious software code, corruption of data, exfiltration of data to malicious sites, the dark web or other locations or threat actors, the use of fraudulent or fake websites, and other attacks (including, but not limited to, denial-of-service attacks on websites), which shut down, disable, slow, impair or otherwise disrupt operations, business processes, technology, connectivity or website or internet access, functionality or performance. In addition to intentional cyber incidents, unintentional cyber incidents can occur (for example, the inadvertent release of confidential or non-public personal information). Changes to our business, processes, systems, or technology, if not implemented properly, can increase our vulnerability to cyber incidents.</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could be significantly disrupted if (i) the DMS fails to integrate with other third-party information systems, customer relations management tools or other software, or to the extent that any of these systems become unavailable to us or fail to perform as designed for an extended period of time for any reason or (ii) our relationship with our DMS providers or any other third-party provider deteriorates. Additionally, any disruption to access and connectivity of our information systems due to natural disasters, power loss or other reasons could disrupt our business operations, impact sales and results of operations, expose us to customer or third-party claims, or result in adverse publicity. In addition, we believe the automotive dealership industry is a particular target of identity thieves and other threat actors, as there are numerous opportunities for cybersecurity incidents, including cybersecurity breaches, burglary, lost or misplaced data, malware, ransomware, computer viruses or other malicious software code, corruption of data, exfiltration of data to malicious sites, the dark web or other locations or threat actors, or misappropriation of data by employees, vendors or unaffiliated third parties. Because of the increasing number and sophistication of some cybersecurity incidents and cyber-attacks, and despite the security measures we have in place and any additional measures we may implement or adopt in the future, our facilities and systems, and those of our third-party service providers and business partners, could be vulnerable to cybersecurity incidents, security breaches, computer viruses, lost or misplaced data, programming errors, scams, burglary, human errors, acts of vandalism and/or other events. While we and the business partners and service providers on which we rely have experienced cybersecurity incidents in the past, and may experience additional incidents in the future, we are not aware of any incident having a material adverse effect on our business, results of operations or financial condition to date. However, there can be no assurance that we or the business partners and service providers on which we rely will not experience future cybersecurity incidents that may be material. Although we believe we have systems and processes in place to protect against risks associated with cybersecurity incidents in the future, depending on the nature of an incident, these protections may not be fully sufficient. In addition, because techniques used in cybersecurity attacks and incidents change frequently and may not be recognized until launched against a target, we or our business partners and service providers may be unable to anticipate these techniques or to implement adequate preventative measures. An incident may not be detected until well after it occurs and the severity and potential impact may not be fully known for a substantial period of time after it has been discovered. Any such alleged or actual incident can increase costs of doing business, negatively affect customer satisfaction and loyalty, expose us to negative publicity, individual claims or consumer class actions, administrative, civil or criminal investigations or actions, and infringe on proprietary information, any of which could have a material adverse effect on our business, financial condition, results of operations or cash flows.</w:t>
      </w:r>
    </w:p>
    <w:p>
      <w:pPr>
        <w:pStyle w:val="TextBody"/>
        <w:bidi w:val="0"/>
        <w:spacing w:lineRule="auto" w:line="288" w:before="180" w:after="180"/>
        <w:jc w:val="left"/>
        <w:rPr>
          <w:rFonts w:ascii="Times New Roman;sans-serif" w:hAnsi="Times New Roman;sans-serif"/>
          <w:b/>
          <w:i/>
          <w:color w:val="212529"/>
          <w:sz w:val="20"/>
        </w:rPr>
      </w:pPr>
      <w:r>
        <w:rPr>
          <w:rFonts w:ascii="Times New Roman;sans-serif" w:hAnsi="Times New Roman;sans-serif"/>
          <w:b/>
          <w:i/>
          <w:color w:val="212529"/>
          <w:sz w:val="20"/>
        </w:rPr>
        <w:t>Our dealership operations and facilities are subject to extensive governmental laws and regulations. If we are found to be in purported violation of or subject to liabilities under any of these laws or regulations, or if new laws or regulations are enacted that adversely affect our operations, our business, results of operations, financial condition, cash flows, reputation and prospects could suffer.</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automotive retail industry, including our facilities and operations, is subject to a wide range of federal, state, and local laws and regulations, such as those relating to motor vehicle sales, retail installment sales, leasing, finance and insurance, marketing, licensing, consumer protection, consumer privacy, escheatment, anti-money laundering, environmental, vehicle emissions and fuel economy, and health and safety. In addition, with respect to employment practices, we are subject to various laws and regulations, including complex federal, state, and local wage and hour and anti-discrimination laws. The violation of the laws or regulations to which we are subject could result in administrative, civil, or criminal sanctions against us, which may include a cease and desist order against the subject operations or even revocation or suspension of our license to operate the subject business, as well as significant fines and penalties. Violation of certain laws and regulations to which we are subject may also subject us to consumer class action or other lawsuits or governmental investigations and adverse publicity.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currently devote significant resources to comply with applicable federal, state, and local regulation of health, safety, environmental, zoning and land use regulations, and we may need to spend additional time, effort, and money to keep our operations and existing or acquired facilities in compliance therewith.</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there is a risk that our employees could engage in misconduct that violates the laws or regulations to which we are subject. It is not always possible to detect or deter employee misconduct, and the precautions we take to detect and prevent this activity may not be effective in all cases. If any of our employees were to engage in misconduct or were to be accused of such misconduct, our business and reputation could be adversely affected.</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CFPB does not have direct regulatory authority over automotive dealers but could implement additional, indirect regulation of automotive dealers, in particular, their sale and marketing of finance and insurance products, through its regulation of automotive finance companies and other financial institutions. In addition, the CFPB possesses supervisory authority with respect to certain non-bank lenders, including automotive finance companies, participating in automotive financing. The FTC may exercise its additional rule-making authority to expand consumer protection regulations relating to the sale, financing and leasing of motor vehicles. </w:t>
      </w:r>
    </w:p>
    <w:p>
      <w:pPr>
        <w:pStyle w:val="TextBody"/>
        <w:bidi w:val="0"/>
        <w:spacing w:lineRule="auto" w:line="288" w:before="0" w:after="180"/>
        <w:ind w:left="0" w:right="0" w:firstLine="315"/>
        <w:jc w:val="left"/>
        <w:rPr/>
      </w:pPr>
      <w:r>
        <w:rPr>
          <w:rFonts w:ascii="Times New Roman;sans-serif" w:hAnsi="Times New Roman;sans-serif"/>
          <w:b w:val="false"/>
          <w:color w:val="000000"/>
          <w:sz w:val="20"/>
        </w:rPr>
        <w:t>In May 2016, we signed a consent order with the FTC to settle allegations that in certain instances our advertisements did not adequately disclose information about used vehicles with open safety recalls. Under the consent order, we did not agree to make any payments or admit wrong-doing, but we did agree to make certain disclosures in marketing materials and at the point of sale and comply with certain record-keeping obligations. Our failure to comply with the consent order may result in the imposition of significant fines and/or penalties, which could have a material adverse effect on our results of operations. In January 2024, the FTC published the Combatting Auto Retail Scams Final Rule (the "CARS Rule"), which prohibits a broad range of current accepted industry sales and marketing practices and imposes significant new dealer disclosure obligations and record-keeping requirements throughout the vehicle-buying process.</w:t>
      </w:r>
      <w:r>
        <w:rPr>
          <w:color w:val="000000"/>
        </w:rPr>
        <w:t xml:space="preserve"> </w:t>
      </w:r>
      <w:r>
        <w:rPr>
          <w:rFonts w:ascii="Times New Roman;sans-serif" w:hAnsi="Times New Roman;sans-serif"/>
          <w:b w:val="false"/>
          <w:color w:val="000000"/>
          <w:sz w:val="20"/>
        </w:rPr>
        <w:t>The FTC stayed the CARS Rule’s original effective date of July 30, 2024 pending the resolution of a judicial challenge to the CARS Rule.</w:t>
      </w:r>
      <w:r>
        <w:rPr>
          <w:color w:val="000000"/>
        </w:rPr>
        <w:t xml:space="preserve"> </w:t>
      </w:r>
      <w:r>
        <w:rPr>
          <w:rFonts w:ascii="Times New Roman;sans-serif" w:hAnsi="Times New Roman;sans-serif"/>
          <w:b w:val="false"/>
          <w:color w:val="000000"/>
          <w:sz w:val="20"/>
        </w:rPr>
        <w:t>On January 27, 2025, the United States Court of Appeals for the Fifth Circuit ruled to vacate the CARS Rule on the basis that the FTC violated procedural rules by not providing advance notice of the planned regulation. Although currently nullified based on the Fifth Circuit's ruling, compliance with the CARS Rule, if it becomes effective, would be burdensome and cause us to incur increased costs. A failure to comply with the CARS Rule would expose us to potential significant damages, penalties and adverse publicity, which could have a material adverse effect on our business, operations and financial results.</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Continued pressure from the CFPB, FTC, and other federal agencies could lead to significant changes in the manner that dealers are compensated for arranging customer financing and vehicle protection products, and while it is difficult to predict how any such changes might impact us, any adverse changes could have a material adverse impact on our finance and insurance business and results of operations. Furthermore, we expect that new laws and regulations, particularly at the federal level, in other areas may be enacted, which could also materially adversely impact our business. On August 3, 2022, we received a Civil Investigative Demand ("CID") from the FTC requesting information and documents concerning the Company’s corporate structure and operation of six of its dealerships. We responded to the CID by producing information and documents for the period August 1, 2019 to April 24, 2023. On February 8, 2024, the FTC staff counsel sent to us a proposed consent order and draft complaint, alleging that the Company and three of our dealerships had violated Section 5 of the Federal Trade Commission Act ("FTC Act") and certain provisions of the Equal Credit Opportunity Act ("ECOA") in connection with the sale of add-on products (e.g., vehicle service contracts, maintenance plans, etc.), and advised that it would recommend the filing of an enforcement action if the Company did not settle the FTC’s claims. The Company vigorously disputed, and continues to vigorously dispute, the FTC’s allegations that it violated the FTC Act and the ECOA. As a result, on August 16, 2024, the FTC initiated an administrative proceeding by filing an enforcement action against the Company; David McDavid Honda Frisco, David McDavid Honda Irving, and David McDavid Ford Fort Worth, three of the Company’s dealerships; and an individual general manager at one of the dealerships pursuant to the allegations set forth above. On October 4, 2024, the Company filed a lawsuit against the FTC in the United States District Court for the Northern District of Texas, seeking to enjoin the FTC’s administrative proceeding on the ground that the administrative proceeding was unconstitutional. Among other things, the Company’s lawsuit asserts that the FTC’s administrative proceeding violates Asbury’s constitutional rights by denying it the right to a jury trial and by allowing the FTC to serve as both prosecutor and judge in the same proceeding. The Company’s lawsuit also contends that FTC commissioners and in-house administrative law judges are effectively insulated from removal by the President in contravention of the Constitution’s requirements. At this time, we are unable to reasonably predict the possible outcome of the Company’s dispute with the FTC, or provide a reasonably possible range of loss, if any. There can be no assurance that the Company will succeed in either the FTC’s administrative proceeding against the Company or in the Company’s lawsuit against the FTC, and the FTC’s allegations, whether meritorious or not, may adversely affect our ability to attract customers, result in the loss of existing customers, harm our reputation and cause us to incur defense costs and other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laws and regulations govern, among other things, discharges into the air and water, storage of petroleum substances and chemicals, the handling and disposal of solid and hazardous wastes, investigation and remediation of contamination. Similar to many of our competitors, we have incurred and expect to continue to incur capital and operating expenditures and other costs to comply with such federal and state laws and regulations. In addition, we may become subject to broad liabilities arising out of contamination at our currently and formerly owned or operated facilities, at locations to which hazardous substances were transported from such facilities, and at such locations related to entities formerly affiliated with us. Liability under these laws and regulations can be imposed on a joint and several basis and without regard to fault. For such potential liabilities, we believe we are entitled to indemnification from other entities. However, we cannot provide assurance that such entities will view their obligations as we do or will be able or willing to satisfy them. We may have indemnity obligations for liabilities relating to contamination at our currently or formerly owned and/or operated facilities as part of the acquisition or divestiture of certain properties in the ordinary course of business. Failure to comply with applicable laws and regulations, or significant additional expenditures required to maintain compliance therewith, could have a material adverse effect on our business, results of operations, financial condition or cash flows.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A significant judgment against us or the imposition of a significant fine could have a material adverse effect on our business, financial condition and future prospects. We further expect that, from time to time, new laws and regulations, particularly in the environmental area, will be enacted, and compliance with such laws, or penalties for failure to comply, could significantly increase our costs. For example, vehicle manufacturers are subject to government-mandated fuel economy and greenhouse gas emission standards, which continue to change and become more stringent over time. Failure of a manufacturer to develop passenger vehicles and light trucks that meet these and other government standards could subject the manufacturer to substantial penalties, increase the cost of vehicles sold to us, and adversely affect our ability to market and sell vehicles to meet consumer needs and desires, which could have a material adverse effect on our business, results of operations, financial condition or cash flows.</w:t>
      </w:r>
    </w:p>
    <w:p>
      <w:pPr>
        <w:pStyle w:val="TextBody"/>
        <w:bidi w:val="0"/>
        <w:spacing w:lineRule="auto" w:line="288" w:before="0" w:after="180"/>
        <w:jc w:val="left"/>
        <w:rPr/>
      </w:pPr>
      <w:r>
        <w:rPr>
          <w:rFonts w:ascii="Times New Roman;sans-serif" w:hAnsi="Times New Roman;sans-serif"/>
          <w:b/>
          <w:i/>
          <w:color w:val="000000"/>
          <w:sz w:val="20"/>
        </w:rPr>
        <w:t>Our TCA business is subject to a wide range of federal, state, and local laws and regulations, some of which we may not have previously been subject.</w:t>
      </w:r>
      <w:r>
        <w:rPr>
          <w:color w:val="212529"/>
        </w:rPr>
        <w:t xml:space="preserve"> </w:t>
      </w:r>
      <w:r>
        <w:rPr>
          <w:rFonts w:ascii="Times New Roman;sans-serif" w:hAnsi="Times New Roman;sans-serif"/>
          <w:b/>
          <w:i/>
          <w:color w:val="212529"/>
          <w:sz w:val="20"/>
        </w:rPr>
        <w:t>If we are found to be in purported violation of or subject to liabilities under any of these laws or regulations, or if new laws or regulations are enacted that adversely affect our TCA business, our business, results of operations, financial condition, cash flows, reputation and prospects could suffer.</w:t>
      </w:r>
    </w:p>
    <w:p>
      <w:pPr>
        <w:pStyle w:val="TextBody"/>
        <w:bidi w:val="0"/>
        <w:spacing w:lineRule="auto" w:line="288" w:before="0" w:after="180"/>
        <w:ind w:left="0" w:right="0" w:firstLine="315"/>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TCA business is, and will continue to be, subject to a wide range of federal, state, and local laws and regulations, some of which Asbury may not have been previously subject. Such laws and regulations include but are not limited to:</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shd w:fill="FFFFFF" w:val="clear"/>
        </w:rPr>
        <w:t>state and local licensing requirements;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shd w:fill="FFFFFF" w:val="clear"/>
        </w:rPr>
        <w:t>federal and state laws regulating vehicle finance and insurance products; and</w:t>
      </w:r>
      <w:r>
        <w:rPr>
          <w:color w:val="000000"/>
        </w:rPr>
        <w:t xml:space="preserve">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shd w:fill="FFFFFF" w:val="clear"/>
        </w:rPr>
        <w:t>federal and state consumer protection laws.</w:t>
      </w:r>
    </w:p>
    <w:p>
      <w:pPr>
        <w:pStyle w:val="TextBody"/>
        <w:bidi w:val="0"/>
        <w:spacing w:lineRule="auto" w:line="288" w:before="0" w:after="180"/>
        <w:ind w:left="0" w:right="0" w:firstLine="315"/>
        <w:jc w:val="left"/>
        <w:rPr/>
      </w:pPr>
      <w:r>
        <w:rPr>
          <w:rFonts w:ascii="Times New Roman;sans-serif" w:hAnsi="Times New Roman;sans-serif"/>
          <w:b w:val="false"/>
          <w:color w:val="000000"/>
          <w:sz w:val="20"/>
          <w:shd w:fill="FFFFFF" w:val="clear"/>
        </w:rPr>
        <w:t>No assurance can be given that applicable statutes, regulations, and other laws will not be amended or construed differently, that new laws will not be adopted, or that any of these laws will not be enforced more aggressively. For example, changes in the regulatory and supervisory environments could adversely affect the TCA business in substantial and unpredictable ways. Further, the TCA business</w:t>
      </w:r>
      <w:r>
        <w:rPr>
          <w:color w:val="000000"/>
          <w:shd w:fill="FFFFFF" w:val="clear"/>
        </w:rPr>
        <w:t xml:space="preserve">’ </w:t>
      </w:r>
      <w:r>
        <w:rPr>
          <w:rFonts w:ascii="Times New Roman;sans-serif" w:hAnsi="Times New Roman;sans-serif"/>
          <w:b w:val="false"/>
          <w:color w:val="000000"/>
          <w:sz w:val="20"/>
          <w:shd w:fill="FFFFFF" w:val="clear"/>
        </w:rPr>
        <w:t>noncompliance with applicable laws (whether as a result of changes in interpretation or enforcement, system or human errors, or otherwise) could result in the suspension or revocation of licenses or registrations necessary to the operation, or the initiation of enforcement actions or private litigation.</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are required to set aside an amount of restricted cash sufficient to satisfy potential claims associated with the TCA business. While we are permitted to invest such cash in fixed income and equity securities, and other investments, we cannot provide any assurance that a loss in such investments would not have a material adverse effect on our ability to honor customers’ claims, which could have a material adverse effect on our business.</w:t>
      </w:r>
    </w:p>
    <w:p>
      <w:pPr>
        <w:pStyle w:val="TextBody"/>
        <w:bidi w:val="0"/>
        <w:spacing w:lineRule="auto" w:line="288" w:before="180" w:after="180"/>
        <w:jc w:val="left"/>
        <w:rPr>
          <w:rFonts w:ascii="Times New Roman;sans-serif" w:hAnsi="Times New Roman;sans-serif"/>
          <w:b/>
          <w:i/>
          <w:color w:val="212529"/>
          <w:sz w:val="20"/>
        </w:rPr>
      </w:pPr>
      <w:r>
        <w:rPr>
          <w:rFonts w:ascii="Times New Roman;sans-serif" w:hAnsi="Times New Roman;sans-serif"/>
          <w:b/>
          <w:i/>
          <w:color w:val="212529"/>
          <w:sz w:val="20"/>
        </w:rPr>
        <w:t>We are subject to risks related to the provision of employee health care benefits, which could have a material adverse effect on our business, results of operations, financial condition and cash flows.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use a combination of insurance and self-insurance for health care plans. We record expenses under those plans based on estimates of the costs of expected claims, administrative costs, stop-loss insurance premiums, and expected health care trends. Actual costs under these plans are subject to variability that is dependent upon participant enrollment, demographics and the actual costs of claims made. Negative trends in any of these areas could cause us to incur additional unplanned health care costs, which could adversely impact our business, financial condition, results of operations and cash flows. In addition, if enrollment in our health care plans increases significantly, the additional costs that we will incur may be significant enough to materially affect our business, financial condition,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180"/>
        <w:jc w:val="left"/>
        <w:rPr>
          <w:rFonts w:ascii="Times New Roman;sans-serif" w:hAnsi="Times New Roman;sans-serif"/>
          <w:b/>
          <w:i/>
          <w:color w:val="212529"/>
          <w:sz w:val="20"/>
        </w:rPr>
      </w:pPr>
      <w:r>
        <w:rPr>
          <w:rFonts w:ascii="Times New Roman;sans-serif" w:hAnsi="Times New Roman;sans-serif"/>
          <w:b/>
          <w:i/>
          <w:color w:val="212529"/>
          <w:sz w:val="20"/>
        </w:rPr>
        <w:t>We are, and expect to continue to be, subject to legal and administrative proceedings, which, if the outcomes are adverse to us, could have a material adverse effect on our business, results of operations, financial condition, cash flows, reputation and prospects.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are involved and expect to continue to be involved in numerous legal proceedings arising out of the conduct of our business, including litigation with customers, employment-related lawsuits, class actions, purported class actions, and actions brought by governmental authorities. We do not believe that the ultimate resolution of any known matters will have a material adverse effect on our business, reputation, financial condition, results of operations, cash flows or prospects. However, the results of these matters cannot be predicted with certainty, and an unfavorable resolution of one or more of these matters could have a material adverse effect on our business, financial condition, results of operations and cash flows.</w:t>
      </w:r>
    </w:p>
    <w:p>
      <w:pPr>
        <w:pStyle w:val="TextBody"/>
        <w:bidi w:val="0"/>
        <w:spacing w:lineRule="auto" w:line="288" w:before="180" w:after="180"/>
        <w:jc w:val="left"/>
        <w:rPr>
          <w:rFonts w:ascii="Times New Roman;sans-serif" w:hAnsi="Times New Roman;sans-serif"/>
          <w:b/>
          <w:i/>
          <w:color w:val="212529"/>
          <w:sz w:val="20"/>
        </w:rPr>
      </w:pPr>
      <w:r>
        <w:rPr>
          <w:rFonts w:ascii="Times New Roman;sans-serif" w:hAnsi="Times New Roman;sans-serif"/>
          <w:b/>
          <w:i/>
          <w:color w:val="212529"/>
          <w:sz w:val="20"/>
        </w:rPr>
        <w:t>A decline in our credit rating or a general disruption in the credit markets could negatively impact our liquidity and ability to conduct our operations.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A deterioration of our credit rating, or a general disruption in the credit markets, could limit our ability to obtain credit on terms acceptable to us, or at all. In addition, uncertain economic conditions or the re-pricing of certain credit risks may make it more difficult for us to obtain one or more types of funding in the amounts, or at rates considered acceptable to us, at any given time. Our inability to access necessary or desirable funding, or to enter into certain related transactions, at times and at costs deemed appropriate by us, could have a negative impact on our liquidity and our ability to conduct our operations. Any of these developments could also reduce the ability or willingness of the financial institutions that have extended credit commitments to us, or that have entered into hedge or similar transactions with us, to fulfill their obligations to us, which also could have a material adverse effect on our liquidity, our ability to conduct our operations and our prospects.</w:t>
      </w:r>
    </w:p>
    <w:p>
      <w:pPr>
        <w:pStyle w:val="TextBody"/>
        <w:bidi w:val="0"/>
        <w:spacing w:lineRule="auto" w:line="288" w:before="180" w:after="180"/>
        <w:jc w:val="left"/>
        <w:rPr>
          <w:rFonts w:ascii="Times New Roman;sans-serif" w:hAnsi="Times New Roman;sans-serif"/>
          <w:b/>
          <w:i/>
          <w:color w:val="212529"/>
          <w:sz w:val="20"/>
        </w:rPr>
      </w:pPr>
      <w:r>
        <w:rPr>
          <w:rFonts w:ascii="Times New Roman;sans-serif" w:hAnsi="Times New Roman;sans-serif"/>
          <w:b/>
          <w:i/>
          <w:color w:val="212529"/>
          <w:sz w:val="20"/>
        </w:rPr>
        <w:t>We are subject to risks associated with imported product restrictions or limitations, foreign trade and currency valuations.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involves the sale of vehicles, parts or vehicles composed of parts that are manufactured outside of the United States. As a result, our operations are subject to risks of doing business outside of the United States and importing merchandise, including import duties, exchange rates, trade restrictions, work stoppages, natural or man-made disasters, and general political and socio-economic conditions in other countries. The United States or the countries from which our products are imported may, from time to time, impose new quotas, duties, tariffs or other restrictions or limitations, or adjust presently prevailing quotas, duties or tariffs, including recently proclaimed and possible future tariffs. The imposition of new, or adjustments to prevailing, quotas, duties, tariffs or other restrictions or limitations could have a material adverse effect on our business, financial condition, results of operations and cash flows. Relative weakness of the U.S. dollar against foreign currencies in the future may result in an increase in costs to us and in the retail price of such vehicles or parts, which could discourage consumers from purchasing such vehicles and adversely impact our revenues and profitability.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We have processes in place designed to protect our information systems, data, assets, infrastructure, and computing environments from cybersecurity threats and risks while maintaining confidentiality, integrity, and availability. Our cybersecurity risk management processes are integrated into our enterprise risk management program.</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Training </w:t>
      </w:r>
    </w:p>
    <w:p>
      <w:pPr>
        <w:pStyle w:val="TextBody"/>
        <w:bidi w:val="0"/>
        <w:spacing w:lineRule="auto" w:line="288" w:before="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We conduct regular training for cybersecurity awareness of our employees, senior executives, and certain other vendors or personnel. We also perform phishing and social engineering simulations and provide cybersecurity training for personnel with Company email and access to Company assets. We disseminate security awareness communications to certain employees to highlight emerging or urgent cybersecurity threats.</w:t>
      </w:r>
    </w:p>
    <w:p>
      <w:pPr>
        <w:pStyle w:val="TextBody"/>
        <w:bidi w:val="0"/>
        <w:spacing w:lineRule="auto" w:line="288" w:before="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Asbury’s information and data security training programs are housed in a Learning Management System ("LMS"). We migrate our acquired companies into Asbury’s current LMS.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Governance</w:t>
      </w:r>
    </w:p>
    <w:p>
      <w:pPr>
        <w:pStyle w:val="TextBody"/>
        <w:bidi w:val="0"/>
        <w:spacing w:lineRule="auto" w:line="288" w:before="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Our Chief Information Officer ("CIO"), who has over 35 years of experience in the technology field, oversees cybersecurity, data privacy and manages Asbury’s information and security procedures. Asbury also has a Director of Cybersecurity, as well as a formal team of analysts.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ind w:left="0" w:right="0" w:firstLine="270"/>
        <w:jc w:val="left"/>
        <w:rPr/>
      </w:pPr>
      <w:r>
        <w:rPr>
          <w:rFonts w:ascii="Times New Roman;sans-serif" w:hAnsi="Times New Roman;sans-serif"/>
          <w:b w:val="false"/>
          <w:color w:val="000000"/>
          <w:sz w:val="20"/>
        </w:rPr>
        <w:t>Our Board of Directors maintains ultimate oversight of the Company’s enterprise risk management program, which includes material cyber security risks.</w:t>
      </w:r>
      <w:r>
        <w:rPr>
          <w:color w:val="000000"/>
        </w:rPr>
        <w:t xml:space="preserve"> </w:t>
      </w:r>
      <w:r>
        <w:rPr>
          <w:rFonts w:ascii="Times New Roman;sans-serif" w:hAnsi="Times New Roman;sans-serif"/>
          <w:b w:val="false"/>
          <w:color w:val="000000"/>
          <w:sz w:val="20"/>
        </w:rPr>
        <w:t>Under the oversight of the audit committee and capital allocation and risk management committee of the Company’s Board of Directors, and as directed by the Company’s Chief Executive Officer, our CIO is responsible for the assessment and management of material cybersecurity risks. Our CIO oversees the Company’s cybersecurity incident response plan and related processes that are designed to assess and manage material risks from cybersecurity threats. The CIO also coordinates with the Company’s legal counsel and third parties, such as consultants and legal advisors, to assess and manage material risks from cybersecurity threats. Our CIO is informed about and monitors the prevention, detection, mitigation, and remediation of cybersecurity incidents pursuant to criteria set forth in the Company’s incident response plan and related processes.</w:t>
      </w:r>
    </w:p>
    <w:p>
      <w:pPr>
        <w:pStyle w:val="TextBody"/>
        <w:bidi w:val="0"/>
        <w:spacing w:lineRule="auto" w:line="288" w:before="0" w:after="180"/>
        <w:ind w:left="0" w:right="0" w:firstLine="270"/>
        <w:jc w:val="left"/>
        <w:rPr/>
      </w:pPr>
      <w:r>
        <w:rPr>
          <w:rFonts w:ascii="Times New Roman;sans-serif" w:hAnsi="Times New Roman;sans-serif"/>
          <w:b w:val="false"/>
          <w:color w:val="000000"/>
          <w:sz w:val="20"/>
        </w:rPr>
        <w:t>The capital allocation and risk management committee of the Company’s Board of Directors assists the Board in the periodic review and evaluation of the Company’s risk profile and related risk management processes which identify and manage the Company’s key financial, strategic and operational risks.</w:t>
      </w:r>
      <w:r>
        <w:rPr>
          <w:color w:val="000000"/>
        </w:rPr>
        <w:t xml:space="preserve"> </w:t>
      </w:r>
      <w:r>
        <w:rPr>
          <w:rFonts w:ascii="Times New Roman;sans-serif" w:hAnsi="Times New Roman;sans-serif"/>
          <w:b w:val="false"/>
          <w:color w:val="000000"/>
          <w:sz w:val="20"/>
        </w:rPr>
        <w:t>The audit committee of the Company’s Board of Directors oversees, among other things, the adequacy and effectiveness of the Company’s internal controls, including internal controls designed to assess, identify, and manage material risks from cybersecurity threats. The audit committee is informed of material risks from cybersecurity threats pursuant to the escalation criteria as set forth in the Company’s disclosure controls and procedures. Further, our CIO reports on cybersecurity matters, including material risks and threats, to the Company’s audit committee on a quarterly basis, and the audit committee provides updates to the Company’s Board of Directors at regular board meetings. In addition, the audit committee and capital allocation and risk management committee hold a joint meeting annually during which the CIO provides a comprehensive update regarding the assessment and management of material cybersecurity risks. Our CIO also provides updates as appropriate to the Company’s Board of Directors.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Risk Management</w:t>
      </w:r>
    </w:p>
    <w:p>
      <w:pPr>
        <w:pStyle w:val="TextBody"/>
        <w:bidi w:val="0"/>
        <w:spacing w:lineRule="auto" w:line="288" w:before="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We have processes for assessing, identifying, and managing material risks from cybersecurity threats. These processes are integrated into the Company’s overall risk management systems. These processes also include overseeing and identifying risks from cybersecurity threats associated with the use of third-party service providers. The Company conducts security assessments of certain third-party providers before engagement and has established monitoring procedures in its effort to mitigate risks related to data breaches or other security incidents originating from third parties. The Company from time to time engages third-party consultants, legal advisors, and audit firms in evaluating and testing the Company’s risk management systems and assessing and remediating certain potential cybersecurity incidents as appropriate.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Management</w:t>
      </w:r>
    </w:p>
    <w:p>
      <w:pPr>
        <w:pStyle w:val="TextBody"/>
        <w:bidi w:val="0"/>
        <w:spacing w:lineRule="auto" w:line="288" w:before="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In an effort to effectively prevent, detect, and respond to cybersecurity threats, we employ a multi-layered cybersecurity risk management program supervised by our CIO, whose team is responsible for leading enterprise-wide cybersecurity strategy, policy, architecture, and processes. This responsibility includes identifying, considering, and assessing potentially material cybersecurity incidents on an ongoing basis, establishing processes designed to prevent and monitor potential cybersecurity risks, implementing mitigation and remedial measures, and maintaining our cybersecurity program. To do so, our program leverages both internal and external techniques and expertise. Internally, among other things, we may perform penetration tests, internal tests/code reviews, and simulations using cybersecurity professionals to assess vulnerabilities in our information systems and evaluate our cyber defense capabilities. Our cybersecurity capabilities, processes, and other security measures also include, without limitation:</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Service Organization Controls ("SOC")-as-a-Service (SOCaas) wherein a third-party vendor operates and maintains a fully-managed SOC on a subscription basis via the cloud;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Security Information and Event Management ("SIEM") software, which provides a threat detection, compliance, and security incident management system;</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Endpoint Detection and Response ("EDR") software, which monitors for malicious activities on internal endpoints (e.g., Windows workstations, servers, MAC clients, and Linux endpoints);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Cloud monitoring; and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Disaster recovery and incident response plans, including a ransomware response plan.</w:t>
      </w:r>
    </w:p>
    <w:p>
      <w:pPr>
        <w:pStyle w:val="TextBody"/>
        <w:bidi w:val="0"/>
        <w:spacing w:lineRule="auto" w:line="288" w:before="0" w:after="0"/>
        <w:ind w:left="0" w:right="0" w:firstLine="270"/>
        <w:jc w:val="left"/>
        <w:rPr/>
      </w:pPr>
      <w:r>
        <w:rPr>
          <w:rFonts w:ascii="Times New Roman;sans-serif" w:hAnsi="Times New Roman;sans-serif"/>
          <w:b w:val="false"/>
          <w:color w:val="000000"/>
          <w:sz w:val="20"/>
        </w:rPr>
        <w:t>Although we believe we have systems and processes in place to protect against risks associated with cybersecurity incidents in the future, depending on the nature of an incident, these protections may not be fully sufficient. We, or the business partners or services providers on which we rely, have experienced cybersecurity incidents in the past that have resulted in disruptions, technology failures, or unauthorized persons gaining access to certain information systems, and we could in the future experience similar incidents.</w:t>
      </w:r>
      <w:r>
        <w:rPr>
          <w:color w:val="000000"/>
        </w:rPr>
        <w:t xml:space="preserve"> </w:t>
      </w:r>
      <w:r>
        <w:rPr>
          <w:rFonts w:ascii="Times New Roman;sans-serif" w:hAnsi="Times New Roman;sans-serif"/>
          <w:b w:val="false"/>
          <w:color w:val="000000"/>
          <w:sz w:val="20"/>
        </w:rPr>
        <w:t xml:space="preserve">As of the date of this Form 10-K, no cybersecurity incident or attack, or any risk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pPr>
      <w:r>
        <w:rPr>
          <w:rFonts w:ascii="Times New Roman;sans-serif" w:hAnsi="Times New Roman;sans-serif"/>
          <w:b w:val="false"/>
          <w:color w:val="000000"/>
          <w:sz w:val="20"/>
        </w:rPr>
        <w:t>cybersecurity threat, has materially affected or has been determined to be reasonably likely to materially affect the Company, our business strategy, results of operations, or financial condition. For additional information regarding the risks from cybersecurity threats we face, see the section captioned. For further discussion of the risks associated with cybersecurity incidents, see "</w:t>
      </w:r>
      <w:r>
        <w:rPr>
          <w:rFonts w:ascii="Times New Roman;sans-serif" w:hAnsi="Times New Roman;sans-serif"/>
          <w:b w:val="false"/>
          <w:i/>
          <w:color w:val="212529"/>
          <w:sz w:val="20"/>
        </w:rPr>
        <w:t>A failure of any of our information systems or those of our third-party service providers, or a data security breach with regard to personally identifiable information ("PII") about our customers or employees, could have a material adverse effect on our business, results of operations, financial condition and cash flows.</w:t>
      </w:r>
      <w:r>
        <w:rPr>
          <w:rFonts w:ascii="Times New Roman;sans-serif" w:hAnsi="Times New Roman;sans-serif"/>
          <w:b w:val="false"/>
          <w:color w:val="000000"/>
          <w:sz w:val="20"/>
        </w:rPr>
        <w:t>" beginning on page 27 of the section entitled "Item 1A. Risk Factors" in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10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lease our corporate headquarters, which is located at 2905 Premiere Parkway, NW, Suite 300, Duluth, Georgia 30097. In November 2024, we acquired real estate in Sandy Springs, Georgia to serve as our future corporate headquarters. We anticipate the relocation to our new corporate headquarters during the second half of 2025. We also have a corporate office in Texas. The operations of our TCA business are located in leased office space in Utah.</w:t>
      </w:r>
    </w:p>
    <w:p>
      <w:pPr>
        <w:pStyle w:val="TextBody"/>
        <w:bidi w:val="0"/>
        <w:spacing w:lineRule="auto" w:line="288" w:before="100" w:after="10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our operations encompassed 152 franchised dealership locations, 37 collision repair centers, throughout 14 states as follows:</w:t>
      </w:r>
    </w:p>
    <w:tbl>
      <w:tblPr>
        <w:tblW w:w="9308" w:type="dxa"/>
        <w:jc w:val="left"/>
        <w:tblInd w:w="0" w:type="dxa"/>
        <w:tblLayout w:type="fixed"/>
        <w:tblCellMar>
          <w:top w:w="28" w:type="dxa"/>
          <w:left w:w="28" w:type="dxa"/>
          <w:bottom w:w="28" w:type="dxa"/>
          <w:right w:w="28" w:type="dxa"/>
        </w:tblCellMar>
      </w:tblPr>
      <w:tblGrid>
        <w:gridCol w:w="1664"/>
        <w:gridCol w:w="1465"/>
        <w:gridCol w:w="1475"/>
        <w:gridCol w:w="109"/>
        <w:gridCol w:w="109"/>
        <w:gridCol w:w="109"/>
        <w:gridCol w:w="233"/>
        <w:gridCol w:w="233"/>
        <w:gridCol w:w="221"/>
        <w:gridCol w:w="111"/>
        <w:gridCol w:w="111"/>
        <w:gridCol w:w="111"/>
        <w:gridCol w:w="210"/>
        <w:gridCol w:w="210"/>
        <w:gridCol w:w="226"/>
        <w:gridCol w:w="110"/>
        <w:gridCol w:w="110"/>
        <w:gridCol w:w="110"/>
        <w:gridCol w:w="109"/>
        <w:gridCol w:w="109"/>
        <w:gridCol w:w="109"/>
        <w:gridCol w:w="220"/>
        <w:gridCol w:w="220"/>
        <w:gridCol w:w="221"/>
        <w:gridCol w:w="216"/>
        <w:gridCol w:w="216"/>
        <w:gridCol w:w="216"/>
        <w:gridCol w:w="216"/>
        <w:gridCol w:w="216"/>
        <w:gridCol w:w="313"/>
      </w:tblGrid>
      <w:tr>
        <w:trPr/>
        <w:tc>
          <w:tcPr>
            <w:tcW w:w="1664"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Dealerships</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Collision Repair Centers</w:t>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Dealership Group Brand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Owned</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Leased</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Owned</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Leased</w:t>
            </w:r>
          </w:p>
        </w:tc>
      </w:tr>
      <w:tr>
        <w:trPr/>
        <w:tc>
          <w:tcPr>
            <w:tcW w:w="4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Coggin Automotive Group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Courtesy Autogroup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Automotive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McDavid Auto Group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Greenville Automotive Group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Hare, Bill Estes &amp; Kahlo Automotive Groups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Koons Automotive Group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Larry H. Miller Dealerships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Mike Shaw, Stevinson &amp; Arapahoe Automotive Groups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Nalley Automotive Group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Park Place Automotive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Plaza Motor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w:t>
      </w:r>
    </w:p>
    <w:p>
      <w:pPr>
        <w:pStyle w:val="TextBody"/>
        <w:bidi w:val="0"/>
        <w:spacing w:lineRule="auto" w:line="288" w:before="60" w:after="6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(a)Includes one dealership that leases a new vehicle facility and operates a separate used vehicle facility that is owned.</w:t>
      </w:r>
    </w:p>
    <w:p>
      <w:pPr>
        <w:pStyle w:val="TextBody"/>
        <w:bidi w:val="0"/>
        <w:spacing w:lineRule="auto" w:line="288" w:before="0" w:after="6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(b)Includes one dealership location where we lease the underlying land but own the building facilities on that land.</w:t>
      </w:r>
    </w:p>
    <w:p>
      <w:pPr>
        <w:pStyle w:val="TextBody"/>
        <w:bidi w:val="0"/>
        <w:spacing w:lineRule="auto" w:line="288" w:before="0" w:after="6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(c)Includes two dealership location where we lease the underlying land but own the building facilities on that land.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and our dealerships are involved and will continue to be involved in various claims relating to, and arising out of, our business and our operations. These claims may involve, but are not limited to, financial and other audits by vehicle manufacturers or lenders, and certain federal, state, and local government authorities, which relate primarily to (i) incentive and warranty payments received from vehicle manufacturers, or allegations of violations of manufacturer agreements or policies, (ii) compliance with lender rules and covenants and (iii) payments made to government authorities relating to federal, state, and local taxes, as well as compliance with other government regulations. Claims may also arise through litigation, government proceedings, and other dispute resolution processes. Such claims, including class actions, can relate to, but are not limited to, the practice of charging administrative fees, employment-related matters, truth-in-lending practices, contractual disputes, actions brought by governmental authorities, and other matters. We evaluate pending and threatened claims and establish loss contingency reserves based upon outcomes we currently believe to be probable and reasonably estimable. We do not believe that the ultimate resolution of the claims we are involved in will have a material adverse effect on our business, results of operations, financial condition, cash flow and prospects.</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3, 2022, we received a Civil Investigative Demand ("CID") from the Federal Trade Commission (the "FTC") requesting information and documents concerning the Company’s corporate structure and operation of six of its dealerships. We responded to the CID by producing information and documents for the period August 1, 2019 to April 24, 2023. On February 8, 2024, the FTC staff counsel sent to us a proposed consent order and draft complaint, alleging that the Company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of our dealerships had violated Section 5 of the Federal Trade Commission Act ("FTC Act") and certain provisions of the Equal Credit Opportunity Act ("ECOA") in connection with the sale of add-on products (e.g., vehicle service contracts, maintenance plans, etc.), and advising that it would recommend the filing of an enforcement action if the Company did not settle the FTC’s claims. The Company vigorously disputed, and continues to vigorously dispute, the FTC’s allegations that it violated the FTC Act and the ECOA. As a result, on August 16, 2024, the FTC initiated an administrative proceeding by filing an enforcement action against the Company; David McDavid Honda Frisco, David McDavid Honda Irving, and David McDavid Ford Fort Worth, three of the Company’s dealerships; and an individual general manager at one of the dealerships pursuant to the allegations set forth above. On October 4, 2024, the Company filed a lawsuit against the FTC in the United States District Court for the Northern District of Texas, seeking to enjoin the FTC’s administrative proceeding on the ground that the administrative proceeding was unconstitutional. Among other things, the Company’s lawsuit asserts that the FTC’s administrative proceeding violates Asbury’s constitutional rights by denying it the right to a jury trial and by allowing the FTC to serve as both prosecutor and judge in the same proceeding. The Company’s lawsuit also contends that FTC commissioners and in-house administrative law judges are effectively insulated from removal by the President in contravention of the Constitution’s requirements. At this time, we are unable to reasonably predict the possible outcome of the Company’s dispute with the FTC, or provide a reasonably possible range of loss, if any. There can be no assurance that the Company will succeed in either the FTC’s administrative proceeding against the Company or in the Company’s lawsuit against the FTC, and the FTC’s allegations, whether meritorious or not, may adversely affect our ability to attract customers, result in the loss of existing customers, harm our reputation and cause us to incur defense costs and other expenses.</w:t>
      </w:r>
    </w:p>
    <w:p>
      <w:pPr>
        <w:pStyle w:val="TextBody"/>
        <w:bidi w:val="0"/>
        <w:spacing w:before="0" w:after="0"/>
        <w:ind w:left="0" w:right="0" w:firstLine="31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left"/>
        <w:rPr/>
      </w:pPr>
      <w:r>
        <w:rPr/>
      </w:r>
    </w:p>
    <w:p>
      <w:pPr>
        <w:pStyle w:val="TextBody"/>
        <w:bidi w:val="0"/>
        <w:spacing w:lineRule="auto" w:line="288" w:before="0" w:after="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stock is traded on the New York Stock Exchange (the "NYSE") under the symbol "ABG." </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not paid any dividends since 2008. On February 24, 2025, the last reported sale price of our common stock on the NYSE was $274.15 per share, and there were approximately 511 record holders of our common stock. </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Our credit agreement with Bank of America, N.A. ("Bank of America"), as administrative agent, and the other agents and lenders party thereto (the "2023 Senior Credit Facility") and the Indentures governing the Senior Notes (as defined below) (collectively, the "Indentures") currently allow for us to make certain restricted payments, including payments to repurchase shares of our common stock, among other things, subject to our continued compliance with certain covenants. For additional information, see the "Covenants and Defaults" section within "Liquidity and Capital Resources."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bidi w:val="0"/>
        <w:spacing w:lineRule="auto" w:line="288" w:before="180" w:after="283"/>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 repurchases are implemented through purchases made from time to time in either the open market or private transactions. The share repurchases could include purchases pursuant to a written trading plan in accordance with Rule 10b5-1 under the Securities Exchange Act of 1934, as amended, which allows companies to repurchase shares of stock at times when they might otherwise be prevented from doing so by securities laws or under self-imposed trading blackout periods. The extent that the Company repurchases its shares, the number of shares and the timing of any repurchases will depend on general market conditions, legal requirements and other corporate considerations. The repurchase program may be modified, suspended or terminated at any time without prior notice. </w:t>
      </w:r>
    </w:p>
    <w:p>
      <w:pPr>
        <w:pStyle w:val="TextBody"/>
        <w:bidi w:val="0"/>
        <w:spacing w:lineRule="auto" w:line="288" w:before="180" w:after="283"/>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about the shares of our common stock that we repurchased during the quarter ended December 31, 2024 is set forth below:</w:t>
      </w:r>
    </w:p>
    <w:tbl>
      <w:tblPr>
        <w:tblW w:w="10205" w:type="dxa"/>
        <w:jc w:val="left"/>
        <w:tblInd w:w="0" w:type="dxa"/>
        <w:tblLayout w:type="fixed"/>
        <w:tblCellMar>
          <w:top w:w="28" w:type="dxa"/>
          <w:left w:w="28" w:type="dxa"/>
          <w:bottom w:w="28" w:type="dxa"/>
          <w:right w:w="28" w:type="dxa"/>
        </w:tblCellMar>
      </w:tblPr>
      <w:tblGrid>
        <w:gridCol w:w="423"/>
        <w:gridCol w:w="294"/>
        <w:gridCol w:w="296"/>
        <w:gridCol w:w="109"/>
        <w:gridCol w:w="109"/>
        <w:gridCol w:w="109"/>
        <w:gridCol w:w="499"/>
        <w:gridCol w:w="426"/>
        <w:gridCol w:w="428"/>
        <w:gridCol w:w="109"/>
        <w:gridCol w:w="109"/>
        <w:gridCol w:w="109"/>
        <w:gridCol w:w="285"/>
        <w:gridCol w:w="976"/>
        <w:gridCol w:w="147"/>
        <w:gridCol w:w="109"/>
        <w:gridCol w:w="109"/>
        <w:gridCol w:w="109"/>
        <w:gridCol w:w="720"/>
        <w:gridCol w:w="720"/>
        <w:gridCol w:w="722"/>
        <w:gridCol w:w="109"/>
        <w:gridCol w:w="109"/>
        <w:gridCol w:w="109"/>
        <w:gridCol w:w="634"/>
        <w:gridCol w:w="1855"/>
        <w:gridCol w:w="472"/>
      </w:tblGrid>
      <w:tr>
        <w:trPr/>
        <w:tc>
          <w:tcPr>
            <w:tcW w:w="42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(or Units)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Price Paid per Share (or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(or Units)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Maximum Number (or Approximate Dollar Value) of Shares (or Units) that May Yet Be Purchased Under the Plans or Programs (In millions</w:t>
            </w:r>
          </w:p>
        </w:tc>
      </w:tr>
      <w:tr>
        <w:trPr/>
        <w:tc>
          <w:tcPr>
            <w:tcW w:w="10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10/01/2024 - 10/31/2024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3,957 </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3,957 </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11/01/2024 - 11/30/2024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12/01/2024 - 12/31/2024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4,187 </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3,957 </w:t>
            </w:r>
          </w:p>
        </w:tc>
        <w:tc>
          <w:tcPr>
            <w:tcW w:w="7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On May 15, 2024, the Company announced that its Board of Directors approved an increase of $256.2 million in the Company's common share repurchase authorization to $400 million (the "New Share Repurchase Authorization"), for the repurchase of our common stock in open market transactions or privately negotiated transactions or in other manners as permitted by federal securities laws and other legal and contractual requirements.</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extent to which the Company repurchases its shares, the number of shares and the timing of any repurchase will depend on such factors as Asbury’s stock price, general economic and market conditions, the potential impact on its capital structure, the expected return on competing uses of capital such as strategic dealership acquisitions and capital investments and other considerations. The program does not require the Company to repurchase any specific number of shares, and may be modified, suspended or terminated at any time without further notice.</w:t>
      </w:r>
    </w:p>
    <w:p>
      <w:pPr>
        <w:pStyle w:val="TextBody"/>
        <w:bidi w:val="0"/>
        <w:spacing w:before="180" w:after="283"/>
        <w:ind w:left="0" w:right="0" w:firstLine="270"/>
        <w:jc w:val="left"/>
        <w:rPr/>
      </w:pPr>
      <w:r>
        <w:rPr/>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ind w:left="0" w:right="0" w:firstLine="315"/>
        <w:jc w:val="center"/>
        <w:rPr>
          <w:rFonts w:ascii="Times New Roman;sans-serif" w:hAnsi="Times New Roman;sans-serif"/>
          <w:b/>
          <w:color w:val="000000"/>
          <w:sz w:val="20"/>
        </w:rPr>
      </w:pPr>
      <w:r>
        <w:rPr>
          <w:rFonts w:ascii="Times New Roman;sans-serif" w:hAnsi="Times New Roman;sans-serif"/>
          <w:b/>
          <w:color w:val="000000"/>
          <w:sz w:val="20"/>
        </w:rPr>
        <w:t>PERFORMANCE GRAPH</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graph furnished by us shows the value as of December 31, 2024, of a $100 investment in our common stock made on December 31, 2019, as compared with similar investments based on (i) the value of the S&amp;P 500 Index (with dividends reinvested) and (ii) the value of a market-weighted Peer Group Index composed of the common stock of AutoNation, Inc.; Sonic Automotive, Inc.; Group 1 Automotive, Inc.; Penske Automotive Group, Inc.; and Lithia Motors, Inc., in each case on a "total return" basis assuming the reinvestment of any dividends. The market-weighted Peer Group Index values were calculated from the beginning of the performance period. The historical stock performance shown below is not necessarily indicative of future expected performance.</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forgoing graph is not, and shall not be deemed to be, filed as part of our annual report on Form 10-K. Such graph is not, and will not be deemed, filed or incorporated by reference into any filing by us under the Securities Act of 1933 or the Securities Exchange Act of 1934, except to the extent specifically incorporated by reference therein by us.</w:t>
      </w:r>
    </w:p>
    <w:p>
      <w:pPr>
        <w:pStyle w:val="TextBody"/>
        <w:bidi w:val="0"/>
        <w:spacing w:before="180" w:after="283"/>
        <w:jc w:val="left"/>
        <w:rPr/>
      </w:pPr>
      <w:r>
        <w:rPr/>
        <w:drawing>
          <wp:inline distT="0" distB="0" distL="0" distR="0">
            <wp:extent cx="6572250" cy="3486150"/>
            <wp:effectExtent l="0" t="0" r="0" b="0"/>
            <wp:docPr id="3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 descr=""/>
                    <pic:cNvPicPr>
                      <a:picLocks noChangeAspect="1" noChangeArrowheads="1"/>
                    </pic:cNvPicPr>
                  </pic:nvPicPr>
                  <pic:blipFill>
                    <a:blip r:embed="rId3"/>
                    <a:stretch>
                      <a:fillRect/>
                    </a:stretch>
                  </pic:blipFill>
                  <pic:spPr bwMode="auto">
                    <a:xfrm>
                      <a:off x="0" y="0"/>
                      <a:ext cx="6572250" cy="3486150"/>
                    </a:xfrm>
                    <a:prstGeom prst="rect">
                      <a:avLst/>
                    </a:prstGeom>
                  </pic:spPr>
                </pic:pic>
              </a:graphicData>
            </a:graphic>
          </wp:inline>
        </w:drawing>
      </w:r>
    </w:p>
    <w:p>
      <w:pPr>
        <w:pStyle w:val="TextBody"/>
        <w:bidi w:val="0"/>
        <w:spacing w:before="180" w:after="283"/>
        <w:ind w:left="0" w:right="0" w:firstLine="315"/>
        <w:jc w:val="left"/>
        <w:rPr/>
      </w:pPr>
      <w:r>
        <w:rPr/>
      </w:r>
    </w:p>
    <w:p>
      <w:pPr>
        <w:pStyle w:val="TextBody"/>
        <w:bidi w:val="0"/>
        <w:spacing w:before="180" w:after="283"/>
        <w:ind w:left="0" w:right="0" w:firstLine="315"/>
        <w:jc w:val="left"/>
        <w:rPr/>
      </w:pPr>
      <w:r>
        <w:rPr/>
      </w:r>
    </w:p>
    <w:p>
      <w:pPr>
        <w:pStyle w:val="TextBody"/>
        <w:bidi w:val="0"/>
        <w:spacing w:before="180" w:after="283"/>
        <w:ind w:left="0" w:right="0" w:firstLine="315"/>
        <w:jc w:val="left"/>
        <w:rPr/>
      </w:pPr>
      <w:r>
        <w:rPr/>
      </w:r>
    </w:p>
    <w:p>
      <w:pPr>
        <w:pStyle w:val="TextBody"/>
        <w:bidi w:val="0"/>
        <w:spacing w:before="180" w:after="283"/>
        <w:ind w:left="0" w:right="0" w:firstLine="315"/>
        <w:jc w:val="left"/>
        <w:rPr/>
      </w:pPr>
      <w:r>
        <w:rPr/>
      </w:r>
    </w:p>
    <w:p>
      <w:pPr>
        <w:pStyle w:val="TextBody"/>
        <w:bidi w:val="0"/>
        <w:spacing w:before="180" w:after="283"/>
        <w:ind w:left="0" w:right="0" w:firstLine="315"/>
        <w:jc w:val="left"/>
        <w:rPr/>
      </w:pPr>
      <w:r>
        <w:rPr/>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bidi w:val="0"/>
        <w:spacing w:before="0" w:after="0"/>
        <w:ind w:left="0" w:right="0" w:hanging="14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This MD&amp;A should be read in conjunction with the accompanying audited consolidated financial statements and notes. Forward-looking statements in this MD&amp;A are not guarantees of future performance and may involve risks and uncertainties that could cause actual results to differ materially from those projected. Refer to the "Forward-Looking Statements" and Part I, Item 1A. Risk Factors for a discussion of these risks and uncertainties. The discussion of our financial condition and results of operations for the year ended December 31, 2022 is included in Item 7. Management's Discussion and Analysis of Financial Condition and Results of Operations in our Annual Report on Form 10-K for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one of the largest automotive retailers in the United States. As of December 31, 2024, through our Dealerships segment, we owned and operated 198 new vehicle franchises (152 dealership locations), representing 31 brands of automobiles, within 14 states. We also operated 37 collision centers, and Total Care Auto, Powered by Landcar ("TCA"), our F&amp;I product provider. Our stores offer an extensive range of automotive products and services, including new and used vehicles; parts and service, which include repair and maintenance services, replacement parts, and collision repair service; and finance and insurance products. The finance and insurance products are provided by both TCA and independent third parties. The F&amp;I products offered by TCA are sold through affiliated dealerships. For the year ended December 31, 2024, our new vehicle revenue brand mix consisted of 41% imports, 30% luxury, and 29% domestic brands. The Company manages its operations in two reportable segments: Dealerships and TCA. </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Our Dealerships segment revenues are derived primarily from: (i) the sale of new vehicles; (ii) the sale of used vehicles to individual retail customers ("used retail") and to other dealers at auction ("wholesale") (the terms "used retail" and "wholesale" are collectively referred to as "used"); (iii) repair and maintenance services, collision repair, the sale of automotive replacement parts, and the reconditioning of used vehicles (collectively referred to as "parts and service"); and (iv) the arrangement of third-party vehicle financing and the sale of a number of vehicle protection products. F&amp;I products are offered by dealerships to customers in connection with the purchase of vehicles through either TCA or independent third parties. We evaluate the results of our new and used vehicle sales based on unit volumes and gross profit per vehicle sold, our parts and service operations based on aggregate gross profit, and our F&amp;I business based on F&amp;I gross profit per vehicle sold. Amounts presented have been calculated using non-rounded amounts for all periods presented and therefore certain amounts may not compute due to rounding.</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Our dealerships gross profit margin varies with our revenue mix. Historically, the sales of new vehicles generally results in a lower gross profit margin than used vehicle sales, sales of parts and service, and sales of F&amp;I products. As a result, when used vehicle, parts and service, and F&amp;I revenue increase as a percentage of total revenue, we expect our overall gross profit margin to increase. However, during and after the COVID-pandemic, new vehicle gross profit margins have been above historical levels and higher than used vehicle gross margins as a result of inventory disruptions from supply chain issues.</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Our TCA segment revenues, reflected in F&amp;I revenue, net, are derived from the sale of various vehicle protection products including vehicle service contracts, GAP, prepaid maintenance contracts, and appearance protection contracts. These products are sold through company-owned dealerships. TCA's F&amp;I revenues also include investment gains or losses and income earned associated with the performance of TCA's investment portfolio.</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Our TCA segment gross profit margin can vary due to incurred claims expense and the performance of our investment portfolio. Certain F&amp;I products may result in higher gross profit margins to TCA. Therefore, the product mix of F&amp;I products sold by TCA can affect the gross profits earned. In addition, interest rate volatility based on economic and market conditions outside the control of the Company, may increase or reduce TCA segment gross profit margins as well as the fair market values of certain securities within our investment portfolio. Fair market values typically fluctuate inversely to the fluctuations in interest rates.</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("SG&amp;A") expenses consist primarily of fixed and incentive-based compensation, advertising, rent, insurance, utilities, and other customary operating expenses. A significant portion of our cost structure is variable (such as sales commissions) or controllable (such as advertising), which we believe allows us to adapt to changes in the retail environment over the long-term. We evaluate commissions paid to salespeople as a percentage of retail vehicle gross profit, advertising expense on a per vehicle retailed ("PVR") basis, and all other SG&amp;A expenses in the aggregate as a percentage of total gross profit. Commissions expense paid by TCA to our affiliated dealerships and reflected as F&amp;I revenue in our Dealerships segment is eliminated in the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continued organic growth is dependent upon the execution of our balanced automotive retailing and service business strategy, the continued strength of our brand mix, and the production and allocation of desirable vehicles from the automobile manufacturers whose brands we sell. Our vehicle sales have historically fluctuated with product availability as well as local and national economic conditions, including consumer confidence, availability of consumer credit, fuel prices, and employment levels. </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ability to sell certain new and used vehicles can be negatively impacted by a number of factors, some of which are outside of our control. Certain manufacturers continue to be hampered by the lack of availability of parts and key components from suppliers which has impacted new vehicle inventory levels and availability of certain parts. We cannot predict with any certainty how long the automotive retail industry will continue to be subject to these production slowdowns or when normalized production will resume at these manufacturers.</w:t>
      </w: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Recent Events</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Pending acquisition</w:t>
      </w:r>
    </w:p>
    <w:p>
      <w:pPr>
        <w:pStyle w:val="TextBody"/>
        <w:bidi w:val="0"/>
        <w:spacing w:lineRule="auto" w:line="276"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14, 2025, the Company, through one of its subsidiaries, entered into a Purchase and Sale Agreement (the "Transaction Agreement") with various entities that comprise the Herb Chambers automotive group (the "Herb Chambers Dealerships"). Pursuant to the Transaction Agreement, the Company is expected to acquire substantially all of the assets, including all real property and businesses of the Herb Chambers Dealerships (collectively, the "Businesses") for an aggregate purchase price of approximately $1.34 billion, which includes $750 million for goodwill, and approximately $590 million for the real estate and leasehold improvements. In addition, the Company will acquire new vehicles, used vehicles, service loaner vehicles, fixed assets, parts and supplies for a purchase price to be determined at the closing (the “Closing”) of the transactions set forth in the Transaction Agreement and will reimburse the Herb Chambers Dealerships for certain dealership construction and development costs incurred prior to the Closing. The Businesses include 33 dealerships, 52 franchises and three collision centers. Herb Chambers will retain ownership of the Mercedes-Benz of Boston dealership in Somerville, Massachusetts (the "MB Boston Dealership"). The Transaction Agreement includes certain restrictions and obligations regarding the sale of the MB Boston Dealership, including a put right obligating the Company to purchase the MB Boston Dealership during the five-year period following the Closing, absent certain circumstances. The Company's acquisition of the Businesses is anticipated to close in the second quarter of 2025 and is subject to various customary closing conditions, including approval from the applicable automotive manufacturers.</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Hurricanes Helene and Milton</w:t>
      </w:r>
    </w:p>
    <w:p>
      <w:pPr>
        <w:pStyle w:val="TextBody"/>
        <w:bidi w:val="0"/>
        <w:spacing w:lineRule="auto" w:line="288"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2024, Hurricane Helene affected our store operations in Florida, Georgia and South Carolina. With Hurricane Helene, stores in the path of the storm closed their doors early and many remained offline even after the storm passed due to power outages. Temporary store closures and reduced customer traffic in the days leading up to the storm and immediately afterwards resulted in fewer new and used vehicle unit sales along with lost business in fixed operations. As previously disclosed, we estimated the impact of the storm on diluted earnings per share for the quarter ended September 30, 2024 to be between $0.07 and $0.09 per diluted share.</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2024, the size and path of Hurricane Milton placed it over a larger section of our store footprint and the damage to our dealership locations was more extensive. A higher number of stores closed for a longer period compared to Helene. Additionally, several locations experienced flooding, partial loss of vehicle inventories and extended power outages. Other locations had varying degrees of wind and water damage preventing them from reopening in a timely manner. As a result of Hurricane Milton, we incurred losses of $6.4 million, or $0.25 per diluted share during the quarter ended December 31, 2024.</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Hurricanes Helene and Milton are not expected to have a continuing impact on the Company's operations and results in future periods.</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Stop sale orders for certain Toyota, Lexus and BMW models</w:t>
      </w:r>
    </w:p>
    <w:p>
      <w:pPr>
        <w:pStyle w:val="TextBody"/>
        <w:bidi w:val="0"/>
        <w:spacing w:lineRule="auto" w:line="288"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The stop sale orders for certain Toyota, Lexus and BMW models during the second half of 2024 impacted volumes on some of our most profitable and in-demand vehicles. A stop sale order is a notification from a manufacturer or the National Highway Traffic Safety Administration that prohibits the sale or lease of a new or used vehicle due to a safety recall, defect or noncompliance. The Toyota Grand Highlander and Lexus TX models have been popular vehicles with healthy gross profit margins. Based on the pre-stop sale trends for these models, we estimated the impact from this event resulted in approximately 2,100 fewer new units sold during the second half of 2024. As a result, we estimated the impact of the Toyota, Lexus and BMW stop sale orders to be between $0.48 and $0.52 per diluted share during the six months ended December 31, 2024. The stop sale orders were subsequently lifted during the fourth quarter and are not expected to have a continuing impact on the Company's operations and results in future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CDK outage</w:t>
      </w:r>
    </w:p>
    <w:p>
      <w:pPr>
        <w:pStyle w:val="TextBody"/>
        <w:bidi w:val="0"/>
        <w:spacing w:lineRule="auto" w:line="288"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During June 2024, one of the Company’s vendors (CDK Global) experienced a cyber-incident impacting certain services provided to the Company and many other automotive retailers, including the Company’s sales, service, inventory, customer relationship management, and accounting functions. Upon discovery of the incident, we took immediate precautionary steps to protect our systems. Beginning on June 19, 2024, the outage affected all Asbury locations, with the exception of our Koons stores which utilize a different dealer management system. All functions of CDK were not fully restored for us until July 8, 2024, with other plug-ins and bolt-on applications coming back online in the weeks thereafter.</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The CDK outage had a negative impact on our financial results during the quarter ended June 30, 2024 as a result of fewer new and used vehicle sales, which also impacted our F&amp;I business, a reduction in parts and service volumes and certain incremental expenses related to our recovery efforts. As previously disclosed, we estimated the earnings per share for the quarter ended June 30, 2024 was negatively impacted between $0.95 and $1.15 per share, without taking into account any potential recoveries related to the incident. The CDK Global cyber-incident is not expected to continue to impact the Company's operations and results in future periods.</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We have cybersecurity insurance coverage of $15.0 million, with a $2.5 million deductible. The timing of recovering some portion of our losses through insurance or other recoveries is difficult to predict. The insurance recoveries we receive, if any, may not occur for several quarters or longer.</w:t>
      </w:r>
    </w:p>
    <w:p>
      <w:pPr>
        <w:pStyle w:val="TextBody"/>
        <w:bidi w:val="0"/>
        <w:spacing w:lineRule="auto" w:line="288" w:before="180" w:after="180"/>
        <w:jc w:val="left"/>
        <w:rPr/>
      </w:pPr>
      <w:r>
        <w:rPr>
          <w:rFonts w:ascii="Times New Roman;sans-serif" w:hAnsi="Times New Roman;sans-serif"/>
          <w:b/>
          <w:color w:val="000000"/>
          <w:sz w:val="20"/>
        </w:rPr>
        <w:t>Jim Koons Acquisition</w:t>
      </w:r>
      <w:r>
        <w:rPr>
          <w:color w:val="000000"/>
        </w:rPr>
        <w:t xml:space="preserve"> </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11, 2023, the Company completed the acquisition of substantially all of the assets, including all real property and businesses of the Jim Koons Dealerships ("Koons") pursuant to a Purchase and Sale Agreement with various entities that comprise the Jim Koons automotive dealerships group (the "Koons acquisition"). The Koons acquisition comprised 20 new vehicle dealerships and six collision centers.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Financial Highlights</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Highlights related to our financial condition and results of operations include the following:</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Consolidated revenue for the year ended December 31, 2024 increased to $17.19 billion, compared to $14.80 billion for the prior year.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Consolidated gross profit for the year ended December 31, 2024 increased to $2.95 billion, compared to $2.76 billion for the prior year.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increase in consolidated revenue and consolidated gross profit is primarily due to the effects of the Koons acquisition and growth in parts and services gross profit. This increase was offset by lower gross profit per vehicle sold for both new and used as margins continue to shift downward from the historic highs in recent years.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The effects of dealership divestitures also impacted consolidated revenue and gross profit. During the year ended December 31, 2024, we divested five franchises (five dealership locations). These divested dealerships contributed $121.2 million of revenue during the year ended December 31, 2024.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Our capital allocation priorities were supported by share repurchases of approximately 830,297 million shares for $183.0 million during the year ended December 31, 2024. </w:t>
      </w:r>
    </w:p>
    <w:p>
      <w:pPr>
        <w:pStyle w:val="TextBody"/>
        <w:bidi w:val="0"/>
        <w:spacing w:before="0" w:after="120"/>
        <w:jc w:val="left"/>
        <w:rPr/>
      </w:pPr>
      <w:r>
        <w:rPr/>
      </w:r>
    </w:p>
    <w:p>
      <w:pPr>
        <w:pStyle w:val="TextBody"/>
        <w:bidi w:val="0"/>
        <w:spacing w:before="180" w:after="180"/>
        <w:ind w:left="0" w:right="0" w:firstLine="315"/>
        <w:jc w:val="left"/>
        <w:rPr/>
      </w:pPr>
      <w:r>
        <w:rPr/>
      </w:r>
    </w:p>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CONSOLIDATED RESULTS OF OPERATIONS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assess the organic growth of our revenue and gross profit on a same store basis. We believe that our assessment on a same store basis represents an important indicator of comparative financial performance and provides relevant information to assess our performance. As such, for the following discussion, same store amounts consist of information from dealerships for identical months in each comparative period, commencing with the first full month we owned the dealership. Additionally, amounts related to divested dealerships are excluded from each comparative period for same store reporting. </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full year results for 2024 include the results of the Koons dealerships acquired in the fourth quarter of 2023. Accordingly, the significant increases in revenue, gross profit and income from operations for 2024 compared to 2023 are largely a result of this acquisition.</w:t>
      </w:r>
    </w:p>
    <w:p>
      <w:pPr>
        <w:pStyle w:val="TextBody"/>
        <w:bidi w:val="0"/>
        <w:spacing w:lineRule="auto" w:line="288" w:before="100" w:after="283"/>
        <w:jc w:val="left"/>
        <w:rPr/>
      </w:pPr>
      <w:r>
        <w:rPr>
          <w:rFonts w:ascii="Times New Roman;sans-serif" w:hAnsi="Times New Roman;sans-serif"/>
          <w:b/>
          <w:color w:val="000000"/>
          <w:sz w:val="20"/>
        </w:rPr>
        <w:t>The Year Ended December 31, 2024 Compared to the Year Ended December 31, 2023</w:t>
      </w:r>
      <w:r>
        <w:rPr>
          <w:color w:val="000000"/>
        </w:rPr>
        <w:t> </w:t>
      </w:r>
    </w:p>
    <w:tbl>
      <w:tblPr>
        <w:tblW w:w="8707" w:type="dxa"/>
        <w:jc w:val="left"/>
        <w:tblInd w:w="0" w:type="dxa"/>
        <w:tblLayout w:type="fixed"/>
        <w:tblCellMar>
          <w:top w:w="28" w:type="dxa"/>
          <w:left w:w="28" w:type="dxa"/>
          <w:bottom w:w="28" w:type="dxa"/>
          <w:right w:w="28" w:type="dxa"/>
        </w:tblCellMar>
      </w:tblPr>
      <w:tblGrid>
        <w:gridCol w:w="1225"/>
        <w:gridCol w:w="1071"/>
        <w:gridCol w:w="1079"/>
        <w:gridCol w:w="229"/>
        <w:gridCol w:w="832"/>
        <w:gridCol w:w="118"/>
        <w:gridCol w:w="118"/>
        <w:gridCol w:w="118"/>
        <w:gridCol w:w="118"/>
        <w:gridCol w:w="229"/>
        <w:gridCol w:w="832"/>
        <w:gridCol w:w="118"/>
        <w:gridCol w:w="109"/>
        <w:gridCol w:w="109"/>
        <w:gridCol w:w="109"/>
        <w:gridCol w:w="211"/>
        <w:gridCol w:w="766"/>
        <w:gridCol w:w="109"/>
        <w:gridCol w:w="109"/>
        <w:gridCol w:w="109"/>
        <w:gridCol w:w="109"/>
        <w:gridCol w:w="216"/>
        <w:gridCol w:w="219"/>
        <w:gridCol w:w="445"/>
      </w:tblGrid>
      <w:tr>
        <w:trPr/>
        <w:tc>
          <w:tcPr>
            <w:tcW w:w="1225"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3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 in millions, except per share data)</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8,849.7 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7,630.7 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5,218.2 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4,414.3 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net</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17,188.6 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14,802.7 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net</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w:t>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impairments</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EXPENSES:</w:t>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Floor plan interest expense</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expense, net</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dealership divestitures, net</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expenses, net</w:t>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common share—Diluted</w:t>
            </w:r>
          </w:p>
        </w:tc>
        <w:tc>
          <w:tcPr>
            <w:tcW w:w="22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21.50 </w:t>
            </w:r>
          </w:p>
        </w:tc>
        <w:tc>
          <w:tcPr>
            <w:tcW w:w="1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28.74 </w:t>
            </w:r>
          </w:p>
        </w:tc>
        <w:tc>
          <w:tcPr>
            <w:tcW w:w="1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w:t>
      </w:r>
    </w:p>
    <w:p>
      <w:pPr>
        <w:pStyle w:val="TextBody"/>
        <w:bidi w:val="0"/>
        <w:spacing w:lineRule="auto" w:line="288" w:before="0" w:after="0"/>
        <w:jc w:val="left"/>
        <w:rPr/>
      </w:pPr>
      <w:r>
        <w:rPr>
          <w:rFonts w:ascii="Times New Roman;sans-serif" w:hAnsi="Times New Roman;sans-serif"/>
          <w:b w:val="false"/>
          <w:color w:val="000000"/>
          <w:sz w:val="20"/>
        </w:rPr>
        <w:t>NM</w:t>
      </w:r>
      <w:r>
        <w:rPr>
          <w:color w:val="000000"/>
        </w:rPr>
        <w:t>—</w:t>
      </w:r>
      <w:r>
        <w:rPr>
          <w:rFonts w:ascii="Times New Roman;sans-serif" w:hAnsi="Times New Roman;sans-serif"/>
          <w:b w:val="false"/>
          <w:color w:val="000000"/>
          <w:sz w:val="20"/>
        </w:rPr>
        <w:t>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tbl>
      <w:tblPr>
        <w:tblW w:w="8152" w:type="dxa"/>
        <w:jc w:val="center"/>
        <w:tblInd w:w="0" w:type="dxa"/>
        <w:tblLayout w:type="fixed"/>
        <w:tblCellMar>
          <w:top w:w="28" w:type="dxa"/>
          <w:left w:w="28" w:type="dxa"/>
          <w:bottom w:w="28" w:type="dxa"/>
          <w:right w:w="28" w:type="dxa"/>
        </w:tblCellMar>
      </w:tblPr>
      <w:tblGrid>
        <w:gridCol w:w="1830"/>
        <w:gridCol w:w="1609"/>
        <w:gridCol w:w="1615"/>
        <w:gridCol w:w="307"/>
        <w:gridCol w:w="309"/>
        <w:gridCol w:w="554"/>
        <w:gridCol w:w="222"/>
        <w:gridCol w:w="222"/>
        <w:gridCol w:w="222"/>
        <w:gridCol w:w="307"/>
        <w:gridCol w:w="309"/>
        <w:gridCol w:w="646"/>
      </w:tblGrid>
      <w:tr>
        <w:trPr/>
        <w:tc>
          <w:tcPr>
            <w:tcW w:w="1830"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MIX PERCENTAGES:</w:t>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retail vehicles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wholesale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MIX PERCENTAGES:</w:t>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retail vehicles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wholesale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MARGIN</w:t>
            </w:r>
          </w:p>
        </w:tc>
        <w:tc>
          <w:tcPr>
            <w:tcW w:w="61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5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SG&amp;A EXPENSES AS A PERCENTAGE OF GROSS PROFIT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during 2024 increased by $2,385.9 million (16%) compared to 2023, due to a $1,219.0 million (16%) increase in new vehicle revenue, an $803.9 million (18%) increase in used vehicle revenue, a $273.2 million (13%) increase in parts and service revenue and an $89.8 million (13%) increase in F&amp;I revenue.</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$192.8 million (7%) increase in gross profit during 2024 was the result of a $200.6 million (17%) increase in parts and service gross profit and a $73.4 million (11%) increase in F&amp;I gross profit, partially offset by a $62.6 million (9%) decrease in new vehicle gross profit and an $18.6 million (7%) decrease in used vehicle gross profit. Our total gross profit margin decreased 146 basis points from 18.6% in 2023 to 17.2% in 2024.</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 during 2024 decreased by $117.9 million (12%) compared to 2023, primarily due to a $271.2 million (17%) increase in selling, general and administrative expenses and a $32.3 million (28%) increase in asset impairments, partially offset by a $192.8 million (7%) increase in gross profit.</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expenses, net increased by $108.1 million (71%) from expenses of $152.2 million in 2023 to $260.3 million of expenses in 2024, primarily due to an $80.2 million (NM) increase in floor plan interest expense, a $23.0 million (15%) increase in other interest expense, net and a $4.9 million (36%) decrease in gain on dealership divestitures, net. As a result, income before income taxes decreased by $226.0 million (28%) to $575.3 million in 2024. The $53.8 million (27%) decrease in income tax expense was primarily attributable to the 28% decrease in income before taxes, partially offset by a 40 basis point increase in the 2024 effective tax rate. Overall, net income decreased by $172.2 million (29%) from $602.5 million in 2023 to $430.3 million in 2024.</w:t>
      </w:r>
    </w:p>
    <w:p>
      <w:pPr>
        <w:pStyle w:val="TextBody"/>
        <w:bidi w:val="0"/>
        <w:spacing w:before="180" w:after="283"/>
        <w:ind w:left="0" w:right="0" w:firstLine="315"/>
        <w:jc w:val="left"/>
        <w:rPr/>
      </w:pPr>
      <w:r>
        <w:rPr/>
      </w:r>
    </w:p>
    <w:p>
      <w:pPr>
        <w:pStyle w:val="TextBody"/>
        <w:bidi w:val="0"/>
        <w:spacing w:before="180" w:after="283"/>
        <w:ind w:left="0" w:right="0" w:firstLine="315"/>
        <w:jc w:val="left"/>
        <w:rPr/>
      </w:pPr>
      <w:r>
        <w:rPr/>
      </w:r>
    </w:p>
    <w:p>
      <w:pPr>
        <w:pStyle w:val="TextBody"/>
        <w:bidi w:val="0"/>
        <w:spacing w:before="180" w:after="283"/>
        <w:ind w:left="0" w:right="0" w:firstLine="315"/>
        <w:jc w:val="left"/>
        <w:rPr/>
      </w:pPr>
      <w:r>
        <w:rPr/>
      </w:r>
    </w:p>
    <w:p>
      <w:pPr>
        <w:pStyle w:val="TextBody"/>
        <w:bidi w:val="0"/>
        <w:spacing w:before="180" w:after="283"/>
        <w:ind w:left="0" w:right="0" w:firstLine="315"/>
        <w:jc w:val="left"/>
        <w:rPr/>
      </w:pPr>
      <w:r>
        <w:rPr/>
      </w:r>
    </w:p>
    <w:p>
      <w:pPr>
        <w:pStyle w:val="TextBody"/>
        <w:bidi w:val="0"/>
        <w:spacing w:before="180" w:after="283"/>
        <w:ind w:left="0" w:right="0" w:firstLine="315"/>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New Vehicle—</w:t>
      </w:r>
    </w:p>
    <w:tbl>
      <w:tblPr>
        <w:tblW w:w="7866" w:type="dxa"/>
        <w:jc w:val="left"/>
        <w:tblInd w:w="0" w:type="dxa"/>
        <w:tblLayout w:type="fixed"/>
        <w:tblCellMar>
          <w:top w:w="28" w:type="dxa"/>
          <w:left w:w="28" w:type="dxa"/>
          <w:bottom w:w="28" w:type="dxa"/>
          <w:right w:w="28" w:type="dxa"/>
        </w:tblCellMar>
      </w:tblPr>
      <w:tblGrid>
        <w:gridCol w:w="916"/>
        <w:gridCol w:w="808"/>
        <w:gridCol w:w="810"/>
        <w:gridCol w:w="229"/>
        <w:gridCol w:w="832"/>
        <w:gridCol w:w="118"/>
        <w:gridCol w:w="118"/>
        <w:gridCol w:w="118"/>
        <w:gridCol w:w="118"/>
        <w:gridCol w:w="229"/>
        <w:gridCol w:w="832"/>
        <w:gridCol w:w="118"/>
        <w:gridCol w:w="109"/>
        <w:gridCol w:w="109"/>
        <w:gridCol w:w="109"/>
        <w:gridCol w:w="211"/>
        <w:gridCol w:w="766"/>
        <w:gridCol w:w="109"/>
        <w:gridCol w:w="109"/>
        <w:gridCol w:w="109"/>
        <w:gridCol w:w="109"/>
        <w:gridCol w:w="216"/>
        <w:gridCol w:w="219"/>
        <w:gridCol w:w="445"/>
      </w:tblGrid>
      <w:tr>
        <w:trPr/>
        <w:tc>
          <w:tcPr>
            <w:tcW w:w="91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3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 in millions, except for per vehicle data)</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Reported:</w:t>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Luxury</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Import</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3,623.5 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new vehicle revenue</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8,849.7 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7,630.7 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Luxury</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Import</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new vehicle gross profit</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units:</w:t>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Luxury</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Import</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91,243 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45,148 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36,469 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new vehicle units</w:t>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173,218 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149,509 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Same Store:</w:t>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Luxury</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Import</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3,014.8 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new vehicle revenue</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7,454.9 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7,426.4 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Luxury</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Import</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new vehicle gross profit</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units:</w:t>
            </w:r>
          </w:p>
        </w:tc>
        <w:tc>
          <w:tcPr>
            <w:tcW w:w="11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Luxury</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Import</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76,662 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74,509 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new vehicle units</w:t>
            </w:r>
          </w:p>
        </w:tc>
        <w:tc>
          <w:tcPr>
            <w:tcW w:w="10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144,799 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144,903 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New Vehicle Metrics—</w:t>
      </w:r>
    </w:p>
    <w:tbl>
      <w:tblPr>
        <w:tblW w:w="8216" w:type="dxa"/>
        <w:jc w:val="left"/>
        <w:tblInd w:w="0" w:type="dxa"/>
        <w:tblLayout w:type="fixed"/>
        <w:tblCellMar>
          <w:top w:w="28" w:type="dxa"/>
          <w:left w:w="28" w:type="dxa"/>
          <w:bottom w:w="28" w:type="dxa"/>
          <w:right w:w="28" w:type="dxa"/>
        </w:tblCellMar>
      </w:tblPr>
      <w:tblGrid>
        <w:gridCol w:w="1003"/>
        <w:gridCol w:w="885"/>
        <w:gridCol w:w="887"/>
        <w:gridCol w:w="211"/>
        <w:gridCol w:w="721"/>
        <w:gridCol w:w="271"/>
        <w:gridCol w:w="109"/>
        <w:gridCol w:w="109"/>
        <w:gridCol w:w="109"/>
        <w:gridCol w:w="211"/>
        <w:gridCol w:w="721"/>
        <w:gridCol w:w="271"/>
        <w:gridCol w:w="109"/>
        <w:gridCol w:w="109"/>
        <w:gridCol w:w="109"/>
        <w:gridCol w:w="211"/>
        <w:gridCol w:w="691"/>
        <w:gridCol w:w="271"/>
        <w:gridCol w:w="109"/>
        <w:gridCol w:w="109"/>
        <w:gridCol w:w="109"/>
        <w:gridCol w:w="218"/>
        <w:gridCol w:w="218"/>
        <w:gridCol w:w="445"/>
      </w:tblGrid>
      <w:tr>
        <w:trPr/>
        <w:tc>
          <w:tcPr>
            <w:tcW w:w="100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Reported:</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per new vehicle sold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 new vehicle sold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3,697 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4,702 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gross margin</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Luxury:</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 new vehicle sold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gross margin</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Import:</w:t>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 new vehicle sold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gross margin</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 new vehicle sold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gross margin</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Same Store:</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per new vehicle sold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 new vehicle sold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3,713 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gross margin</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Luxury:</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 new vehicle sold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gross margin</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Import:</w:t>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 new vehicle sold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gross margin</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 new vehicle sold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gross margin</w:t>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During 2024, new vehicle revenue increased by $1,219.0 million (16%) when compared to 2023, as a result of a 16% increase in new vehicle unit sales. Same store new vehicle revenue increased by $28.5 million driven by an increase in same store revenue per new vehicle sold from $51,251 for the year ended December 31, 2023 to $51,484 for the year ended December 31, 2024.</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New vehicle gross profit decreased by $62.6 million (9%) in 2024 when compared to 2023, as a result of a 21% decrease in gross profit per new vehicle sold partially offset by a 16% increase in unit volumes. Same store new vehicle gross profit decreased by $149.9 million (22%) in 2024 as a result of a 22% decrease in gross profit per new vehicle sold. Same store new vehicle gross margin decreased 205 basis points to 7.2% in 2024. The decrease in our new vehicle gross profit margin was primarily attributable to the continued easing of new vehicle inventory constraints which softened the historically high new vehicle margins seen in recent years. </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seasonally adjusted annual rate ("SAAR") for new vehicle sales in the U.S. during the year ended December 31, 2024 was approximately 15.8 million which increased as compared to approximately 15.4 million during the year ended December 31, 2023. The increase in new vehicle sales revenue on a same store basis for the year ended December 31, 2024 over the same period in the prior year is primarily attributable to an increase of $234 of revenue per new vehicle sold, while new vehicle units sold remained relatively flat for the year ended December 31, 2024 as compared to the same period in the prior year. The increase in SAAR period over period reflects higher inventory supply, including fleet, coupled with continued consumer demand for new vehicles. However, we continue to be negatively impacted by the significant variation in new vehicle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days supply among brands and models. We ended the year with approximately 49 days of supply of new vehicle inventory which reflects an increase from 43 days of supply as of December 31, 2023 but remains well below historical levels.</w:t>
      </w:r>
    </w:p>
    <w:p>
      <w:pPr>
        <w:pStyle w:val="TextBody"/>
        <w:bidi w:val="0"/>
        <w:spacing w:lineRule="auto" w:line="288" w:before="360" w:after="283"/>
        <w:jc w:val="left"/>
        <w:rPr/>
      </w:pPr>
      <w:r>
        <w:rPr>
          <w:rFonts w:ascii="Times New Roman;sans-serif" w:hAnsi="Times New Roman;sans-serif"/>
          <w:b w:val="false"/>
          <w:i/>
          <w:color w:val="000000"/>
          <w:sz w:val="20"/>
        </w:rPr>
        <w:t>Used Vehicle—</w:t>
      </w:r>
      <w:r>
        <w:rPr>
          <w:color w:val="000000"/>
        </w:rPr>
        <w:t> </w:t>
      </w:r>
    </w:p>
    <w:tbl>
      <w:tblPr>
        <w:tblW w:w="8241" w:type="dxa"/>
        <w:jc w:val="left"/>
        <w:tblInd w:w="0" w:type="dxa"/>
        <w:tblLayout w:type="fixed"/>
        <w:tblCellMar>
          <w:top w:w="28" w:type="dxa"/>
          <w:left w:w="28" w:type="dxa"/>
          <w:bottom w:w="28" w:type="dxa"/>
          <w:right w:w="28" w:type="dxa"/>
        </w:tblCellMar>
      </w:tblPr>
      <w:tblGrid>
        <w:gridCol w:w="1080"/>
        <w:gridCol w:w="951"/>
        <w:gridCol w:w="953"/>
        <w:gridCol w:w="229"/>
        <w:gridCol w:w="832"/>
        <w:gridCol w:w="118"/>
        <w:gridCol w:w="118"/>
        <w:gridCol w:w="118"/>
        <w:gridCol w:w="118"/>
        <w:gridCol w:w="229"/>
        <w:gridCol w:w="832"/>
        <w:gridCol w:w="118"/>
        <w:gridCol w:w="109"/>
        <w:gridCol w:w="109"/>
        <w:gridCol w:w="109"/>
        <w:gridCol w:w="211"/>
        <w:gridCol w:w="691"/>
        <w:gridCol w:w="109"/>
        <w:gridCol w:w="109"/>
        <w:gridCol w:w="109"/>
        <w:gridCol w:w="109"/>
        <w:gridCol w:w="216"/>
        <w:gridCol w:w="219"/>
        <w:gridCol w:w="445"/>
      </w:tblGrid>
      <w:tr>
        <w:trPr/>
        <w:tc>
          <w:tcPr>
            <w:tcW w:w="108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5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 in millions, except for per vehicle data)</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Reported:</w:t>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retail revenue</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4,605.9 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wholesale revenue</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revenue</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5,218.2 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4,414.3 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retail gross profit</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wholesale gross profit</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gross profit</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retail units:</w:t>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retail units</w:t>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150,698 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127,507 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Same Store:</w:t>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retail revenue</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3,686.6 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3,897.7 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wholesale revenue</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revenue</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4,136.0 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4,276.5 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retail gross profit</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wholesale gross profit</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gross profit</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retail units:</w:t>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retail units</w:t>
            </w:r>
          </w:p>
        </w:tc>
        <w:tc>
          <w:tcPr>
            <w:tcW w:w="10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119,297 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123,007 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100" w:after="283"/>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Used Vehicle Metrics—</w:t>
      </w:r>
    </w:p>
    <w:tbl>
      <w:tblPr>
        <w:tblW w:w="8381" w:type="dxa"/>
        <w:jc w:val="left"/>
        <w:tblInd w:w="0" w:type="dxa"/>
        <w:tblLayout w:type="fixed"/>
        <w:tblCellMar>
          <w:top w:w="28" w:type="dxa"/>
          <w:left w:w="28" w:type="dxa"/>
          <w:bottom w:w="28" w:type="dxa"/>
          <w:right w:w="28" w:type="dxa"/>
        </w:tblCellMar>
      </w:tblPr>
      <w:tblGrid>
        <w:gridCol w:w="1118"/>
        <w:gridCol w:w="985"/>
        <w:gridCol w:w="987"/>
        <w:gridCol w:w="211"/>
        <w:gridCol w:w="721"/>
        <w:gridCol w:w="271"/>
        <w:gridCol w:w="109"/>
        <w:gridCol w:w="109"/>
        <w:gridCol w:w="109"/>
        <w:gridCol w:w="211"/>
        <w:gridCol w:w="721"/>
        <w:gridCol w:w="271"/>
        <w:gridCol w:w="109"/>
        <w:gridCol w:w="109"/>
        <w:gridCol w:w="109"/>
        <w:gridCol w:w="211"/>
        <w:gridCol w:w="541"/>
        <w:gridCol w:w="271"/>
        <w:gridCol w:w="109"/>
        <w:gridCol w:w="109"/>
        <w:gridCol w:w="109"/>
        <w:gridCol w:w="218"/>
        <w:gridCol w:w="218"/>
        <w:gridCol w:w="445"/>
      </w:tblGrid>
      <w:tr>
        <w:trPr/>
        <w:tc>
          <w:tcPr>
            <w:tcW w:w="1118"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Reported:</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per used vehicle retailed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 used vehicle retailed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retail gross margin</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Same Store:</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per used vehicle retailed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 used vehicle retailed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retail gross margin</w:t>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Used vehicle revenue increased by $803.9 million (18%), due to a $588.4 million (15%) increase in used vehicle retail revenue and a $215.5 million (54%) increase in used vehicle wholesale revenue. Same store used vehicle revenue decreased by $140.5 million (3%) due to a $211.2 million (5%) decrease in used vehicle retail revenue, partially offset by a $70.7 million (19%) increase in used vehicle wholesale revenue. Used vehicle revenues and unit volume have continued to contract during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along with margins on both an all store and same store basis. Used vehicle revenue and unit volumes have been negatively impacted by the affordability headwinds and lack of inventory availability, especially in vehicles with lower mileage.</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In 2024, total Company and same store used vehicle retail gross profit margins decreased 122 and 101 basis points, respectively, to 5.0% and 5.2%. We attribute the decreases in used vehicle retail gross profit margin to a softening in the used vehicle market, which was at record highs in 2021 and, to a lesser extent 2022, as a result of new vehicle inventory shortages initially caused by COVID-19 disruptions followed by supply chain issues.</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used vehicle inventory continues to be well-aligned with current consumer demand, with approximately 37 days of supply as of December 31, 2024. </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Parts and Service—</w:t>
      </w:r>
    </w:p>
    <w:p>
      <w:pPr>
        <w:pStyle w:val="TextBody"/>
        <w:bidi w:val="0"/>
        <w:spacing w:lineRule="auto" w:line="288" w:before="16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2024, we are presenting "Collision" as a separate line item within parts and service gross profit. In periods ending prior to June 30, 2024, "Collision" was included within "Customer pay". We reclassified the corresponding amounts for the year ended December 31, 2023 to conform to current year presentation.</w:t>
      </w:r>
    </w:p>
    <w:tbl>
      <w:tblPr>
        <w:tblW w:w="10205" w:type="dxa"/>
        <w:jc w:val="left"/>
        <w:tblInd w:w="0" w:type="dxa"/>
        <w:tblLayout w:type="fixed"/>
        <w:tblCellMar>
          <w:top w:w="28" w:type="dxa"/>
          <w:left w:w="28" w:type="dxa"/>
          <w:bottom w:w="28" w:type="dxa"/>
          <w:right w:w="28" w:type="dxa"/>
        </w:tblCellMar>
      </w:tblPr>
      <w:tblGrid>
        <w:gridCol w:w="1807"/>
        <w:gridCol w:w="1464"/>
        <w:gridCol w:w="1470"/>
        <w:gridCol w:w="416"/>
        <w:gridCol w:w="360"/>
        <w:gridCol w:w="361"/>
        <w:gridCol w:w="209"/>
        <w:gridCol w:w="209"/>
        <w:gridCol w:w="209"/>
        <w:gridCol w:w="416"/>
        <w:gridCol w:w="360"/>
        <w:gridCol w:w="361"/>
        <w:gridCol w:w="109"/>
        <w:gridCol w:w="109"/>
        <w:gridCol w:w="109"/>
        <w:gridCol w:w="211"/>
        <w:gridCol w:w="616"/>
        <w:gridCol w:w="271"/>
        <w:gridCol w:w="109"/>
        <w:gridCol w:w="109"/>
        <w:gridCol w:w="109"/>
        <w:gridCol w:w="180"/>
        <w:gridCol w:w="181"/>
        <w:gridCol w:w="450"/>
      </w:tblGrid>
      <w:tr>
        <w:trPr/>
        <w:tc>
          <w:tcPr>
            <w:tcW w:w="1807"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r>
      <w:tr>
        <w:trPr/>
        <w:tc>
          <w:tcPr>
            <w:tcW w:w="47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r>
      <w:tr>
        <w:trPr/>
        <w:tc>
          <w:tcPr>
            <w:tcW w:w="47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47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6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 in millions)</w:t>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Reported:</w:t>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 revenue</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2,354.7</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 gross profit:</w:t>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pay</w:t>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711.1</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w:t>
            </w:r>
          </w:p>
        </w:tc>
        <w:tc>
          <w:tcPr>
            <w:tcW w:w="1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Collision</w:t>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Wholesale parts</w:t>
            </w:r>
          </w:p>
        </w:tc>
        <w:tc>
          <w:tcPr>
            <w:tcW w:w="1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 gross profit, excluding reconditioning and preparation</w:t>
            </w:r>
          </w:p>
        </w:tc>
        <w:tc>
          <w:tcPr>
            <w:tcW w:w="11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1,104.0</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 gross margin, excluding reconditioning and preparation</w:t>
            </w:r>
          </w:p>
        </w:tc>
        <w:tc>
          <w:tcPr>
            <w:tcW w:w="11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Reconditioning and preparation *</w:t>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parts and service gross profit</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1,351.2</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parts and service gross margin</w:t>
            </w:r>
          </w:p>
        </w:tc>
        <w:tc>
          <w:tcPr>
            <w:tcW w:w="113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Same Store:</w:t>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 revenue</w:t>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2,064.2</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 gross profit:</w:t>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pay</w:t>
            </w:r>
          </w:p>
        </w:tc>
        <w:tc>
          <w:tcPr>
            <w:tcW w:w="1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612.9</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w:t>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Collision</w:t>
            </w:r>
          </w:p>
        </w:tc>
        <w:tc>
          <w:tcPr>
            <w:tcW w:w="1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Wholesale parts</w:t>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 gross profit, excluding reconditioning and preparation</w:t>
            </w:r>
          </w:p>
        </w:tc>
        <w:tc>
          <w:tcPr>
            <w:tcW w:w="11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968.2</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 gross margin, excluding reconditioning and preparation</w:t>
            </w:r>
          </w:p>
        </w:tc>
        <w:tc>
          <w:tcPr>
            <w:tcW w:w="11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Reconditioning and preparation *</w:t>
            </w:r>
          </w:p>
        </w:tc>
        <w:tc>
          <w:tcPr>
            <w:tcW w:w="1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parts and service gross profit</w:t>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1,188.3</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parts and service gross margin</w:t>
            </w:r>
          </w:p>
        </w:tc>
        <w:tc>
          <w:tcPr>
            <w:tcW w:w="113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Reconditioning and preparation represents the gross profit earned by our parts and service departments for internal work performed and is included as a reduction of Parts and service cost of sales within the accompanying consolidated statements of income upon the sale of the vehicle.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$273.2 million (13%) increase in parts and service revenue was due to a $185.6 million (17%) increase in customer pay revenue, a $65.7 million (24%) increase in warranty revenue, a $15.3 million (3%) increase in wholesale parts revenue and a $6.6 million (2%) increase in collision revenue. Same store parts and service revenue increased $35.9 (2%) from $2.03 billion in 2023 to $2.06 billion in 2024. The increase in same store parts and service revenue was due to a $42.7 million (4%) increase in customer pay revenue and a $33.0 million (12%) increase in warranty revenue, partially offset by a $15.6 million (4%) decrease in wholesale parts revenue and a $24.2 million (9%) decrease in collision revenue.</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 gross profit, excluding reconditioning and preparation, increased by $167.4 million (18%) to $1.10 billion and same store gross profit, excluding reconditioning and preparation, increased by $55.4 million (6%) to $968.2 million. The $55.4 million increase in same store gross profit, excluding reconditioning and preparation, is primarily due to a $44.5 million (8%) increase in customer pay gross profit and a $21.3 million (15%) increase in warranty gross profit, partially offset by an $8.1 million (7%) decrease in collision gross profit and a $2.3 million (3%) decrease in wholesale parts gross profit. As a result of the shortage of new vehicle inventory in recent years, coupled with inflationary headwinds, many customers have elected to keep their current vehicles longer which has generated additional customer pay gross profit for the service departments. In addition, the increasing complexity of vehicles due to advanced systems is increasing the frequency of recalls resulting in an increase in warranty gross profit. We continue to focus on increasing our customer pay parts and service revenue over the long-term by improving the customer experience, providing competitive benefits to our technicians, capitalizing on our dealership training programs and upgrading equipment.</w:t>
      </w:r>
    </w:p>
    <w:p>
      <w:pPr>
        <w:pStyle w:val="TextBody"/>
        <w:bidi w:val="0"/>
        <w:spacing w:lineRule="auto" w:line="288" w:before="360" w:after="283"/>
        <w:jc w:val="left"/>
        <w:rPr/>
      </w:pPr>
      <w:r>
        <w:rPr>
          <w:rFonts w:ascii="Times New Roman;sans-serif" w:hAnsi="Times New Roman;sans-serif"/>
          <w:b w:val="false"/>
          <w:i/>
          <w:color w:val="000000"/>
          <w:sz w:val="20"/>
        </w:rPr>
        <w:t>Finance and Insurance, net—</w:t>
      </w:r>
      <w:r>
        <w:rPr>
          <w:color w:val="000000"/>
        </w:rPr>
        <w:t> </w:t>
      </w:r>
    </w:p>
    <w:tbl>
      <w:tblPr>
        <w:tblW w:w="8691" w:type="dxa"/>
        <w:jc w:val="center"/>
        <w:tblInd w:w="0" w:type="dxa"/>
        <w:tblLayout w:type="fixed"/>
        <w:tblCellMar>
          <w:top w:w="28" w:type="dxa"/>
          <w:left w:w="28" w:type="dxa"/>
          <w:bottom w:w="28" w:type="dxa"/>
          <w:right w:w="28" w:type="dxa"/>
        </w:tblCellMar>
      </w:tblPr>
      <w:tblGrid>
        <w:gridCol w:w="1307"/>
        <w:gridCol w:w="1153"/>
        <w:gridCol w:w="1155"/>
        <w:gridCol w:w="260"/>
        <w:gridCol w:w="760"/>
        <w:gridCol w:w="134"/>
        <w:gridCol w:w="134"/>
        <w:gridCol w:w="134"/>
        <w:gridCol w:w="134"/>
        <w:gridCol w:w="260"/>
        <w:gridCol w:w="760"/>
        <w:gridCol w:w="134"/>
        <w:gridCol w:w="109"/>
        <w:gridCol w:w="109"/>
        <w:gridCol w:w="109"/>
        <w:gridCol w:w="211"/>
        <w:gridCol w:w="586"/>
        <w:gridCol w:w="109"/>
        <w:gridCol w:w="109"/>
        <w:gridCol w:w="109"/>
        <w:gridCol w:w="109"/>
        <w:gridCol w:w="180"/>
        <w:gridCol w:w="181"/>
        <w:gridCol w:w="445"/>
      </w:tblGrid>
      <w:tr>
        <w:trPr/>
        <w:tc>
          <w:tcPr>
            <w:tcW w:w="130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7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 in millions, except for per vehicle data)</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Reported:</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net revenue</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net gross profit</w:t>
            </w:r>
          </w:p>
        </w:tc>
        <w:tc>
          <w:tcPr>
            <w:tcW w:w="2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711.6 </w:t>
            </w:r>
          </w:p>
        </w:tc>
        <w:tc>
          <w:tcPr>
            <w:tcW w:w="13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638.2 </w:t>
            </w:r>
          </w:p>
        </w:tc>
        <w:tc>
          <w:tcPr>
            <w:tcW w:w="13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net per vehicle sold</w:t>
            </w:r>
          </w:p>
        </w:tc>
        <w:tc>
          <w:tcPr>
            <w:tcW w:w="2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2,197 </w:t>
            </w:r>
          </w:p>
        </w:tc>
        <w:tc>
          <w:tcPr>
            <w:tcW w:w="13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2,304 </w:t>
            </w:r>
          </w:p>
        </w:tc>
        <w:tc>
          <w:tcPr>
            <w:tcW w:w="13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Same Store:</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net revenue</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net gross profit</w:t>
            </w:r>
          </w:p>
        </w:tc>
        <w:tc>
          <w:tcPr>
            <w:tcW w:w="2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576.0 </w:t>
            </w:r>
          </w:p>
        </w:tc>
        <w:tc>
          <w:tcPr>
            <w:tcW w:w="13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622.8 </w:t>
            </w:r>
          </w:p>
        </w:tc>
        <w:tc>
          <w:tcPr>
            <w:tcW w:w="13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net per vehicle sold</w:t>
            </w:r>
          </w:p>
        </w:tc>
        <w:tc>
          <w:tcPr>
            <w:tcW w:w="2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2,181 </w:t>
            </w:r>
          </w:p>
        </w:tc>
        <w:tc>
          <w:tcPr>
            <w:tcW w:w="13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2,325 </w:t>
            </w:r>
          </w:p>
        </w:tc>
        <w:tc>
          <w:tcPr>
            <w:tcW w:w="13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4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F&amp;I revenue, net increased by $89.8 million (13%) in 2024 when compared to 2023 primarily as a result of a 17% increase in new and used retail unit sales, partially offset by a $107 (5%) decrease in F&amp;I per vehicle retailed.</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On a same store basis, F&amp;I revenue, net decreased by $30.3 million (5%) in 2024 when compared to 2023 primarily as a result of a 1% decrease in new and used retail unit sales and a $144 (6%) decrease in F&amp;I per vehicle retailed.</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financial results of the TCA segment, after dealership eliminations, are as follows:</w:t>
      </w:r>
    </w:p>
    <w:tbl>
      <w:tblPr>
        <w:tblW w:w="8151" w:type="dxa"/>
        <w:jc w:val="left"/>
        <w:tblInd w:w="0" w:type="dxa"/>
        <w:tblLayout w:type="fixed"/>
        <w:tblCellMar>
          <w:top w:w="28" w:type="dxa"/>
          <w:left w:w="28" w:type="dxa"/>
          <w:bottom w:w="28" w:type="dxa"/>
          <w:right w:w="28" w:type="dxa"/>
        </w:tblCellMar>
      </w:tblPr>
      <w:tblGrid>
        <w:gridCol w:w="1085"/>
        <w:gridCol w:w="954"/>
        <w:gridCol w:w="961"/>
        <w:gridCol w:w="260"/>
        <w:gridCol w:w="760"/>
        <w:gridCol w:w="134"/>
        <w:gridCol w:w="134"/>
        <w:gridCol w:w="134"/>
        <w:gridCol w:w="134"/>
        <w:gridCol w:w="260"/>
        <w:gridCol w:w="760"/>
        <w:gridCol w:w="134"/>
        <w:gridCol w:w="109"/>
        <w:gridCol w:w="109"/>
        <w:gridCol w:w="109"/>
        <w:gridCol w:w="211"/>
        <w:gridCol w:w="586"/>
        <w:gridCol w:w="109"/>
        <w:gridCol w:w="109"/>
        <w:gridCol w:w="109"/>
        <w:gridCol w:w="109"/>
        <w:gridCol w:w="218"/>
        <w:gridCol w:w="218"/>
        <w:gridCol w:w="445"/>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5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 in millions)</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revenue</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cost of sales</w:t>
            </w:r>
          </w:p>
        </w:tc>
        <w:tc>
          <w:tcPr>
            <w:tcW w:w="2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13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3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gross profit</w:t>
            </w:r>
          </w:p>
        </w:tc>
        <w:tc>
          <w:tcPr>
            <w:tcW w:w="2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66.2 </w:t>
            </w:r>
          </w:p>
        </w:tc>
        <w:tc>
          <w:tcPr>
            <w:tcW w:w="13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100.4 </w:t>
            </w:r>
          </w:p>
        </w:tc>
        <w:tc>
          <w:tcPr>
            <w:tcW w:w="13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TCA offers a variety of F&amp;I products, such as extended vehicle service contracts, prepaid maintenance contracts, GAP, appearance protection contracts and lease wear-and-tear contracts. TCA's products are sold through our automobile dealerships.</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generated by TCA is earned over the period of the related product contract. The method for recognizing revenue is assigned based on contract type and expected claim patterns. Premium revenues are supplemented with investment gains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income earned associated with the performance of TCA's investment portfolio. During the years ended December 31, 2024 and 2023, TCA generated $120.6 million and $138.3 million, respectively, of revenue, consisting primarily of earned premium and $17.8 million and $15.7 million, respectively, from the investment portfolio.</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Direct expenses incurred for the acquisition of F&amp;I contracts on which revenue has not yet been recognized have been deferred and are amortized over the related contract period. During the years ended December 31, 2024 and 2023, TCA recorded $54.4 million and $37.9 million, respectively, of cost of sales consisting primarily of claims expense paid to affiliated dealerships. Commissions expense paid by TCA to our affiliated dealerships and reflected as F&amp;I revenue in our Dealerships segment is eliminated upon consolidation.</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As we continue to integrate TCA, we currently expect a rollout of TCA products in our Florida market during the first quarter of 2025 and the Koons platform in the second quarter of 2025; however, no assurance can be given that the rollout will be completed within the timeframe contemplated. With the ownership of TCA, while the combined profitability of the transaction is higher, the timing of revenue and cost recognition is deferred and amortized over the life of the contract. We expect that this rollout will result in lower F&amp;I revenue and gross profit over the next two to three years due to the change in how these contracts are earned.</w:t>
      </w:r>
    </w:p>
    <w:p>
      <w:pPr>
        <w:pStyle w:val="TextBody"/>
        <w:bidi w:val="0"/>
        <w:spacing w:lineRule="auto" w:line="288" w:before="360" w:after="180"/>
        <w:jc w:val="left"/>
        <w:rPr/>
      </w:pPr>
      <w:r>
        <w:rPr>
          <w:rFonts w:ascii="Times New Roman;sans-serif" w:hAnsi="Times New Roman;sans-serif"/>
          <w:b w:val="false"/>
          <w:color w:val="000000"/>
          <w:sz w:val="20"/>
        </w:rPr>
        <w:t>S</w:t>
      </w:r>
      <w:r>
        <w:rPr>
          <w:rFonts w:ascii="Times New Roman;sans-serif" w:hAnsi="Times New Roman;sans-serif"/>
          <w:b w:val="false"/>
          <w:i/>
          <w:color w:val="000000"/>
          <w:sz w:val="20"/>
        </w:rPr>
        <w:t>elling, General and Administrative Expense—</w:t>
      </w:r>
    </w:p>
    <w:tbl>
      <w:tblPr>
        <w:tblW w:w="10205" w:type="dxa"/>
        <w:jc w:val="left"/>
        <w:tblInd w:w="0" w:type="dxa"/>
        <w:tblLayout w:type="fixed"/>
        <w:tblCellMar>
          <w:top w:w="28" w:type="dxa"/>
          <w:left w:w="28" w:type="dxa"/>
          <w:bottom w:w="28" w:type="dxa"/>
          <w:right w:w="28" w:type="dxa"/>
        </w:tblCellMar>
      </w:tblPr>
      <w:tblGrid>
        <w:gridCol w:w="899"/>
        <w:gridCol w:w="552"/>
        <w:gridCol w:w="553"/>
        <w:gridCol w:w="211"/>
        <w:gridCol w:w="766"/>
        <w:gridCol w:w="109"/>
        <w:gridCol w:w="109"/>
        <w:gridCol w:w="109"/>
        <w:gridCol w:w="109"/>
        <w:gridCol w:w="255"/>
        <w:gridCol w:w="256"/>
        <w:gridCol w:w="542"/>
        <w:gridCol w:w="109"/>
        <w:gridCol w:w="109"/>
        <w:gridCol w:w="109"/>
        <w:gridCol w:w="211"/>
        <w:gridCol w:w="766"/>
        <w:gridCol w:w="109"/>
        <w:gridCol w:w="109"/>
        <w:gridCol w:w="109"/>
        <w:gridCol w:w="109"/>
        <w:gridCol w:w="255"/>
        <w:gridCol w:w="256"/>
        <w:gridCol w:w="542"/>
        <w:gridCol w:w="109"/>
        <w:gridCol w:w="109"/>
        <w:gridCol w:w="109"/>
        <w:gridCol w:w="211"/>
        <w:gridCol w:w="616"/>
        <w:gridCol w:w="109"/>
        <w:gridCol w:w="109"/>
        <w:gridCol w:w="109"/>
        <w:gridCol w:w="109"/>
        <w:gridCol w:w="275"/>
        <w:gridCol w:w="275"/>
        <w:gridCol w:w="802"/>
      </w:tblGrid>
      <w:tr>
        <w:trPr/>
        <w:tc>
          <w:tcPr>
            <w:tcW w:w="89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r>
      <w:tr>
        <w:trPr/>
        <w:tc>
          <w:tcPr>
            <w:tcW w:w="20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Gross</w:t>
              <w:br/>
              <w:t>Profit Increase (Decrease)</w:t>
            </w:r>
          </w:p>
        </w:tc>
      </w:tr>
      <w:tr>
        <w:trPr/>
        <w:tc>
          <w:tcPr>
            <w:tcW w:w="20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Gross</w:t>
              <w:br/>
              <w:t>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Gross</w:t>
              <w:br/>
              <w:t>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5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0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0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 in millions)</w:t>
            </w:r>
          </w:p>
        </w:tc>
      </w:tr>
      <w:tr>
        <w:trPr/>
        <w:tc>
          <w:tcPr>
            <w:tcW w:w="2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Reported:</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 and related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Same Store: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 and related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SG&amp;A expense as a percentage of gross profit increased 536 basis points from 58.7% in 2023 to 64.0% in 2024. Same store SG&amp;A expense as a percentage of gross profit increased 528 basis points from 58.3% in 2023 to 63.5% in 2024. The increase in SG&amp;A as a percentage of gross profit is primarily the result of higher cost in personnel and other categories in SG&amp;A expense partially offset by higher gross profits for 2024 as compared to 2023. SG&amp;A expense for the year ended December 31, 2024 includes $7.1 million of expense related to hail damage and $6.4 million of expense related to Hurricane Milton. SG&amp;A expense for the year ended December 31, 2023 includes $4.3 million of expense related to hail damage, a $3.6 million gain from the sale of real estate and $4.1 million of professional fees related to the Koons acquisition.</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Asset Impairments —</w:t>
      </w:r>
    </w:p>
    <w:p>
      <w:pPr>
        <w:pStyle w:val="TextBody"/>
        <w:bidi w:val="0"/>
        <w:spacing w:lineRule="auto" w:line="288" w:before="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2024, we recognized asset impairment charges of $149.5 million as compared to $117.2 million of impairment charges during the year ended December 31, 2023. The asset impairment charges resulted from our interim and annual franchise rights impairment tests and the classification of certain asset disposal groups as held for sale which resulted in additional franchise rights and goodwill impairment charges. </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Floor Plan Interest Expense —</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Floor plan interest expense increased by $80.2 million to $89.9 million during 2024 compared to $9.6 million during 2023 due to less cash held in the floor plan offset account during the year ended December 31, 2024 as a result of funding the Koons acquisition in December 2023.</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Interest Expense —</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expense increased $23.0 million (15%) from $156.1 million in 2023 to $179.1 million in 2024. The increase is primarily due to higher loaner payable interest expense driven by higher loaner vehicle balances, as well as interest expense on our revolving credit agreement during the year ended December 31, 2024.</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Gain on Dealership Divestitures, Net —</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we sold 1 Lexus franchise (1 dealership location) in Wilmington, Delaware due to OEM requirements in connection with the Koons acquisition, 1 Nissan franchise (1 dealership location) in Denver, Colorado, 1 Nissan franchise (1 dealership location) in Atlanta, Georgia, 1 Chevrolet franchise (1 dealership location) in Atlanta, Georgia and 1 Honda franchise (1 dealership location) in Spokane, Washington. The Company recorded a pre-tax gain totaling $8.6 million, which is presented in our accompanying consolidated statements of income as a gain on dealership divestitures, net.</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we sold 1 franchise (1 dealership location) in Austin, Texas. The Company recorded a pre-tax gain totaling $13.5 million. </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Income Tax Expense —</w:t>
      </w:r>
    </w:p>
    <w:p>
      <w:pPr>
        <w:pStyle w:val="TextBody"/>
        <w:bidi w:val="0"/>
        <w:spacing w:lineRule="auto" w:line="288" w:before="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$53.8 million (27%) decrease in income tax expense was primarily the result of a $226.0 million (28%) decrease in income before income taxes. Our effective tax rate increased 40 basis points from 24.8% in 2023 to 25.2% in 2024. The increase in our effective tax rate was primarily due to our acquisition and divestiture activity. Stores acquired are located in relatively high tax rate states while the stores divested are located in relatively low or no tax rate states. </w:t>
      </w:r>
    </w:p>
    <w:p>
      <w:pPr>
        <w:pStyle w:val="TextBody"/>
        <w:bidi w:val="0"/>
        <w:spacing w:lineRule="auto" w:line="288" w:before="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Refer to Note 16 "Income Taxes" for additional information regarding income taxes. </w:t>
      </w:r>
    </w:p>
    <w:p>
      <w:pPr>
        <w:pStyle w:val="TextBody"/>
        <w:bidi w:val="0"/>
        <w:spacing w:before="180" w:after="180"/>
        <w:jc w:val="left"/>
        <w:rPr/>
      </w:pPr>
      <w:r>
        <w:rPr/>
      </w:r>
    </w:p>
    <w:p>
      <w:pPr>
        <w:pStyle w:val="TextBody"/>
        <w:bidi w:val="0"/>
        <w:spacing w:before="0" w:after="0"/>
        <w:jc w:val="left"/>
        <w:rPr/>
      </w:pPr>
      <w:r>
        <w:rPr/>
      </w:r>
    </w:p>
    <w:p>
      <w:pPr>
        <w:pStyle w:val="TextBody"/>
        <w:bidi w:val="0"/>
        <w:spacing w:lineRule="auto" w:line="288" w:before="180" w:after="180"/>
        <w:jc w:val="left"/>
        <w:rPr>
          <w:color w:val="000000"/>
        </w:rPr>
      </w:pPr>
      <w:r>
        <w:rPr>
          <w:color w:val="000000"/>
        </w:rPr>
        <w:t> </w:t>
      </w:r>
    </w:p>
    <w:p>
      <w:pPr>
        <w:pStyle w:val="TextBody"/>
        <w:bidi w:val="0"/>
        <w:spacing w:before="180" w:after="180"/>
        <w:jc w:val="left"/>
        <w:rPr/>
      </w:pPr>
      <w:r>
        <w:rPr/>
      </w:r>
    </w:p>
    <w:p>
      <w:pPr>
        <w:pStyle w:val="TextBody"/>
        <w:bidi w:val="0"/>
        <w:spacing w:before="180" w:after="180"/>
        <w:ind w:left="0" w:right="0" w:firstLine="315"/>
        <w:jc w:val="left"/>
        <w:rPr/>
      </w:pPr>
      <w:r>
        <w:rPr/>
      </w:r>
    </w:p>
    <w:p>
      <w:pPr>
        <w:pStyle w:val="TextBody"/>
        <w:bidi w:val="0"/>
        <w:spacing w:before="180" w:after="180"/>
        <w:ind w:left="0" w:right="0" w:firstLine="315"/>
        <w:jc w:val="left"/>
        <w:rPr/>
      </w:pPr>
      <w:r>
        <w:rPr/>
      </w:r>
    </w:p>
    <w:p>
      <w:pPr>
        <w:pStyle w:val="TextBody"/>
        <w:bidi w:val="0"/>
        <w:spacing w:before="180" w:after="180"/>
        <w:ind w:left="0" w:right="0" w:firstLine="31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CONSOLIDATED RESULTS OF OPERATIONS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assess the organic growth of our revenue and gross profit on a same store basis. We believe that our assessment on a same store basis represents an important indicator of comparative financial performance and provides relevant information to assess our performance. As such, for the following discussion, same store amounts consist of information from dealerships for identical months in each comparative period, commencing with the first full month we owned the dealership. Additionally, amounts related to divested dealerships are excluded from each comparative period for same store reporting. During 2022, the Company completed sixteen divestitures that contributed $683 million in revenue for the year. </w:t>
      </w:r>
    </w:p>
    <w:p>
      <w:pPr>
        <w:pStyle w:val="TextBody"/>
        <w:bidi w:val="0"/>
        <w:spacing w:lineRule="auto" w:line="288" w:before="100" w:after="283"/>
        <w:jc w:val="left"/>
        <w:rPr/>
      </w:pPr>
      <w:r>
        <w:rPr>
          <w:rFonts w:ascii="Times New Roman;sans-serif" w:hAnsi="Times New Roman;sans-serif"/>
          <w:b/>
          <w:color w:val="000000"/>
          <w:sz w:val="20"/>
        </w:rPr>
        <w:t>The Year Ended December 31, 2023 Compared to the Year Ended December 31, 2022</w:t>
      </w:r>
      <w:r>
        <w:rPr>
          <w:color w:val="000000"/>
        </w:rPr>
        <w:t> </w:t>
      </w:r>
    </w:p>
    <w:tbl>
      <w:tblPr>
        <w:tblW w:w="8737" w:type="dxa"/>
        <w:jc w:val="left"/>
        <w:tblInd w:w="0" w:type="dxa"/>
        <w:tblLayout w:type="fixed"/>
        <w:tblCellMar>
          <w:top w:w="28" w:type="dxa"/>
          <w:left w:w="28" w:type="dxa"/>
          <w:bottom w:w="28" w:type="dxa"/>
          <w:right w:w="28" w:type="dxa"/>
        </w:tblCellMar>
      </w:tblPr>
      <w:tblGrid>
        <w:gridCol w:w="1225"/>
        <w:gridCol w:w="1071"/>
        <w:gridCol w:w="1079"/>
        <w:gridCol w:w="229"/>
        <w:gridCol w:w="832"/>
        <w:gridCol w:w="118"/>
        <w:gridCol w:w="118"/>
        <w:gridCol w:w="118"/>
        <w:gridCol w:w="118"/>
        <w:gridCol w:w="229"/>
        <w:gridCol w:w="832"/>
        <w:gridCol w:w="118"/>
        <w:gridCol w:w="109"/>
        <w:gridCol w:w="109"/>
        <w:gridCol w:w="109"/>
        <w:gridCol w:w="211"/>
        <w:gridCol w:w="691"/>
        <w:gridCol w:w="109"/>
        <w:gridCol w:w="109"/>
        <w:gridCol w:w="109"/>
        <w:gridCol w:w="109"/>
        <w:gridCol w:w="290"/>
        <w:gridCol w:w="250"/>
        <w:gridCol w:w="445"/>
      </w:tblGrid>
      <w:tr>
        <w:trPr/>
        <w:tc>
          <w:tcPr>
            <w:tcW w:w="1225"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8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6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 in millions, except per share data)</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7,630.7 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7,365.6 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4,414.3 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5,197.1 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net</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14,802.7 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15,433.8 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net</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w:t>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impairments</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income, net</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EXPENSES:</w:t>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Floor plan interest expense</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expense, net</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dealership divestitures, net</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expenses (income), net</w:t>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common share—Diluted</w:t>
            </w:r>
          </w:p>
        </w:tc>
        <w:tc>
          <w:tcPr>
            <w:tcW w:w="22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28.74 </w:t>
            </w:r>
          </w:p>
        </w:tc>
        <w:tc>
          <w:tcPr>
            <w:tcW w:w="1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44.61 </w:t>
            </w:r>
          </w:p>
        </w:tc>
        <w:tc>
          <w:tcPr>
            <w:tcW w:w="1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w:t>
      </w:r>
    </w:p>
    <w:p>
      <w:pPr>
        <w:pStyle w:val="TextBody"/>
        <w:bidi w:val="0"/>
        <w:spacing w:lineRule="auto" w:line="288" w:before="0" w:after="0"/>
        <w:jc w:val="left"/>
        <w:rPr/>
      </w:pPr>
      <w:r>
        <w:rPr>
          <w:rFonts w:ascii="Times New Roman;sans-serif" w:hAnsi="Times New Roman;sans-serif"/>
          <w:b w:val="false"/>
          <w:color w:val="000000"/>
          <w:sz w:val="20"/>
        </w:rPr>
        <w:t>NM</w:t>
      </w:r>
      <w:r>
        <w:rPr>
          <w:color w:val="000000"/>
        </w:rPr>
        <w:t>—</w:t>
      </w:r>
      <w:r>
        <w:rPr>
          <w:rFonts w:ascii="Times New Roman;sans-serif" w:hAnsi="Times New Roman;sans-serif"/>
          <w:b w:val="false"/>
          <w:color w:val="000000"/>
          <w:sz w:val="20"/>
        </w:rPr>
        <w:t>Not Meaningful</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tbl>
      <w:tblPr>
        <w:tblW w:w="8152" w:type="dxa"/>
        <w:jc w:val="center"/>
        <w:tblInd w:w="0" w:type="dxa"/>
        <w:tblLayout w:type="fixed"/>
        <w:tblCellMar>
          <w:top w:w="28" w:type="dxa"/>
          <w:left w:w="28" w:type="dxa"/>
          <w:bottom w:w="28" w:type="dxa"/>
          <w:right w:w="28" w:type="dxa"/>
        </w:tblCellMar>
      </w:tblPr>
      <w:tblGrid>
        <w:gridCol w:w="1830"/>
        <w:gridCol w:w="1609"/>
        <w:gridCol w:w="1615"/>
        <w:gridCol w:w="307"/>
        <w:gridCol w:w="309"/>
        <w:gridCol w:w="554"/>
        <w:gridCol w:w="222"/>
        <w:gridCol w:w="222"/>
        <w:gridCol w:w="222"/>
        <w:gridCol w:w="307"/>
        <w:gridCol w:w="309"/>
        <w:gridCol w:w="646"/>
      </w:tblGrid>
      <w:tr>
        <w:trPr/>
        <w:tc>
          <w:tcPr>
            <w:tcW w:w="1830"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MIX PERCENTAGES:</w:t>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retail vehicles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wholesale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MIX PERCENTAGES:</w:t>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retail vehicles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wholesale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MARGIN</w:t>
            </w:r>
          </w:p>
        </w:tc>
        <w:tc>
          <w:tcPr>
            <w:tcW w:w="61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5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SG&amp;A EXPENSES AS A PERCENTAGE OF GROSS PROFIT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56.9 </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 during 2023 decreased by $631.2 million (4%) compared to 2022, due to a $782.8 million (15%) decrease in used vehicle revenue, a $120.8 million (15%) decrease in F&amp;I revenue, offset by a $265.1 million (4%) increase in new vehicle revenue and a $7.3 million increase in parts and service revenue. </w:t>
      </w:r>
    </w:p>
    <w:p>
      <w:pPr>
        <w:pStyle w:val="TextBody"/>
        <w:bidi w:val="0"/>
        <w:spacing w:lineRule="auto" w:line="288" w:before="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$344.8 million (11%) decrease in gross profit during 2023 was the result of a $141.0 million (17%) decrease in new vehicle gross profit, an $89.2 million (25%) decrease in used vehicle gross profit, a $2.1 million decrease in parts and service gross profit and a $112.5 million (15%) decrease in F&amp;I gross profit. Our total gross profit margin decreased 147 basis points from 20.1% in 2022 to 18.6% in 2023. </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 during 2023 decreased by $319.1 million (25%) compared to 2022, primarily due to a $344.8 million (11%) decrease in gross profit and a $117.2 million increase in asset impairments, partially offset by a $146.0 million (8%) decrease in selling, general and administrative expenses.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expenses (income), net increased by $198.8 million from income of $46.5 million in 2022 to $152.2 million of expenses in 2023, primarily due to a $193.6 million decrease in gain on dealership divestitures, a $3.9 million (3%) increase in other interest expense, net and a $1.3 million (15%) increase in floor plan interest expense. As a result, income before income taxes decreased by $517.8 million (39%) to $801.3 million in 2023. The $123.0 million (38%) decrease in income tax expense was primarily attributable to the 39% decrease in income before taxes, partially offset by a 41 basis point increase in the 2023 effective tax rate. Overall, net income decreased by $394.8 million (40%) from $997.3 million in 2022 to $602.5 million in 2023.</w:t>
      </w:r>
    </w:p>
    <w:p>
      <w:pPr>
        <w:pStyle w:val="TextBody"/>
        <w:bidi w:val="0"/>
        <w:spacing w:before="180" w:after="180"/>
        <w:ind w:left="0" w:right="0" w:firstLine="315"/>
        <w:jc w:val="left"/>
        <w:rPr/>
      </w:pPr>
      <w:r>
        <w:rPr/>
      </w:r>
    </w:p>
    <w:p>
      <w:pPr>
        <w:pStyle w:val="TextBody"/>
        <w:bidi w:val="0"/>
        <w:spacing w:before="180" w:after="283"/>
        <w:ind w:left="0" w:right="0" w:firstLine="315"/>
        <w:jc w:val="left"/>
        <w:rPr/>
      </w:pPr>
      <w:r>
        <w:rPr/>
      </w:r>
    </w:p>
    <w:p>
      <w:pPr>
        <w:pStyle w:val="TextBody"/>
        <w:bidi w:val="0"/>
        <w:spacing w:before="180" w:after="283"/>
        <w:ind w:left="0" w:right="0" w:firstLine="315"/>
        <w:jc w:val="left"/>
        <w:rPr/>
      </w:pPr>
      <w:r>
        <w:rPr/>
      </w:r>
    </w:p>
    <w:p>
      <w:pPr>
        <w:pStyle w:val="TextBody"/>
        <w:bidi w:val="0"/>
        <w:spacing w:before="180" w:after="283"/>
        <w:ind w:left="0" w:right="0" w:firstLine="315"/>
        <w:jc w:val="left"/>
        <w:rPr/>
      </w:pPr>
      <w:r>
        <w:rPr/>
      </w:r>
    </w:p>
    <w:p>
      <w:pPr>
        <w:pStyle w:val="TextBody"/>
        <w:bidi w:val="0"/>
        <w:spacing w:before="180" w:after="283"/>
        <w:ind w:left="0" w:right="0" w:firstLine="315"/>
        <w:jc w:val="left"/>
        <w:rPr/>
      </w:pPr>
      <w:r>
        <w:rPr/>
      </w:r>
    </w:p>
    <w:p>
      <w:pPr>
        <w:pStyle w:val="TextBody"/>
        <w:bidi w:val="0"/>
        <w:spacing w:before="180" w:after="283"/>
        <w:ind w:left="0" w:right="0" w:firstLine="315"/>
        <w:jc w:val="left"/>
        <w:rPr/>
      </w:pPr>
      <w:r>
        <w:rPr/>
      </w:r>
    </w:p>
    <w:p>
      <w:pPr>
        <w:pStyle w:val="TextBody"/>
        <w:bidi w:val="0"/>
        <w:spacing w:before="180" w:after="283"/>
        <w:ind w:left="0" w:right="0" w:firstLine="315"/>
        <w:jc w:val="left"/>
        <w:rPr/>
      </w:pPr>
      <w:r>
        <w:rPr/>
      </w:r>
    </w:p>
    <w:p>
      <w:pPr>
        <w:pStyle w:val="TextBody"/>
        <w:bidi w:val="0"/>
        <w:spacing w:before="180" w:after="283"/>
        <w:ind w:left="0" w:right="0" w:firstLine="315"/>
        <w:jc w:val="left"/>
        <w:rPr/>
      </w:pPr>
      <w:r>
        <w:rPr/>
      </w:r>
    </w:p>
    <w:p>
      <w:pPr>
        <w:pStyle w:val="TextBody"/>
        <w:bidi w:val="0"/>
        <w:spacing w:before="180" w:after="283"/>
        <w:ind w:left="0" w:right="0" w:firstLine="31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New Vehicle—</w:t>
      </w:r>
    </w:p>
    <w:tbl>
      <w:tblPr>
        <w:tblW w:w="7792" w:type="dxa"/>
        <w:jc w:val="left"/>
        <w:tblInd w:w="0" w:type="dxa"/>
        <w:tblLayout w:type="fixed"/>
        <w:tblCellMar>
          <w:top w:w="28" w:type="dxa"/>
          <w:left w:w="28" w:type="dxa"/>
          <w:bottom w:w="28" w:type="dxa"/>
          <w:right w:w="28" w:type="dxa"/>
        </w:tblCellMar>
      </w:tblPr>
      <w:tblGrid>
        <w:gridCol w:w="916"/>
        <w:gridCol w:w="808"/>
        <w:gridCol w:w="810"/>
        <w:gridCol w:w="229"/>
        <w:gridCol w:w="832"/>
        <w:gridCol w:w="118"/>
        <w:gridCol w:w="118"/>
        <w:gridCol w:w="118"/>
        <w:gridCol w:w="118"/>
        <w:gridCol w:w="229"/>
        <w:gridCol w:w="832"/>
        <w:gridCol w:w="118"/>
        <w:gridCol w:w="109"/>
        <w:gridCol w:w="109"/>
        <w:gridCol w:w="109"/>
        <w:gridCol w:w="211"/>
        <w:gridCol w:w="691"/>
        <w:gridCol w:w="109"/>
        <w:gridCol w:w="109"/>
        <w:gridCol w:w="109"/>
        <w:gridCol w:w="109"/>
        <w:gridCol w:w="218"/>
        <w:gridCol w:w="218"/>
        <w:gridCol w:w="445"/>
      </w:tblGrid>
      <w:tr>
        <w:trPr/>
        <w:tc>
          <w:tcPr>
            <w:tcW w:w="91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5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 in millions, except for per vehicle data)</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Reported:</w:t>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Luxury</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Import</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new vehicle revenue</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7,630.7 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7,365.6 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Luxury</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Import</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new vehicle gross profit</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units:</w:t>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Luxury</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33,904 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Import</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78,388 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36,469 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38,887 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new vehicle units</w:t>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149,509 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151,179 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Same Store:</w:t>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Luxury</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Import</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2,967.3 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new vehicle revenue</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7,529.5 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7,028.9 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Luxury</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Import</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new vehicle gross profit</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units:</w:t>
            </w:r>
          </w:p>
        </w:tc>
        <w:tc>
          <w:tcPr>
            <w:tcW w:w="11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Luxury</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32,154 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Import</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76,896 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73,845 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37,699 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new vehicle units</w:t>
            </w:r>
          </w:p>
        </w:tc>
        <w:tc>
          <w:tcPr>
            <w:tcW w:w="10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147,543 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143,698 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New Vehicle Metrics—</w:t>
      </w:r>
    </w:p>
    <w:tbl>
      <w:tblPr>
        <w:tblW w:w="8216" w:type="dxa"/>
        <w:jc w:val="left"/>
        <w:tblInd w:w="0" w:type="dxa"/>
        <w:tblLayout w:type="fixed"/>
        <w:tblCellMar>
          <w:top w:w="28" w:type="dxa"/>
          <w:left w:w="28" w:type="dxa"/>
          <w:bottom w:w="28" w:type="dxa"/>
          <w:right w:w="28" w:type="dxa"/>
        </w:tblCellMar>
      </w:tblPr>
      <w:tblGrid>
        <w:gridCol w:w="1003"/>
        <w:gridCol w:w="885"/>
        <w:gridCol w:w="887"/>
        <w:gridCol w:w="211"/>
        <w:gridCol w:w="721"/>
        <w:gridCol w:w="271"/>
        <w:gridCol w:w="109"/>
        <w:gridCol w:w="109"/>
        <w:gridCol w:w="109"/>
        <w:gridCol w:w="211"/>
        <w:gridCol w:w="721"/>
        <w:gridCol w:w="271"/>
        <w:gridCol w:w="109"/>
        <w:gridCol w:w="109"/>
        <w:gridCol w:w="109"/>
        <w:gridCol w:w="211"/>
        <w:gridCol w:w="691"/>
        <w:gridCol w:w="271"/>
        <w:gridCol w:w="109"/>
        <w:gridCol w:w="109"/>
        <w:gridCol w:w="109"/>
        <w:gridCol w:w="218"/>
        <w:gridCol w:w="218"/>
        <w:gridCol w:w="445"/>
      </w:tblGrid>
      <w:tr>
        <w:trPr/>
        <w:tc>
          <w:tcPr>
            <w:tcW w:w="100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Reported:</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per new vehicle sold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 new vehicle sold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4,702 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5,583 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gross margin</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Luxury:</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 new vehicle sold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gross margin</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Import:</w:t>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 new vehicle sold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gross margin</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 new vehicle sold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gross margin</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Same Store:</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per new vehicle sold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 new vehicle sold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gross margin</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Luxury:</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 new vehicle sold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gross margin</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Import:</w:t>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 new vehicle sold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gross margin</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 new vehicle sold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gross margin</w:t>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During 2023, new vehicle revenue increased by $265.1 million (4%) when compared to 2022, as a result of a 5% increase in revenue per new vehicle sold partially offset by a 1% decrease in new vehicle unit sales. Same store new vehicle revenue increased by $500.6 million (7%) as a result of a 4% increase in revenue per new vehicle sold and a 3% increase in new vehicle units sold.</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gross profit decreased by $141.0 million (17%) in 2023 when compared to 2022, as a result of a 16% decrease in gross profit per new vehicle sold and a 1% decrease in unit volumes. Same store new vehicle gross profit decreased by $114.0 million (14%) in 2023, as a result of a 16% decrease in gross profit per new vehicle sold partially offset by a 3% increase in unit volumes. Same store new vehicle gross margin decreased 228 basis points to 9.2% in 2023. The decrease in our new vehicle gross profit margin was primarily attributable to the easing of new vehicle inventory constraints which softened the historically high new vehicle margins seen in recent years.</w:t>
      </w:r>
    </w:p>
    <w:p>
      <w:pPr>
        <w:pStyle w:val="TextBody"/>
        <w:bidi w:val="0"/>
        <w:spacing w:lineRule="auto" w:line="288" w:before="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seasonally adjusted annual rate ("SAAR") for new vehicle sales in the U.S. during the year ended December 31, 2023 was approximately 15.4 million which increased as compared to approximately 13.7 million during the year ended December 31, 2022. The increase in new vehicle sales revenue on a same store basis for the year ended December 31, 2023 over the same period in the prior year is primarily attributable to an increase of $2,118 of revenue per new vehicle sold and an increase of 3,845 in new vehicle units sold. The increase in SAAR period over period reflects higher inventory supply, including fleet, coupled with continued consumer demand for new vehicles. However, we continue to be negatively impacted by the significant variation in new vehicle days supply among brands and models. We ended the year with approximately 43 days of supply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inventory which reflects an increase from 26 days of supply as of December 31, 2022 but remains well below historical levels.</w:t>
      </w:r>
    </w:p>
    <w:p>
      <w:pPr>
        <w:pStyle w:val="TextBody"/>
        <w:bidi w:val="0"/>
        <w:spacing w:lineRule="auto" w:line="288" w:before="180" w:after="283"/>
        <w:jc w:val="left"/>
        <w:rPr/>
      </w:pPr>
      <w:r>
        <w:rPr>
          <w:rFonts w:ascii="Times New Roman;sans-serif" w:hAnsi="Times New Roman;sans-serif"/>
          <w:b w:val="false"/>
          <w:i/>
          <w:color w:val="000000"/>
          <w:sz w:val="20"/>
        </w:rPr>
        <w:t>Used Vehicle—</w:t>
      </w:r>
      <w:r>
        <w:rPr>
          <w:color w:val="000000"/>
        </w:rPr>
        <w:t> </w:t>
      </w:r>
    </w:p>
    <w:tbl>
      <w:tblPr>
        <w:tblW w:w="8851" w:type="dxa"/>
        <w:jc w:val="left"/>
        <w:tblInd w:w="0" w:type="dxa"/>
        <w:tblLayout w:type="fixed"/>
        <w:tblCellMar>
          <w:top w:w="28" w:type="dxa"/>
          <w:left w:w="28" w:type="dxa"/>
          <w:bottom w:w="28" w:type="dxa"/>
          <w:right w:w="28" w:type="dxa"/>
        </w:tblCellMar>
      </w:tblPr>
      <w:tblGrid>
        <w:gridCol w:w="1080"/>
        <w:gridCol w:w="951"/>
        <w:gridCol w:w="953"/>
        <w:gridCol w:w="229"/>
        <w:gridCol w:w="832"/>
        <w:gridCol w:w="118"/>
        <w:gridCol w:w="118"/>
        <w:gridCol w:w="118"/>
        <w:gridCol w:w="118"/>
        <w:gridCol w:w="229"/>
        <w:gridCol w:w="832"/>
        <w:gridCol w:w="118"/>
        <w:gridCol w:w="109"/>
        <w:gridCol w:w="109"/>
        <w:gridCol w:w="109"/>
        <w:gridCol w:w="332"/>
        <w:gridCol w:w="1087"/>
        <w:gridCol w:w="171"/>
        <w:gridCol w:w="109"/>
        <w:gridCol w:w="109"/>
        <w:gridCol w:w="109"/>
        <w:gridCol w:w="233"/>
        <w:gridCol w:w="233"/>
        <w:gridCol w:w="445"/>
      </w:tblGrid>
      <w:tr>
        <w:trPr/>
        <w:tc>
          <w:tcPr>
            <w:tcW w:w="108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 (Decrease)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6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 in millions, except for per vehicle data)</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Reported:</w:t>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retail revenue</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4,828.8 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wholesale revenue</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revenue</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4,414.3 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5,197.1 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retail gross profit</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wholesale gross profit</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gross profit</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retail units:</w:t>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retail units</w:t>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127,507 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151,464 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Same Store:</w:t>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retail revenue</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3,949.1 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wholesale revenue</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revenue</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4,852.6 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retail gross profit</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wholesale gross profit</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gross profit</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retail units:</w:t>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retail units</w:t>
            </w:r>
          </w:p>
        </w:tc>
        <w:tc>
          <w:tcPr>
            <w:tcW w:w="10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125,124 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139,446 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Used Vehicle Metrics—</w:t>
      </w:r>
    </w:p>
    <w:tbl>
      <w:tblPr>
        <w:tblW w:w="8948" w:type="dxa"/>
        <w:jc w:val="left"/>
        <w:tblInd w:w="0" w:type="dxa"/>
        <w:tblLayout w:type="fixed"/>
        <w:tblCellMar>
          <w:top w:w="28" w:type="dxa"/>
          <w:left w:w="28" w:type="dxa"/>
          <w:bottom w:w="28" w:type="dxa"/>
          <w:right w:w="28" w:type="dxa"/>
        </w:tblCellMar>
      </w:tblPr>
      <w:tblGrid>
        <w:gridCol w:w="1118"/>
        <w:gridCol w:w="985"/>
        <w:gridCol w:w="987"/>
        <w:gridCol w:w="211"/>
        <w:gridCol w:w="721"/>
        <w:gridCol w:w="271"/>
        <w:gridCol w:w="109"/>
        <w:gridCol w:w="109"/>
        <w:gridCol w:w="109"/>
        <w:gridCol w:w="211"/>
        <w:gridCol w:w="721"/>
        <w:gridCol w:w="271"/>
        <w:gridCol w:w="109"/>
        <w:gridCol w:w="109"/>
        <w:gridCol w:w="109"/>
        <w:gridCol w:w="328"/>
        <w:gridCol w:w="841"/>
        <w:gridCol w:w="421"/>
        <w:gridCol w:w="109"/>
        <w:gridCol w:w="109"/>
        <w:gridCol w:w="109"/>
        <w:gridCol w:w="218"/>
        <w:gridCol w:w="218"/>
        <w:gridCol w:w="445"/>
      </w:tblGrid>
      <w:tr>
        <w:trPr/>
        <w:tc>
          <w:tcPr>
            <w:tcW w:w="1118"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 (Decrease)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Reported:</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per used vehicle retailed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 used vehicle retailed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retail gross margin</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Same Store:</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per used vehicle retailed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per used vehicle retailed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retail gross margin</w:t>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Used vehicle revenue decreased by $782.8 million (15%), due to an $811.3 million (17%) decrease in used vehicle retail revenue, partially offset by a $28.5 million (8%) increase in used vehicle wholesale revenue. Same store used vehicle revenue decreased by $513.7 million (11%) due to a $554.6 million (12%) decrease in used vehicle retail revenue, partially offset by a $40.8 million (12%) increase in used vehicle wholesale revenue. Used vehicle revenues and unit volume have continued to contract during 2023, along with margins on both an all store and same store basis. Used vehicle revenue and unit volumes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4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been negatively impacted by the affordability headwinds and lack of inventory availability, especially in vehicles with lower mileage.</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In 2023, total Company and same store used vehicle retail gross profit margins decreased 100 and 102 basis points, respectively, to both 6.2%. We attribute the decreases in used vehicle retail gross profit margin to a softening in the used vehicle market, which was at record highs in 2021 and, to a lesser extent 2022, as a result of new vehicle inventory shortages initially caused by COVID-19 disruptions followed by supply chain issues.</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used vehicle inventory continues to be well-aligned with current consumer demand, with approximately 32 days of supply as of December 31, 2023. This level of days of supply is in line with our historic targeted range of 30 to 35 days.</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Parts and Service—</w:t>
      </w:r>
    </w:p>
    <w:tbl>
      <w:tblPr>
        <w:tblW w:w="10205" w:type="dxa"/>
        <w:jc w:val="left"/>
        <w:tblInd w:w="0" w:type="dxa"/>
        <w:tblLayout w:type="fixed"/>
        <w:tblCellMar>
          <w:top w:w="28" w:type="dxa"/>
          <w:left w:w="28" w:type="dxa"/>
          <w:bottom w:w="28" w:type="dxa"/>
          <w:right w:w="28" w:type="dxa"/>
        </w:tblCellMar>
      </w:tblPr>
      <w:tblGrid>
        <w:gridCol w:w="1796"/>
        <w:gridCol w:w="1451"/>
        <w:gridCol w:w="1456"/>
        <w:gridCol w:w="415"/>
        <w:gridCol w:w="360"/>
        <w:gridCol w:w="361"/>
        <w:gridCol w:w="208"/>
        <w:gridCol w:w="208"/>
        <w:gridCol w:w="208"/>
        <w:gridCol w:w="415"/>
        <w:gridCol w:w="360"/>
        <w:gridCol w:w="361"/>
        <w:gridCol w:w="109"/>
        <w:gridCol w:w="109"/>
        <w:gridCol w:w="109"/>
        <w:gridCol w:w="211"/>
        <w:gridCol w:w="616"/>
        <w:gridCol w:w="271"/>
        <w:gridCol w:w="109"/>
        <w:gridCol w:w="109"/>
        <w:gridCol w:w="109"/>
        <w:gridCol w:w="203"/>
        <w:gridCol w:w="203"/>
        <w:gridCol w:w="448"/>
      </w:tblGrid>
      <w:tr>
        <w:trPr/>
        <w:tc>
          <w:tcPr>
            <w:tcW w:w="1796"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47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r>
      <w:tr>
        <w:trPr/>
        <w:tc>
          <w:tcPr>
            <w:tcW w:w="47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5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47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0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 in millions)</w:t>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Reported:</w:t>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 revenue</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2,081.5</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 gross profit:</w:t>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pay</w:t>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709.5</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w:t>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Wholesale parts</w:t>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 gross profit, excluding reconditioning and preparation</w:t>
            </w:r>
          </w:p>
        </w:tc>
        <w:tc>
          <w:tcPr>
            <w:tcW w:w="11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936.6</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 gross margin, excluding reconditioning and preparation</w:t>
            </w:r>
          </w:p>
        </w:tc>
        <w:tc>
          <w:tcPr>
            <w:tcW w:w="11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Reconditioning and preparation *</w:t>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214.0</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parts and service gross profit</w:t>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1,150.6</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parts and service gross margin</w:t>
            </w:r>
          </w:p>
        </w:tc>
        <w:tc>
          <w:tcPr>
            <w:tcW w:w="113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Same Store:</w:t>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 revenue</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2,063.2</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 gross profit:</w:t>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pay</w:t>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702.3</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w:t>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Wholesale parts</w:t>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 gross profit, excluding reconditioning and preparation</w:t>
            </w:r>
          </w:p>
        </w:tc>
        <w:tc>
          <w:tcPr>
            <w:tcW w:w="11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928.1</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 gross margin, excluding reconditioning and preparation</w:t>
            </w:r>
          </w:p>
        </w:tc>
        <w:tc>
          <w:tcPr>
            <w:tcW w:w="11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Reconditioning and preparation *</w:t>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parts and service gross profit</w:t>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1,140.7</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parts and service gross margin</w:t>
            </w:r>
          </w:p>
        </w:tc>
        <w:tc>
          <w:tcPr>
            <w:tcW w:w="113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 Reconditioning and preparation represents the gross profit earned by our parts and service departments for internal work performed and is included as a reduction of Parts and service cost of sales within the accompanying consolidated statements of income upon the sale of the vehicle. </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$7.3 million increase in parts and service revenue was due to a $6.3 million increase in customer pay revenue and a $10.2 million (4%) increase in warranty revenue, partially offset by a $9.2 million (2%) decrease in wholesale parts revenue. Same store parts and service revenue increased $102.6 million (5%) from $1.96 billion in 2022 to $2.06 billion in 2023. The increase in same store parts and service revenue was due to a $72.1 million (6%) increase in customer pay revenue, a $19.8 million (8%) increase in warranty revenue and a $10.7 million (2%) increase in wholesale parts revenue.</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Parts and service gross profit, excluding reconditioning and preparation, increased by $5.1 million (1%) to $936.6 million and same store gross profit, excluding reconditioning and preparation, increased by $47.6 million (5%) to $928.1 million.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$47.6 million increase in same store gross profit, excluding reconditioning and preparation, is primarily due to a $33.8 million (5%) increase in customer pay gross profit, an $11.3 million (8%) increase in warranty gross profit and a $2.5 million (3%) increase in wholesale parts gross profit. As a result of the shortage of new vehicle inventory, many customers have elected to keep their current vehicles longer which has generated additional customer pay and wholesale parts gross profit for the parts and service departments. We continue to focus on increasing our customer pay parts and service revenue over the long-term by improving the customer experience, providing competitive benefits to our technicians, capitalizing on our dealership training programs and upgrading equipment.</w:t>
      </w:r>
    </w:p>
    <w:p>
      <w:pPr>
        <w:pStyle w:val="TextBody"/>
        <w:bidi w:val="0"/>
        <w:spacing w:lineRule="auto" w:line="288" w:before="180" w:after="283"/>
        <w:jc w:val="left"/>
        <w:rPr/>
      </w:pPr>
      <w:r>
        <w:rPr>
          <w:rFonts w:ascii="Times New Roman;sans-serif" w:hAnsi="Times New Roman;sans-serif"/>
          <w:b w:val="false"/>
          <w:i/>
          <w:color w:val="000000"/>
          <w:sz w:val="20"/>
        </w:rPr>
        <w:t>Finance and Insurance, net—</w:t>
      </w:r>
      <w:r>
        <w:rPr>
          <w:color w:val="000000"/>
        </w:rPr>
        <w:t> </w:t>
      </w:r>
    </w:p>
    <w:tbl>
      <w:tblPr>
        <w:tblW w:w="8871" w:type="dxa"/>
        <w:jc w:val="center"/>
        <w:tblInd w:w="0" w:type="dxa"/>
        <w:tblLayout w:type="fixed"/>
        <w:tblCellMar>
          <w:top w:w="28" w:type="dxa"/>
          <w:left w:w="28" w:type="dxa"/>
          <w:bottom w:w="28" w:type="dxa"/>
          <w:right w:w="28" w:type="dxa"/>
        </w:tblCellMar>
      </w:tblPr>
      <w:tblGrid>
        <w:gridCol w:w="1307"/>
        <w:gridCol w:w="1153"/>
        <w:gridCol w:w="1155"/>
        <w:gridCol w:w="260"/>
        <w:gridCol w:w="760"/>
        <w:gridCol w:w="134"/>
        <w:gridCol w:w="134"/>
        <w:gridCol w:w="134"/>
        <w:gridCol w:w="134"/>
        <w:gridCol w:w="260"/>
        <w:gridCol w:w="760"/>
        <w:gridCol w:w="134"/>
        <w:gridCol w:w="109"/>
        <w:gridCol w:w="109"/>
        <w:gridCol w:w="109"/>
        <w:gridCol w:w="211"/>
        <w:gridCol w:w="691"/>
        <w:gridCol w:w="109"/>
        <w:gridCol w:w="109"/>
        <w:gridCol w:w="109"/>
        <w:gridCol w:w="109"/>
        <w:gridCol w:w="218"/>
        <w:gridCol w:w="218"/>
        <w:gridCol w:w="445"/>
      </w:tblGrid>
      <w:tr>
        <w:trPr/>
        <w:tc>
          <w:tcPr>
            <w:tcW w:w="130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5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 in millions, except for per vehicle data)</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Reported:</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net revenue</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net gross profit</w:t>
            </w:r>
          </w:p>
        </w:tc>
        <w:tc>
          <w:tcPr>
            <w:tcW w:w="2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638.2 </w:t>
            </w:r>
          </w:p>
        </w:tc>
        <w:tc>
          <w:tcPr>
            <w:tcW w:w="13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750.7 </w:t>
            </w:r>
          </w:p>
        </w:tc>
        <w:tc>
          <w:tcPr>
            <w:tcW w:w="13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net per vehicle sold</w:t>
            </w:r>
          </w:p>
        </w:tc>
        <w:tc>
          <w:tcPr>
            <w:tcW w:w="2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2,304 </w:t>
            </w:r>
          </w:p>
        </w:tc>
        <w:tc>
          <w:tcPr>
            <w:tcW w:w="13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2,480 </w:t>
            </w:r>
          </w:p>
        </w:tc>
        <w:tc>
          <w:tcPr>
            <w:tcW w:w="13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Same Store:</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net revenue</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net gross profit</w:t>
            </w:r>
          </w:p>
        </w:tc>
        <w:tc>
          <w:tcPr>
            <w:tcW w:w="2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629.4 </w:t>
            </w:r>
          </w:p>
        </w:tc>
        <w:tc>
          <w:tcPr>
            <w:tcW w:w="13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715.5 </w:t>
            </w:r>
          </w:p>
        </w:tc>
        <w:tc>
          <w:tcPr>
            <w:tcW w:w="13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net per vehicle sold</w:t>
            </w:r>
          </w:p>
        </w:tc>
        <w:tc>
          <w:tcPr>
            <w:tcW w:w="2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2,308 </w:t>
            </w:r>
          </w:p>
        </w:tc>
        <w:tc>
          <w:tcPr>
            <w:tcW w:w="13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2,527 </w:t>
            </w:r>
          </w:p>
        </w:tc>
        <w:tc>
          <w:tcPr>
            <w:tcW w:w="13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4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F&amp;I revenue, net decreased by $120.8 million (15%) in 2023 when compared to 2022 primarily as a result of an 8% decrease in new and used retail unit sales and an 7% decrease in F&amp;I per vehicle retailed.</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On a same store basis F&amp;I revenue, net decreased by $94.4 million (12%) in 2023 when compared to 2022 primarily as a result of a 4% decrease in new and used retail unit sales and a 9% decrease in F&amp;I per vehicle retailed.</w:t>
      </w:r>
    </w:p>
    <w:p>
      <w:pPr>
        <w:pStyle w:val="TextBody"/>
        <w:bidi w:val="0"/>
        <w:spacing w:lineRule="auto" w:line="288" w:before="18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The financial results of the TCA segment, after dealership eliminations, are as follows:</w:t>
      </w:r>
    </w:p>
    <w:tbl>
      <w:tblPr>
        <w:tblW w:w="8143" w:type="dxa"/>
        <w:jc w:val="left"/>
        <w:tblInd w:w="0" w:type="dxa"/>
        <w:tblLayout w:type="fixed"/>
        <w:tblCellMar>
          <w:top w:w="28" w:type="dxa"/>
          <w:left w:w="28" w:type="dxa"/>
          <w:bottom w:w="28" w:type="dxa"/>
          <w:right w:w="28" w:type="dxa"/>
        </w:tblCellMar>
      </w:tblPr>
      <w:tblGrid>
        <w:gridCol w:w="1085"/>
        <w:gridCol w:w="954"/>
        <w:gridCol w:w="961"/>
        <w:gridCol w:w="260"/>
        <w:gridCol w:w="760"/>
        <w:gridCol w:w="134"/>
        <w:gridCol w:w="134"/>
        <w:gridCol w:w="134"/>
        <w:gridCol w:w="134"/>
        <w:gridCol w:w="260"/>
        <w:gridCol w:w="760"/>
        <w:gridCol w:w="134"/>
        <w:gridCol w:w="109"/>
        <w:gridCol w:w="109"/>
        <w:gridCol w:w="109"/>
        <w:gridCol w:w="228"/>
        <w:gridCol w:w="553"/>
        <w:gridCol w:w="118"/>
        <w:gridCol w:w="109"/>
        <w:gridCol w:w="109"/>
        <w:gridCol w:w="109"/>
        <w:gridCol w:w="216"/>
        <w:gridCol w:w="219"/>
        <w:gridCol w:w="445"/>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br/>
              <w:t>Change</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 in millions)</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revenue</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cost of sales</w:t>
            </w:r>
          </w:p>
        </w:tc>
        <w:tc>
          <w:tcPr>
            <w:tcW w:w="2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3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3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gross profit</w:t>
            </w:r>
          </w:p>
        </w:tc>
        <w:tc>
          <w:tcPr>
            <w:tcW w:w="2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100.4 </w:t>
            </w:r>
          </w:p>
        </w:tc>
        <w:tc>
          <w:tcPr>
            <w:tcW w:w="13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13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TCA offers a variety of F&amp;I products, such as extended vehicle service contracts, prepaid maintenance contracts, GAP, appearance protection contracts and lease wear-and-tear contracts. TCA's products are sold through our automobile dealerships.</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Revenue generated by TCA is earned over the period of the related product contract. The method for recognizing revenue is assigned based on contract type and expected claim patterns. Premium revenues are supplemented with investment gains or losses and income earned associated with the performance of TCA's investment portfolio. During the year ended December 31, 2023, TCA generated $138.3 million of revenue, consisting primarily of earned premium and $15.7 million from the investment portfolio.</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Direct expenses incurred for the acquisition of F&amp;I contracts on which revenue has not yet been recognized have been deferred and are amortized over the related contract period. During the year ended December 31, 2023, TCA recorded $37.9 million of cost of sales consisting primarily of claims expense, after the elimination of claims paid to affiliated dealerships. Commissions expense paid by TCA to our affiliated dealerships and reflected as F&amp;I revenue in our Dealerships segment is eliminated in the TCA segment upon consolidation.</w:t>
      </w:r>
    </w:p>
    <w:p>
      <w:pPr>
        <w:pStyle w:val="TextBody"/>
        <w:bidi w:val="0"/>
        <w:spacing w:before="180" w:after="180"/>
        <w:ind w:left="0" w:right="0" w:firstLine="31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left"/>
        <w:rPr/>
      </w:pPr>
      <w:r>
        <w:rPr>
          <w:rFonts w:ascii="Times New Roman;sans-serif" w:hAnsi="Times New Roman;sans-serif"/>
          <w:b w:val="false"/>
          <w:color w:val="000000"/>
          <w:sz w:val="20"/>
        </w:rPr>
        <w:t>S</w:t>
      </w:r>
      <w:r>
        <w:rPr>
          <w:rFonts w:ascii="Times New Roman;sans-serif" w:hAnsi="Times New Roman;sans-serif"/>
          <w:b w:val="false"/>
          <w:i/>
          <w:color w:val="000000"/>
          <w:sz w:val="20"/>
        </w:rPr>
        <w:t>elling, General and Administrative Expense—</w:t>
      </w:r>
    </w:p>
    <w:tbl>
      <w:tblPr>
        <w:tblW w:w="10205" w:type="dxa"/>
        <w:jc w:val="left"/>
        <w:tblInd w:w="0" w:type="dxa"/>
        <w:tblLayout w:type="fixed"/>
        <w:tblCellMar>
          <w:top w:w="28" w:type="dxa"/>
          <w:left w:w="28" w:type="dxa"/>
          <w:bottom w:w="28" w:type="dxa"/>
          <w:right w:w="28" w:type="dxa"/>
        </w:tblCellMar>
      </w:tblPr>
      <w:tblGrid>
        <w:gridCol w:w="892"/>
        <w:gridCol w:w="543"/>
        <w:gridCol w:w="544"/>
        <w:gridCol w:w="211"/>
        <w:gridCol w:w="766"/>
        <w:gridCol w:w="109"/>
        <w:gridCol w:w="109"/>
        <w:gridCol w:w="109"/>
        <w:gridCol w:w="109"/>
        <w:gridCol w:w="255"/>
        <w:gridCol w:w="256"/>
        <w:gridCol w:w="542"/>
        <w:gridCol w:w="109"/>
        <w:gridCol w:w="109"/>
        <w:gridCol w:w="109"/>
        <w:gridCol w:w="211"/>
        <w:gridCol w:w="766"/>
        <w:gridCol w:w="109"/>
        <w:gridCol w:w="109"/>
        <w:gridCol w:w="109"/>
        <w:gridCol w:w="109"/>
        <w:gridCol w:w="255"/>
        <w:gridCol w:w="256"/>
        <w:gridCol w:w="542"/>
        <w:gridCol w:w="109"/>
        <w:gridCol w:w="109"/>
        <w:gridCol w:w="109"/>
        <w:gridCol w:w="211"/>
        <w:gridCol w:w="648"/>
        <w:gridCol w:w="109"/>
        <w:gridCol w:w="109"/>
        <w:gridCol w:w="109"/>
        <w:gridCol w:w="109"/>
        <w:gridCol w:w="276"/>
        <w:gridCol w:w="272"/>
        <w:gridCol w:w="797"/>
      </w:tblGrid>
      <w:tr>
        <w:trPr/>
        <w:tc>
          <w:tcPr>
            <w:tcW w:w="89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Gross</w:t>
              <w:br/>
              <w:t>Profit Increase (Decrease)</w:t>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Gross</w:t>
              <w:br/>
              <w:t>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Gross</w:t>
              <w:br/>
              <w:t>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4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 in millions)</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Reported:</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 and related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Same Store: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 and related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SG&amp;A expense as a percentage of gross profit increased 182 basis points from 56.9% in 2022 to 58.7% in 2023. Same store SG&amp;A expense as a percentage of gross profit increased 173 basis points from 56.8% in 2022 to 58.5% in 2023. The increase in SG&amp;A as a percentage of gross profit is primarily the result of lower gross profits for 2023 when compared to 2022. SG&amp;A expense for the year ended December 31, 2023 includes $4.3 million of expense related to hail damage, a $3.6 million gain from the sale of real estate and $4.1 million of professional fees related to the Koons acquisition. SG&amp;A expense for the year ended December 31, 2022 includes $2.7 million of professional fees related to acquisition due diligence.</w:t>
      </w:r>
    </w:p>
    <w:p>
      <w:pPr>
        <w:pStyle w:val="TextBody"/>
        <w:bidi w:val="0"/>
        <w:spacing w:lineRule="auto" w:line="288" w:before="14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Asset Impairments —</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we recognized asset impairment charges of $117.2 million as compared to no impairment charges during the year ended December 31, 2022. The asset impairment charges resulted from our annual franchise rights impairment tests and the classification of certain asset disposal groups as held for sale which resulted in additional franchise rights and goodwill impairment charges.</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Floor Plan Interest Expense —</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Floor plan interest expense increased by $1.3 million (15%) to $9.6 million during 2023 compared to $8.4 million during 2022 due to less cash held in the floor plan offset account in December 2023 as a result of funding the Koons acquisition.</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Interest Expense —</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expense increased $3.9 million (3%) from $152.2 million in 2022 to $156.1 million in 2023. The increase is primarily due to higher loaner payable interest expense driven by higher loaner vehicle balances, as well as interest expense on our revolving credit agreement in December 2023.</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Gain on Dealership Divestitures —</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we sold one franchise (one dealership location) in Austin, Texas. The Company recorded a pre-tax gain totaling $13.5 million. </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we sold one franchise (one dealership location) in St. Louis, Missouri, three franchises (three dealership locations) and one collision center in Colorado, two franchises (two dealership locations) in Spokane, Washington, one franchise (one dealership location) in Albuquerque, New Mexico and 11 franchises (nine dealership locations) and two collision centers in North Carolina. The Company recorded a net pre-tax gain totaling $207.1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Income Tax Expense —</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$123.0 million (38%) decrease in income tax expense was primarily the result of a $517.8 million (39%) decrease in income before income taxes. Our effective tax rate increased 41 basis points from 24.4% in 2022 to 24.8% in 2023. The increase in our effective tax rate was primarily due to lower income before taxes and our acquisition and divestiture activity. Stores acquired are located in relatively high tax rate states while the stores divested are located in relatively low or no tax rate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80" w:after="180"/>
        <w:ind w:left="0" w:right="0" w:firstLine="315"/>
        <w:jc w:val="left"/>
        <w:rPr/>
      </w:pPr>
      <w:r>
        <w:rPr>
          <w:rFonts w:ascii="Times New Roman;sans-serif" w:hAnsi="Times New Roman;sans-serif"/>
          <w:b w:val="false"/>
          <w:color w:val="000000"/>
          <w:sz w:val="20"/>
        </w:rPr>
        <w:t xml:space="preserve">As of December 31, 2024, we had total available liquidity of </w:t>
      </w:r>
      <w:r>
        <w:rPr>
          <w:rFonts w:ascii="Times New Roman;sans-serif" w:hAnsi="Times New Roman;sans-serif"/>
          <w:b w:val="false"/>
          <w:color w:val="000000"/>
          <w:sz w:val="20"/>
          <w:shd w:fill="FFFFFF" w:val="clear"/>
        </w:rPr>
        <w:t>$827.7 million</w:t>
      </w:r>
      <w:r>
        <w:rPr>
          <w:rFonts w:ascii="Times New Roman;sans-serif" w:hAnsi="Times New Roman;sans-serif"/>
          <w:b w:val="false"/>
          <w:color w:val="000000"/>
          <w:sz w:val="20"/>
        </w:rPr>
        <w:t xml:space="preserve">, which consisted of cash and cash equivalents of </w:t>
      </w:r>
      <w:r>
        <w:rPr>
          <w:rFonts w:ascii="Times New Roman;sans-serif" w:hAnsi="Times New Roman;sans-serif"/>
          <w:b w:val="false"/>
          <w:color w:val="000000"/>
          <w:sz w:val="20"/>
          <w:shd w:fill="FFFFFF" w:val="clear"/>
        </w:rPr>
        <w:t>$38.9 million</w:t>
      </w:r>
      <w:r>
        <w:rPr>
          <w:color w:val="000000"/>
        </w:rPr>
        <w:t xml:space="preserve"> </w:t>
      </w:r>
      <w:r>
        <w:rPr>
          <w:rFonts w:ascii="Times New Roman;sans-serif" w:hAnsi="Times New Roman;sans-serif"/>
          <w:b w:val="false"/>
          <w:color w:val="000000"/>
          <w:sz w:val="20"/>
        </w:rPr>
        <w:t xml:space="preserve">(excluding </w:t>
      </w:r>
      <w:r>
        <w:rPr>
          <w:rFonts w:ascii="Times New Roman;sans-serif" w:hAnsi="Times New Roman;sans-serif"/>
          <w:b w:val="false"/>
          <w:color w:val="000000"/>
          <w:sz w:val="20"/>
          <w:shd w:fill="FFFFFF" w:val="clear"/>
        </w:rPr>
        <w:t>$30.5 million</w:t>
      </w:r>
      <w:r>
        <w:rPr>
          <w:color w:val="000000"/>
        </w:rPr>
        <w:t xml:space="preserve"> </w:t>
      </w:r>
      <w:r>
        <w:rPr>
          <w:rFonts w:ascii="Times New Roman;sans-serif" w:hAnsi="Times New Roman;sans-serif"/>
          <w:b w:val="false"/>
          <w:color w:val="000000"/>
          <w:sz w:val="20"/>
        </w:rPr>
        <w:t xml:space="preserve">held by TCA), available funds in our floor plan offset accounts of </w:t>
      </w:r>
      <w:r>
        <w:rPr>
          <w:rFonts w:ascii="Times New Roman;sans-serif" w:hAnsi="Times New Roman;sans-serif"/>
          <w:b w:val="false"/>
          <w:color w:val="000000"/>
          <w:sz w:val="20"/>
          <w:shd w:fill="FFFFFF" w:val="clear"/>
        </w:rPr>
        <w:t>$116.7 million</w:t>
      </w:r>
      <w:r>
        <w:rPr>
          <w:color w:val="000000"/>
        </w:rPr>
        <w:t xml:space="preserve"> </w:t>
      </w:r>
      <w:r>
        <w:rPr>
          <w:rFonts w:ascii="Times New Roman;sans-serif" w:hAnsi="Times New Roman;sans-serif"/>
          <w:b w:val="false"/>
          <w:color w:val="000000"/>
          <w:sz w:val="20"/>
        </w:rPr>
        <w:t xml:space="preserve">million and </w:t>
      </w:r>
      <w:r>
        <w:rPr>
          <w:rFonts w:ascii="Times New Roman;sans-serif" w:hAnsi="Times New Roman;sans-serif"/>
          <w:b w:val="false"/>
          <w:color w:val="000000"/>
          <w:sz w:val="20"/>
          <w:shd w:fill="FFFFFF" w:val="clear"/>
        </w:rPr>
        <w:t>$486.0 million</w:t>
      </w:r>
      <w:r>
        <w:rPr>
          <w:color w:val="000000"/>
        </w:rPr>
        <w:t xml:space="preserve"> </w:t>
      </w:r>
      <w:r>
        <w:rPr>
          <w:rFonts w:ascii="Times New Roman;sans-serif" w:hAnsi="Times New Roman;sans-serif"/>
          <w:b w:val="false"/>
          <w:color w:val="000000"/>
          <w:sz w:val="20"/>
        </w:rPr>
        <w:t>of availability under our revolving credit facility and $186.1 million of availability under our used vehicle floor plan facility. The borrowing capacities under our revolving credit facility and our used vehicle revolving floor plan facility are limited by borrowing base calculations and, from time to time, may be further limited by our required compliance with certain financial covenants. For more information on our financial covenants, see "Covenants and Defaults" and "Share Repurchases and Dividend Restrictions" below.</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continually evaluate our liquidity and capital resources based upon (i) our cash and cash equivalents on hand, (ii) the funds that we expect to generate through future operations, (iii) current and expected borrowing availability under our 2023 Senior Credit Facility (discussed further below), (iv) amounts in our new vehicle floor plan notes payable offset accounts, and (v) the potential impact of our capital allocation strategy and any contemplated or pending future transactions, including, but not limited to, financings, acquisitions, dispositions, equity and/or debt repurchases, dividends, or other capital expenditures. We believe we will have sufficient liquidity to meet our debt service and working capital requirements; commitments and contingencies; debt repayment, maturity and repurchase obligations; acquisitions; capital expenditures; and any operating requirements for at least the next twelve months and the foreseeable future.</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Material Indebtedness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are party to the following material credit facilities and agreements and have the following material indebtedness outstanding. For a more detailed description of the material terms of these agreements and facilities, and this indebtedness, see Note 14 "Debt" included in the notes to consolidated financial statements.</w:t>
      </w:r>
    </w:p>
    <w:p>
      <w:pPr>
        <w:pStyle w:val="TextBody"/>
        <w:bidi w:val="0"/>
        <w:spacing w:lineRule="auto" w:line="288" w:before="180" w:after="180"/>
        <w:ind w:left="0" w:right="0" w:hanging="360"/>
        <w:jc w:val="left"/>
        <w:rPr/>
      </w:pPr>
      <w:r>
        <w:rPr>
          <w:color w:val="000000"/>
        </w:rPr>
        <w:t>•</w:t>
      </w:r>
      <w:r>
        <w:rPr>
          <w:rFonts w:ascii="Times New Roman;sans-serif" w:hAnsi="Times New Roman;sans-serif"/>
          <w:b/>
          <w:color w:val="000000"/>
          <w:sz w:val="20"/>
        </w:rPr>
        <w:t>2023 Senior Credit Facility</w:t>
      </w:r>
      <w:r>
        <w:rPr>
          <w:color w:val="000000"/>
        </w:rPr>
        <w:t>—</w:t>
      </w:r>
      <w:r>
        <w:rPr>
          <w:rFonts w:ascii="Times New Roman;sans-serif" w:hAnsi="Times New Roman;sans-serif"/>
          <w:b w:val="false"/>
          <w:color w:val="000000"/>
          <w:sz w:val="20"/>
        </w:rPr>
        <w:t>On October 20, 2023, the Company and certain of its subsidiaries entered into a fourth amended and restated credit agreement with Bank of America, N.A. ("Bank of America"), as administrative agent, and the other lenders party thereto (the "2023 Senior Credit Facility"). The 2023 Senior Credit Facility amended and restated the Company’s pre-existing third amended and restated credit agreement, dated as of September 25, 2019, among the Company, certain of its subsidiaries, Bank of America, as administrative agent, and the other lenders party thereto. As amended, the 2023 Senior Credit Agreement provides for the following:</w:t>
      </w:r>
    </w:p>
    <w:p>
      <w:pPr>
        <w:pStyle w:val="TextBody"/>
        <w:bidi w:val="0"/>
        <w:spacing w:lineRule="auto" w:line="288" w:before="0" w:after="180"/>
        <w:jc w:val="left"/>
        <w:rPr/>
      </w:pPr>
      <w:r>
        <w:rPr>
          <w:rFonts w:ascii="Times New Roman;sans-serif" w:hAnsi="Times New Roman;sans-serif"/>
          <w:b w:val="false"/>
          <w:i/>
          <w:color w:val="000000"/>
          <w:sz w:val="20"/>
          <w:u w:val="single"/>
        </w:rPr>
        <w:t>Revolving Credit Facility</w:t>
      </w:r>
      <w:r>
        <w:rPr>
          <w:color w:val="000000"/>
        </w:rPr>
        <w:t>—</w:t>
      </w:r>
      <w:r>
        <w:rPr>
          <w:rFonts w:ascii="Times New Roman;sans-serif" w:hAnsi="Times New Roman;sans-serif"/>
          <w:b w:val="false"/>
          <w:color w:val="000000"/>
          <w:sz w:val="20"/>
        </w:rPr>
        <w:t xml:space="preserve">A $500.0 million Revolving Credit Facility for, among other things, acquisitions, working capital and capital expenditures, including a $50.0 million sub-limit for letters of credit. As of December 31, 2024, we had </w:t>
      </w:r>
      <w:r>
        <w:rPr>
          <w:rFonts w:ascii="Times New Roman;sans-serif" w:hAnsi="Times New Roman;sans-serif"/>
          <w:b w:val="false"/>
          <w:color w:val="000000"/>
          <w:sz w:val="20"/>
          <w:shd w:fill="FFFFFF" w:val="clear"/>
        </w:rPr>
        <w:t>$14.0 million</w:t>
      </w:r>
      <w:r>
        <w:rPr>
          <w:color w:val="000000"/>
        </w:rPr>
        <w:t xml:space="preserve"> </w:t>
      </w:r>
      <w:r>
        <w:rPr>
          <w:rFonts w:ascii="Times New Roman;sans-serif" w:hAnsi="Times New Roman;sans-serif"/>
          <w:b w:val="false"/>
          <w:color w:val="000000"/>
          <w:sz w:val="20"/>
        </w:rPr>
        <w:t xml:space="preserve">in outstanding letters of credit, resulting in </w:t>
      </w:r>
      <w:r>
        <w:rPr>
          <w:rFonts w:ascii="Times New Roman;sans-serif" w:hAnsi="Times New Roman;sans-serif"/>
          <w:b w:val="false"/>
          <w:color w:val="000000"/>
          <w:sz w:val="20"/>
          <w:shd w:fill="FFFFFF" w:val="clear"/>
        </w:rPr>
        <w:t>$486.0 million</w:t>
      </w:r>
      <w:r>
        <w:rPr>
          <w:color w:val="000000"/>
        </w:rPr>
        <w:t xml:space="preserve"> </w:t>
      </w:r>
      <w:r>
        <w:rPr>
          <w:rFonts w:ascii="Times New Roman;sans-serif" w:hAnsi="Times New Roman;sans-serif"/>
          <w:b w:val="false"/>
          <w:color w:val="000000"/>
          <w:sz w:val="20"/>
        </w:rPr>
        <w:t>of borrowing availability. We began the year wit</w:t>
      </w:r>
      <w:r>
        <w:rPr>
          <w:rFonts w:ascii="Times New Roman;sans-serif" w:hAnsi="Times New Roman;sans-serif"/>
          <w:b w:val="false"/>
          <w:color w:val="000000"/>
          <w:sz w:val="20"/>
          <w:shd w:fill="FFFFFF" w:val="clear"/>
        </w:rPr>
        <w:t>h no am</w:t>
      </w:r>
      <w:r>
        <w:rPr>
          <w:rFonts w:ascii="Times New Roman;sans-serif" w:hAnsi="Times New Roman;sans-serif"/>
          <w:b w:val="false"/>
          <w:color w:val="000000"/>
          <w:sz w:val="20"/>
        </w:rPr>
        <w:t xml:space="preserve">ounts drawn on our revolving credit facility. During the year ended December 31, 2024, we had borrowings of </w:t>
      </w:r>
      <w:r>
        <w:rPr>
          <w:rFonts w:ascii="Times New Roman;sans-serif" w:hAnsi="Times New Roman;sans-serif"/>
          <w:b w:val="false"/>
          <w:color w:val="000000"/>
          <w:sz w:val="20"/>
          <w:shd w:fill="FFFFFF" w:val="clear"/>
        </w:rPr>
        <w:t>$1.21 billion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$1.21 billion</w:t>
      </w:r>
      <w:r>
        <w:rPr>
          <w:color w:val="000000"/>
        </w:rPr>
        <w:t xml:space="preserve"> </w:t>
      </w:r>
      <w:r>
        <w:rPr>
          <w:rFonts w:ascii="Times New Roman;sans-serif" w:hAnsi="Times New Roman;sans-serif"/>
          <w:b w:val="false"/>
          <w:color w:val="000000"/>
          <w:sz w:val="20"/>
        </w:rPr>
        <w:t>in repayment</w:t>
      </w:r>
      <w:r>
        <w:rPr>
          <w:rFonts w:ascii="Times New Roman;sans-serif" w:hAnsi="Times New Roman;sans-serif"/>
          <w:b w:val="false"/>
          <w:color w:val="000000"/>
          <w:sz w:val="20"/>
          <w:shd w:fill="FFFFFF" w:val="clear"/>
        </w:rPr>
        <w:t xml:space="preserve">s, resulting in no outstanding borrowings </w:t>
      </w:r>
      <w:r>
        <w:rPr>
          <w:rFonts w:ascii="Times New Roman;sans-serif" w:hAnsi="Times New Roman;sans-serif"/>
          <w:b w:val="false"/>
          <w:color w:val="000000"/>
          <w:sz w:val="20"/>
        </w:rPr>
        <w:t>as of December 31, 2024.</w:t>
      </w:r>
    </w:p>
    <w:p>
      <w:pPr>
        <w:pStyle w:val="TextBody"/>
        <w:bidi w:val="0"/>
        <w:spacing w:lineRule="auto" w:line="288" w:before="0" w:after="180"/>
        <w:jc w:val="left"/>
        <w:rPr/>
      </w:pPr>
      <w:r>
        <w:rPr>
          <w:rFonts w:ascii="Times New Roman;sans-serif" w:hAnsi="Times New Roman;sans-serif"/>
          <w:b w:val="false"/>
          <w:i/>
          <w:color w:val="000000"/>
          <w:sz w:val="20"/>
          <w:u w:val="single"/>
        </w:rPr>
        <w:t>New Vehicle Floor Plan Facility</w:t>
      </w:r>
      <w:r>
        <w:rPr>
          <w:color w:val="000000"/>
        </w:rPr>
        <w:t>—</w:t>
      </w:r>
      <w:r>
        <w:rPr>
          <w:rFonts w:ascii="Times New Roman;sans-serif" w:hAnsi="Times New Roman;sans-serif"/>
          <w:b w:val="false"/>
          <w:color w:val="000000"/>
          <w:sz w:val="20"/>
        </w:rPr>
        <w:t>A</w:t>
      </w:r>
      <w:r>
        <w:rPr>
          <w:color w:val="000000"/>
          <w:shd w:fill="FFFFFF" w:val="clear"/>
        </w:rPr>
        <w:t xml:space="preserve"> </w:t>
      </w:r>
      <w:r>
        <w:rPr>
          <w:rFonts w:ascii="Times New Roman;sans-serif" w:hAnsi="Times New Roman;sans-serif"/>
          <w:b w:val="false"/>
          <w:color w:val="000000"/>
          <w:sz w:val="20"/>
          <w:shd w:fill="FFFFFF" w:val="clear"/>
        </w:rPr>
        <w:t>$1.93 billion New</w:t>
      </w:r>
      <w:r>
        <w:rPr>
          <w:color w:val="000000"/>
        </w:rPr>
        <w:t xml:space="preserve"> </w:t>
      </w:r>
      <w:r>
        <w:rPr>
          <w:rFonts w:ascii="Times New Roman;sans-serif" w:hAnsi="Times New Roman;sans-serif"/>
          <w:b w:val="false"/>
          <w:color w:val="000000"/>
          <w:sz w:val="20"/>
        </w:rPr>
        <w:t xml:space="preserve">Vehicle Floor Plan Facility which allows us to transfer cash as an offset to floor plan notes payable. These transfers reduce the amount of outstanding new vehicle floor plan notes payable that would otherwise accrue interest, while retaining the ability to transfer amounts from the offset account into our operating cash accounts within one to two days. As a result of the use of this floor plan offset account, we experienced a reduction in floor plan interest expense on our consolidated statements of income. As of December 31, 2024, we had $1.42 billion outstanding under the New Vehicle Floor Plan Facility, which includes </w:t>
      </w:r>
      <w:r>
        <w:rPr>
          <w:rFonts w:ascii="Times New Roman;sans-serif" w:hAnsi="Times New Roman;sans-serif"/>
          <w:b w:val="false"/>
          <w:color w:val="000000"/>
          <w:sz w:val="20"/>
          <w:shd w:fill="FFFFFF" w:val="clear"/>
        </w:rPr>
        <w:t>$56.7 million</w:t>
      </w:r>
      <w:r>
        <w:rPr>
          <w:color w:val="000000"/>
        </w:rPr>
        <w:t xml:space="preserve"> </w:t>
      </w:r>
      <w:r>
        <w:rPr>
          <w:rFonts w:ascii="Times New Roman;sans-serif" w:hAnsi="Times New Roman;sans-serif"/>
          <w:b w:val="false"/>
          <w:color w:val="000000"/>
          <w:sz w:val="20"/>
        </w:rPr>
        <w:t xml:space="preserve">classified in loaner vehicles notes payable which is included in accounts payable and accrued liabilities in our consolidated balance sheets. As of December 31, 2024, we held </w:t>
      </w:r>
      <w:r>
        <w:rPr>
          <w:rFonts w:ascii="Times New Roman;sans-serif" w:hAnsi="Times New Roman;sans-serif"/>
          <w:b w:val="false"/>
          <w:color w:val="000000"/>
          <w:sz w:val="20"/>
          <w:shd w:fill="FFFFFF" w:val="clear"/>
        </w:rPr>
        <w:t>$115.7 million</w:t>
      </w:r>
      <w:r>
        <w:rPr>
          <w:color w:val="000000"/>
        </w:rPr>
        <w:t xml:space="preserve"> </w:t>
      </w:r>
      <w:r>
        <w:rPr>
          <w:rFonts w:ascii="Times New Roman;sans-serif" w:hAnsi="Times New Roman;sans-serif"/>
          <w:b w:val="false"/>
          <w:color w:val="000000"/>
          <w:sz w:val="20"/>
        </w:rPr>
        <w:t>in the floor plan notes payable offset account.</w:t>
      </w:r>
    </w:p>
    <w:p>
      <w:pPr>
        <w:pStyle w:val="TextBody"/>
        <w:bidi w:val="0"/>
        <w:spacing w:lineRule="auto" w:line="288" w:before="0" w:after="180"/>
        <w:jc w:val="left"/>
        <w:rPr/>
      </w:pPr>
      <w:r>
        <w:rPr>
          <w:rFonts w:ascii="Times New Roman;sans-serif" w:hAnsi="Times New Roman;sans-serif"/>
          <w:b w:val="false"/>
          <w:i/>
          <w:color w:val="000000"/>
          <w:sz w:val="20"/>
          <w:u w:val="single"/>
        </w:rPr>
        <w:t>Used Vehicle Floor Plan Facility</w:t>
      </w:r>
      <w:r>
        <w:rPr>
          <w:color w:val="000000"/>
        </w:rPr>
        <w:t>—</w:t>
      </w:r>
      <w:r>
        <w:rPr>
          <w:rFonts w:ascii="Times New Roman;sans-serif" w:hAnsi="Times New Roman;sans-serif"/>
          <w:b w:val="false"/>
          <w:color w:val="000000"/>
          <w:sz w:val="20"/>
        </w:rPr>
        <w:t xml:space="preserve">A </w:t>
      </w:r>
      <w:r>
        <w:rPr>
          <w:rFonts w:ascii="Times New Roman;sans-serif" w:hAnsi="Times New Roman;sans-serif"/>
          <w:b w:val="false"/>
          <w:color w:val="000000"/>
          <w:sz w:val="20"/>
          <w:shd w:fill="FFFFFF" w:val="clear"/>
        </w:rPr>
        <w:t>$375.0 million</w:t>
      </w:r>
      <w:r>
        <w:rPr>
          <w:color w:val="000000"/>
        </w:rPr>
        <w:t xml:space="preserve"> </w:t>
      </w:r>
      <w:r>
        <w:rPr>
          <w:rFonts w:ascii="Times New Roman;sans-serif" w:hAnsi="Times New Roman;sans-serif"/>
          <w:b w:val="false"/>
          <w:color w:val="000000"/>
          <w:sz w:val="20"/>
        </w:rPr>
        <w:t>Used Vehicle Floor Plan Facility to finance the acquisition of used vehicle inventory and for working capital and capital expenditures, as well as to refinance used vehicles. We began the year with $307.1 million amounts drawn on our Used Vehicle Floor Plan Facility. During the year ended December 31, 2024, we had additional borrowings of</w:t>
      </w:r>
      <w:r>
        <w:rPr>
          <w:color w:val="000000"/>
          <w:shd w:fill="FFFFFF" w:val="clear"/>
        </w:rPr>
        <w:t xml:space="preserve"> </w:t>
      </w:r>
      <w:r>
        <w:rPr>
          <w:rFonts w:ascii="Times New Roman;sans-serif" w:hAnsi="Times New Roman;sans-serif"/>
          <w:b w:val="false"/>
          <w:color w:val="000000"/>
          <w:sz w:val="20"/>
          <w:shd w:fill="FFFFFF" w:val="clear"/>
        </w:rPr>
        <w:t xml:space="preserve">$376.4 million and $582.8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left"/>
        <w:rPr/>
      </w:pPr>
      <w:r>
        <w:rPr>
          <w:rFonts w:ascii="Times New Roman;sans-serif" w:hAnsi="Times New Roman;sans-serif"/>
          <w:b w:val="false"/>
          <w:color w:val="000000"/>
          <w:sz w:val="20"/>
        </w:rPr>
        <w:t xml:space="preserve">in repayments resulting in $100.7 million outstanding borrowings as of December 31, 2024. We had </w:t>
      </w:r>
      <w:r>
        <w:rPr>
          <w:rFonts w:ascii="Times New Roman;sans-serif" w:hAnsi="Times New Roman;sans-serif"/>
          <w:b w:val="false"/>
          <w:color w:val="000000"/>
          <w:sz w:val="20"/>
          <w:shd w:fill="FFFFFF" w:val="clear"/>
        </w:rPr>
        <w:t>$186.1 million</w:t>
      </w:r>
      <w:r>
        <w:rPr>
          <w:color w:val="000000"/>
        </w:rPr>
        <w:t xml:space="preserve"> </w:t>
      </w:r>
      <w:r>
        <w:rPr>
          <w:rFonts w:ascii="Times New Roman;sans-serif" w:hAnsi="Times New Roman;sans-serif"/>
          <w:b w:val="false"/>
          <w:color w:val="000000"/>
          <w:sz w:val="20"/>
        </w:rPr>
        <w:t>borrowing capacity under the Used Vehicle Floor Plan Facility based on our borrowing base calculation as of December 31, 2024.</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compliance with certain conditions, the 2023 Senior Credit Agreement provides that we have the ability, at our option and subject to the receipt of additional commitments from existing or new lenders, to increase the size of the facilities by up to $750.0 million in the aggregate without lender consent. </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At our option, we have the ability to re-designate a portion of our availability under the Revolving Credit Facility to the New Vehicle Floor Plan Facility or the Used Vehicle Floor Plan Facility. The maximum amount we are allowed to re-designate is determined based on aggregate commitments under the Revolving Credit Facility, less $50.0 million. In addition, we are able to re-designate any amounts moved to the New Vehicle Floor Plan Facility or the Used Vehicle Floor Plan Facility back to the Revolving Credit Facility.</w:t>
      </w:r>
    </w:p>
    <w:p>
      <w:pPr>
        <w:pStyle w:val="TextBody"/>
        <w:bidi w:val="0"/>
        <w:spacing w:lineRule="auto" w:line="288" w:before="180" w:after="180"/>
        <w:ind w:left="0" w:right="0" w:firstLine="270"/>
        <w:jc w:val="left"/>
        <w:rPr/>
      </w:pPr>
      <w:r>
        <w:rPr>
          <w:rFonts w:ascii="Times New Roman;sans-serif" w:hAnsi="Times New Roman;sans-serif"/>
          <w:b w:val="false"/>
          <w:color w:val="000000"/>
          <w:sz w:val="20"/>
        </w:rPr>
        <w:t>I</w:t>
      </w:r>
      <w:r>
        <w:rPr>
          <w:rFonts w:ascii="Times New Roman;sans-serif" w:hAnsi="Times New Roman;sans-serif"/>
          <w:b w:val="false"/>
          <w:color w:val="000000"/>
          <w:sz w:val="20"/>
          <w:shd w:fill="FFFFFF" w:val="clear"/>
        </w:rPr>
        <w:t>n addition to the payment of interest on borrowings outstanding under the 2023 Senior Credit Facility, we are required to pay a quarterly commitment fee on total unused commitments thereunder. The fee for unused commitments under the Revolving Credit Facility is between 0.15% and 0.40% per year, based on the Company's total lease adjusted leverage ratio, and the fee for unused commitments under the New Vehicle Facility Floor Plan and the Used Vehicle Floor Plan Facility is 0.15% per year.</w:t>
      </w:r>
    </w:p>
    <w:p>
      <w:pPr>
        <w:pStyle w:val="TextBody"/>
        <w:bidi w:val="0"/>
        <w:spacing w:lineRule="auto" w:line="288" w:before="180" w:after="180"/>
        <w:ind w:left="0" w:right="0" w:hanging="360"/>
        <w:jc w:val="left"/>
        <w:rPr/>
      </w:pPr>
      <w:r>
        <w:rPr>
          <w:color w:val="000000"/>
        </w:rPr>
        <w:t>•</w:t>
      </w:r>
      <w:r>
        <w:rPr>
          <w:rFonts w:ascii="Times New Roman;sans-serif" w:hAnsi="Times New Roman;sans-serif"/>
          <w:b/>
          <w:color w:val="000000"/>
          <w:sz w:val="20"/>
        </w:rPr>
        <w:t>Manufacturer affiliated new vehicle floor plan and other financing facilities</w:t>
      </w:r>
      <w:r>
        <w:rPr>
          <w:color w:val="000000"/>
        </w:rPr>
        <w:t>—</w:t>
      </w:r>
      <w:r>
        <w:rPr>
          <w:rFonts w:ascii="Times New Roman;sans-serif" w:hAnsi="Times New Roman;sans-serif"/>
          <w:b w:val="false"/>
          <w:color w:val="000000"/>
          <w:sz w:val="20"/>
        </w:rPr>
        <w:t>We have a floor plan facility with the Ford Motor Credit Company ("Ford Credit") to purchase new Ford and Lincoln vehicle inventory. Our floor plan facility with Ford Credit was amended in July 2020 and can be terminated by either the Company or Ford Credit with a 30-day notice period. We have also established a floor plan offset account with Ford Credit, which operates in a similar manner to our floor plan offset account with Bank of America. As of December 31, 2024, we had</w:t>
      </w:r>
      <w:r>
        <w:rPr>
          <w:color w:val="000000"/>
          <w:shd w:fill="FFFFFF" w:val="clear"/>
        </w:rPr>
        <w:t xml:space="preserve"> </w:t>
      </w:r>
      <w:r>
        <w:rPr>
          <w:rFonts w:ascii="Times New Roman;sans-serif" w:hAnsi="Times New Roman;sans-serif"/>
          <w:b w:val="false"/>
          <w:color w:val="000000"/>
          <w:sz w:val="20"/>
          <w:shd w:fill="FFFFFF" w:val="clear"/>
        </w:rPr>
        <w:t xml:space="preserve">$349.9 million, which is net of $1.0 million in our floor plan offset account, outstanding under our floor plan facility. </w:t>
      </w:r>
      <w:r>
        <w:rPr>
          <w:rFonts w:ascii="Times New Roman;sans-serif" w:hAnsi="Times New Roman;sans-serif"/>
          <w:b w:val="false"/>
          <w:color w:val="000000"/>
          <w:sz w:val="20"/>
        </w:rPr>
        <w:t xml:space="preserve">Neither our floor plan facility with Ford Credit nor our facilities for loaner vehicles have stated borrowing limitations. </w:t>
      </w:r>
    </w:p>
    <w:p>
      <w:pPr>
        <w:pStyle w:val="TextBody"/>
        <w:bidi w:val="0"/>
        <w:spacing w:lineRule="auto" w:line="288" w:before="180" w:after="180"/>
        <w:ind w:left="0" w:right="0" w:hanging="360"/>
        <w:jc w:val="left"/>
        <w:rPr/>
      </w:pPr>
      <w:r>
        <w:rPr>
          <w:color w:val="000000"/>
        </w:rPr>
        <w:t>•</w:t>
      </w:r>
      <w:r>
        <w:rPr>
          <w:rFonts w:ascii="Times New Roman;sans-serif" w:hAnsi="Times New Roman;sans-serif"/>
          <w:b/>
          <w:color w:val="000000"/>
          <w:sz w:val="20"/>
        </w:rPr>
        <w:t>2029 and 2032 Senior Notes—</w:t>
      </w:r>
      <w:r>
        <w:rPr>
          <w:rFonts w:ascii="Times New Roman;sans-serif" w:hAnsi="Times New Roman;sans-serif"/>
          <w:b w:val="false"/>
          <w:color w:val="000000"/>
          <w:sz w:val="20"/>
        </w:rPr>
        <w:t>On November 19, 2021, the Company completed its offering of $800.0 million aggregate principal amount of 4.625% senior notes due 2029 (the "2029 Senior Notes") and $600.0 million aggregate principal amount of 5.000% senior notes due 2032 (the "2032 Senior Notes"). The 2029 Senior Notes and 2032 Senior Notes mature on November 15, 2029 and February 15, 2032, respectively. Interest is payable semiannually, on November 15 and May 15 of each year. The 2029 Senior Notes and the 2032 Senior Notes were offered, together with additional borrowings and cash on hand, to (i) fund the LHM Acquisition and (ii) pay related fees and expenses.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2029 Notes and 2032 Notes have been fully and unconditionally guaranteed, on a joint and several basis, by substantially all of our subsidiaries other than the TCA Non-Guarantor Subsidiaries. In addition, the notes are subject to customary covenants, events of default and optional redemption revisions. The 2029 Senior Notes and the 2032 Senior Notes are not required to be registered under the Securities Act of 1933.</w:t>
      </w:r>
    </w:p>
    <w:p>
      <w:pPr>
        <w:pStyle w:val="TextBody"/>
        <w:bidi w:val="0"/>
        <w:spacing w:lineRule="auto" w:line="288" w:before="180" w:after="180"/>
        <w:ind w:left="0" w:right="0" w:hanging="360"/>
        <w:jc w:val="left"/>
        <w:rPr/>
      </w:pPr>
      <w:r>
        <w:rPr>
          <w:color w:val="000000"/>
        </w:rPr>
        <w:t>•</w:t>
      </w:r>
      <w:r>
        <w:rPr>
          <w:rFonts w:ascii="Times New Roman;sans-serif" w:hAnsi="Times New Roman;sans-serif"/>
          <w:b/>
          <w:color w:val="000000"/>
          <w:sz w:val="20"/>
        </w:rPr>
        <w:t>2028 and 2030 Senior Notes</w:t>
      </w:r>
      <w:r>
        <w:rPr>
          <w:color w:val="000000"/>
        </w:rPr>
        <w:t>—</w:t>
      </w:r>
      <w:r>
        <w:rPr>
          <w:rFonts w:ascii="Times New Roman;sans-serif" w:hAnsi="Times New Roman;sans-serif"/>
          <w:b w:val="false"/>
          <w:color w:val="000000"/>
          <w:sz w:val="20"/>
        </w:rPr>
        <w:t>On February 19, 2020, the Company completed its offering of senior unsecured notes, consisting of $525.0 million aggregate principal amount of the Existing 2028 Notes and $600.0 million aggregate principal amount of the Existing 2030 Notes. The 2028 Notes and 2030 Notes mature on March 1, 2028 and March 1, 2030, respectively. Interest is payable semiannually, on March 1 and September 1 of each year. The 2028 Notes and the 2030 Notes were offered, together with additional borrowings and cash on hand, to (i) fund the acquisition of substantially all of the assets of Park Place, (ii) redeem all of our outstanding $600.0 million aggregate principal amount of 6.0% Senior Subordinated Notes due 2024 (the "6.0% Notes") and (iii) pay fees and expenses.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24, 2020, the Company redeemed $245.0 million aggregate principal million of the 2028 Notes and $280.0 million aggregate principal amount of the 2030 Notes pursuant to a special mandatory redemption. </w:t>
      </w:r>
    </w:p>
    <w:p>
      <w:pPr>
        <w:pStyle w:val="TextBody"/>
        <w:bidi w:val="0"/>
        <w:spacing w:lineRule="auto" w:line="288" w:before="180" w:after="180"/>
        <w:ind w:left="0" w:right="0" w:firstLine="315"/>
        <w:jc w:val="left"/>
        <w:rPr/>
      </w:pPr>
      <w:r>
        <w:rPr>
          <w:rFonts w:ascii="Times New Roman;sans-serif" w:hAnsi="Times New Roman;sans-serif"/>
          <w:b w:val="false"/>
          <w:color w:val="000000"/>
          <w:sz w:val="20"/>
        </w:rPr>
        <w:t xml:space="preserve">In September 2020, the Company completed an add-on issuance of $250.0 million aggregate principal amount of additional senior notes consisting of $125.0 million aggregate principal amount of additional 2028 Notes at a price of 101.00% of par, plus accrued interest from September 1, 2020, and $125.0 million aggregate principal amount of additional 2030 Notes (together with the additional 2028 Notes, the "Additional Notes") at a price of 101.75% of par, plus accrued interest from September 1, 2020 (the "September 2020 Offering"). After deducting the initial purchasers' discounts of $2.8 million, we received net proceeds of approximately </w:t>
      </w:r>
      <w:r>
        <w:rPr>
          <w:rFonts w:ascii="Times New Roman;sans-serif" w:hAnsi="Times New Roman;sans-serif"/>
          <w:b w:val="false"/>
          <w:color w:val="000000"/>
          <w:sz w:val="20"/>
          <w:shd w:fill="FFFFFF" w:val="clear"/>
        </w:rPr>
        <w:t>$250.6 million</w:t>
      </w:r>
      <w:r>
        <w:rPr>
          <w:color w:val="000000"/>
        </w:rPr>
        <w:t xml:space="preserve"> </w:t>
      </w:r>
      <w:r>
        <w:rPr>
          <w:rFonts w:ascii="Times New Roman;sans-serif" w:hAnsi="Times New Roman;sans-serif"/>
          <w:b w:val="false"/>
          <w:color w:val="000000"/>
          <w:sz w:val="20"/>
        </w:rPr>
        <w:t>from the September 2020 Offering. The $3.5 million premium paid by the initial purchasers of the Additional Notes was recorded as a component of long-term debt on our consolidated balance sheets and is being amortized as a reduction of interest expense over the remaining term of the Notes. The proceeds of the September 2020 Offering were used to redeem certain seller notes issued in connection with the acquisition of Park Place.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2028 Notes and the 2030 Notes are guaranteed, jointly and severally, on a senior unsecured basis, by each of our existing and future restricted subsidiaries, other than the TCA Non-Guarantor Subsidiaries. In addition, the Notes are subject to customary covenants, events of default and optional redemption revisions. The 2028 Notes and the 2030 Notes were required to be registered under the Securities Act of 1933 within 270 days of the closing date for the offering of each respective series. The Company completed the registration of the 2028 Notes and 2030 Notes in October 2020.</w:t>
      </w:r>
    </w:p>
    <w:p>
      <w:pPr>
        <w:pStyle w:val="TextBody"/>
        <w:bidi w:val="0"/>
        <w:spacing w:lineRule="auto" w:line="288" w:before="180" w:after="180"/>
        <w:ind w:left="0" w:right="0" w:hanging="360"/>
        <w:jc w:val="left"/>
        <w:rPr/>
      </w:pPr>
      <w:r>
        <w:rPr>
          <w:strike/>
          <w:color w:val="000000"/>
        </w:rPr>
        <w:t>•</w:t>
      </w:r>
      <w:r>
        <w:rPr>
          <w:rFonts w:ascii="Times New Roman;sans-serif" w:hAnsi="Times New Roman;sans-serif"/>
          <w:b/>
          <w:color w:val="000000"/>
          <w:sz w:val="20"/>
        </w:rPr>
        <w:t>Mortgage Financings</w:t>
      </w:r>
      <w:r>
        <w:rPr>
          <w:color w:val="000000"/>
        </w:rPr>
        <w:t>—</w:t>
      </w:r>
      <w:r>
        <w:rPr>
          <w:rFonts w:ascii="Times New Roman;sans-serif" w:hAnsi="Times New Roman;sans-serif"/>
          <w:b w:val="false"/>
          <w:color w:val="000000"/>
          <w:sz w:val="20"/>
        </w:rPr>
        <w:t>We have multiple mortgage agreements with finance companies affiliated with our vehicle manufacturers ("captive mortgages"). As of December 31, 2024 we had total mortgage notes payable outstanding of $29.6 million which are collateralized by the associated real estate.</w:t>
      </w:r>
    </w:p>
    <w:p>
      <w:pPr>
        <w:pStyle w:val="TextBody"/>
        <w:bidi w:val="0"/>
        <w:spacing w:lineRule="auto" w:line="288" w:before="180" w:after="180"/>
        <w:ind w:left="0" w:right="0" w:hanging="360"/>
        <w:jc w:val="left"/>
        <w:rPr/>
      </w:pPr>
      <w:r>
        <w:rPr>
          <w:color w:val="000000"/>
        </w:rPr>
        <w:t>•</w:t>
      </w:r>
      <w:r>
        <w:rPr>
          <w:rFonts w:ascii="Times New Roman;sans-serif" w:hAnsi="Times New Roman;sans-serif"/>
          <w:b/>
          <w:color w:val="000000"/>
          <w:sz w:val="20"/>
        </w:rPr>
        <w:t>2021 Real Estate Facility</w:t>
      </w:r>
      <w:r>
        <w:rPr>
          <w:color w:val="000000"/>
        </w:rPr>
        <w:t>—</w:t>
      </w:r>
      <w:r>
        <w:rPr>
          <w:rFonts w:ascii="Times New Roman;sans-serif" w:hAnsi="Times New Roman;sans-serif"/>
          <w:b w:val="false"/>
          <w:color w:val="000000"/>
          <w:sz w:val="20"/>
        </w:rPr>
        <w:t>On December 17, 2021, we entered into a real estate term loan credit agreement with Bank of America, N.A., as administrative agent and the other lenders party thereto, which provided for term loans in an aggregate amount equal to $689.7 million (the "2021 Real Estate Facility"). As of December 31, 2024, we had $579.9 million of outstanding borrowings under the 2021 Real Estate Facility. There is no further borrowing availability under the 2021 Real Estate Facility.</w:t>
      </w:r>
    </w:p>
    <w:p>
      <w:pPr>
        <w:pStyle w:val="TextBody"/>
        <w:bidi w:val="0"/>
        <w:spacing w:lineRule="auto" w:line="288" w:before="180" w:after="180"/>
        <w:ind w:left="0" w:right="0" w:hanging="360"/>
        <w:jc w:val="left"/>
        <w:rPr/>
      </w:pPr>
      <w:r>
        <w:rPr>
          <w:color w:val="000000"/>
        </w:rPr>
        <w:t>•</w:t>
      </w:r>
      <w:r>
        <w:rPr>
          <w:rFonts w:ascii="Times New Roman;sans-serif" w:hAnsi="Times New Roman;sans-serif"/>
          <w:b/>
          <w:color w:val="000000"/>
          <w:sz w:val="20"/>
        </w:rPr>
        <w:t>2021 BofA Real Estate Facility</w:t>
      </w:r>
      <w:r>
        <w:rPr>
          <w:color w:val="000000"/>
        </w:rPr>
        <w:t>—</w:t>
      </w:r>
      <w:r>
        <w:rPr>
          <w:rFonts w:ascii="Times New Roman;sans-serif" w:hAnsi="Times New Roman;sans-serif"/>
          <w:b w:val="false"/>
          <w:color w:val="000000"/>
          <w:sz w:val="20"/>
        </w:rPr>
        <w:t>On May 10, 2021, we entered into a real estate term loan credit agreement (the "2021 BofA Real Estate Credit Agreement"), by and among the Company and certain of its subsidiaries, Bank of America, N.A., as administrative agent and the various financial institutions party thereto, as lenders, which provided for term loans in an aggregate amount equal to $184.4 million, subject to customary terms and conditions (the "2021 BofA Real Estate Facility"). As of December 31, 2024, we had $158.6 million of outstanding borrowings under the 2021 BofA Real Estate Facility. There is no further borrowing availability under the 2021 BofA Real Estate Credit Agreement. On May 25, 2022, certain of our subsidiaries entered into amendments to our 2021 BofA Real Estate Facility to replace the benchmark reference rate of LIBOR to SOFR, effective June 1, 2022. See Note 14 "Debt" for further details.</w:t>
      </w:r>
    </w:p>
    <w:p>
      <w:pPr>
        <w:pStyle w:val="TextBody"/>
        <w:bidi w:val="0"/>
        <w:spacing w:lineRule="auto" w:line="288" w:before="180" w:after="180"/>
        <w:ind w:left="0" w:right="0" w:hanging="360"/>
        <w:jc w:val="left"/>
        <w:rPr/>
      </w:pPr>
      <w:r>
        <w:rPr>
          <w:strike/>
          <w:color w:val="000000"/>
        </w:rPr>
        <w:t>•</w:t>
      </w:r>
      <w:r>
        <w:rPr>
          <w:rFonts w:ascii="Times New Roman;sans-serif" w:hAnsi="Times New Roman;sans-serif"/>
          <w:b/>
          <w:color w:val="000000"/>
          <w:sz w:val="20"/>
        </w:rPr>
        <w:t>2018 BofA Real Estate Facility</w:t>
      </w:r>
      <w:r>
        <w:rPr>
          <w:color w:val="000000"/>
        </w:rPr>
        <w:t>—</w:t>
      </w:r>
      <w:r>
        <w:rPr>
          <w:rFonts w:ascii="Times New Roman;sans-serif" w:hAnsi="Times New Roman;sans-serif"/>
          <w:b w:val="false"/>
          <w:color w:val="000000"/>
          <w:sz w:val="20"/>
        </w:rPr>
        <w:t xml:space="preserve">On November 13, 2018, we entered into a real estate term loan credit agreement (as amended, restated or supplemented from time to time, the "2018 BofA Real Estate Credit Agreement") with Bank of America, as lender, providing for term loans in an aggregate amount not to exceed $128.1 million, subject to customary terms and conditions (the "2018 BofA Real Estate Facility"). Our right to make draws under the 2018 BofA Real Estate Facility terminated on November 13, 2019. All of the real property financed by an operating dealership subsidiary of the Company under the 2018 BofA Real Estate Facility is collateralized by first priority liens, subject to certain permitted exceptions. As of December 31, 2024, we had $37.9 million, of outstanding borrowings under the 2018 BofA Real Estate Facility. There is no further borrowing availability under the 2018 BofA Real Estate Facility. On May 25, 2022, certain of our subsidiaries entered into an amendment to the 2018 BofA Real Estate Credit Agreement to replace the benchmark reference rate of LIBOR to SOFR, effective June 1, 2022. See Note 14 "Debt" for further details. </w:t>
      </w:r>
    </w:p>
    <w:p>
      <w:pPr>
        <w:pStyle w:val="TextBody"/>
        <w:bidi w:val="0"/>
        <w:spacing w:lineRule="auto" w:line="288" w:before="180" w:after="180"/>
        <w:ind w:left="0" w:right="0" w:hanging="360"/>
        <w:jc w:val="left"/>
        <w:rPr/>
      </w:pPr>
      <w:r>
        <w:rPr>
          <w:color w:val="000000"/>
        </w:rPr>
        <w:t>•</w:t>
      </w:r>
      <w:r>
        <w:rPr>
          <w:rFonts w:ascii="Times New Roman;sans-serif" w:hAnsi="Times New Roman;sans-serif"/>
          <w:b/>
          <w:color w:val="000000"/>
          <w:sz w:val="20"/>
        </w:rPr>
        <w:t>2018 Wells Fargo Master Loan Facility</w:t>
      </w:r>
      <w:r>
        <w:rPr>
          <w:color w:val="000000"/>
        </w:rPr>
        <w:t>—</w:t>
      </w:r>
      <w:r>
        <w:rPr>
          <w:rFonts w:ascii="Times New Roman;sans-serif" w:hAnsi="Times New Roman;sans-serif"/>
          <w:b w:val="false"/>
          <w:color w:val="000000"/>
          <w:sz w:val="20"/>
        </w:rPr>
        <w:t>On November 16, 2018, certain of our subsidiaries entered into a master loan agreement (the "2018 Wells Fargo Master Loan Agreement") with Wells Fargo as lender, which provides for term loans to certain of our subsidiaries that are borrowers under the 2018 Wells Fargo Master Loan Agreement in an aggregate amount not to exceed $100.0 million (the "2018 Wells Fargo Master Loan Facility"). Our right to make draws under the 2018 Wells Fargo Master Loan Facility terminated on June 30, 2020. On November 16, 2018 and June 26, 2020, we borrowed an aggregate amount of $25.0 million and $69.4 million, respectively, under the 2018 Wells Fargo Master Loan Facility, the proceeds of which were used for general corporate purposes. As of December 31, 2024, we had $62.2 million, outstanding borrowings under the 2018 Wells Fargo Master Loan Facility. There is no further borrowing availability under the 2018 Wells Fargo Master Loan Facility. On and with effect from June 1, 2022, certain of our subsidiaries entered into an amendment to our 2018 Wells Fargo Master Loan Agreement to replace the benchmark reference rate of LIBOR to SOFR. See Note 14 "Debt" for further details.</w:t>
      </w:r>
    </w:p>
    <w:p>
      <w:pPr>
        <w:pStyle w:val="TextBody"/>
        <w:bidi w:val="0"/>
        <w:spacing w:lineRule="auto" w:line="288" w:before="180" w:after="180"/>
        <w:ind w:left="0" w:right="0" w:hanging="360"/>
        <w:jc w:val="left"/>
        <w:rPr/>
      </w:pPr>
      <w:r>
        <w:rPr>
          <w:strike/>
          <w:color w:val="000000"/>
        </w:rPr>
        <w:t>•</w:t>
      </w:r>
      <w:r>
        <w:rPr>
          <w:rFonts w:ascii="Times New Roman;sans-serif" w:hAnsi="Times New Roman;sans-serif"/>
          <w:b/>
          <w:color w:val="000000"/>
          <w:sz w:val="20"/>
        </w:rPr>
        <w:t>2015 Wells Fargo Master Loan Facility</w:t>
      </w:r>
      <w:r>
        <w:rPr>
          <w:color w:val="000000"/>
        </w:rPr>
        <w:t>—</w:t>
      </w:r>
      <w:r>
        <w:rPr>
          <w:rFonts w:ascii="Times New Roman;sans-serif" w:hAnsi="Times New Roman;sans-serif"/>
          <w:b w:val="false"/>
          <w:color w:val="000000"/>
          <w:sz w:val="20"/>
        </w:rPr>
        <w:t xml:space="preserve">On February 3, 2015, certain of our subsidiaries entered into an amended and restated master loan agreement (the "2015 Wells Fargo Master Loan Agreement") with Wells Fargo Bank, National Association ("Wells Fargo"), as lender, which provides for term loans to certain of our subsidiaries that are borrowers under the 2015 Wells Fargo Master Loan Agreement in an aggregate amount not to exceed $100.0 million (the "2015 Wells Fargo Master Loan Facility"). Borrowings under the 2015 Wells Fargo Master Loan Facility are guaranteed by us and are collateralized by the real property financed under the 2015 Wells Fargo Master Loan Facility. As of December 31, 2024, the outstanding balance under this agreement was $32.0 million. There is no further borrowing availability under the 2015 Wells Fargo Master Loan Facility. On and with effect from June 1, 2022,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of our subsidiaries entered into an amendment to our 2015 Wells Fargo Master Loan Agreement to replace the benchmark reference rate of LIBOR to SOFR. See Note 14 "Debt" for further details.</w:t>
      </w:r>
    </w:p>
    <w:p>
      <w:pPr>
        <w:pStyle w:val="TextBody"/>
        <w:bidi w:val="0"/>
        <w:spacing w:lineRule="auto" w:line="288" w:before="180" w:after="180"/>
        <w:ind w:left="0" w:right="0" w:hanging="360"/>
        <w:jc w:val="left"/>
        <w:rPr/>
      </w:pPr>
      <w:r>
        <w:rPr>
          <w:color w:val="000000"/>
        </w:rPr>
        <w:t>•</w:t>
      </w:r>
      <w:r>
        <w:rPr>
          <w:rFonts w:ascii="Times New Roman;sans-serif" w:hAnsi="Times New Roman;sans-serif"/>
          <w:b/>
          <w:color w:val="000000"/>
          <w:sz w:val="20"/>
        </w:rPr>
        <w:t>2013 BofA Real Estate Facility</w:t>
      </w:r>
      <w:r>
        <w:rPr>
          <w:color w:val="000000"/>
        </w:rPr>
        <w:t>—</w:t>
      </w:r>
      <w:r>
        <w:rPr>
          <w:rFonts w:ascii="Times New Roman;sans-serif" w:hAnsi="Times New Roman;sans-serif"/>
          <w:b w:val="false"/>
          <w:color w:val="000000"/>
          <w:sz w:val="20"/>
        </w:rPr>
        <w:t>On September 26, 2013, we entered into a real estate term loan credit agreement (the "2013 BofA Real Estate Credit Agreement") with Bank of America, N.A., as lender, providing for term loans in an aggregate amount not to exceed $75.0 million, subject to customary terms and conditions (the "2013 BofA Real Estate Facility"). In June 2023, the Company prepaid the aggregate principal amounts remaining under the 2013 BofA Real Estate Facility for an aggregate amount of approximately $23.9 million with cash on hand.</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Covenants and Defaults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a number of customary covenants in our various debt and lease agreements, including those described below. We were in compliance with all of our covenants as of December 31, 2024. Failure to comply with any of our debt covenants would constitute a default under the relevant debt agreements, which would entitle the lenders under such agreements to terminate our ability to borrow under the relevant agreements and accelerate our obligations to repay outstanding borrowings, if any, unless compliance with the covenants were waived. In many cases, defaults under one of our agreements could trigger cross-default provisions in our other agreements. If we are unable to remain in compliance with our financial or other covenants, we would be required to seek waivers or modifications of our covenants from our lenders, or we would need to raise debt and/or equity financing or sell assets to generate proceeds sufficient to repay such debt. We cannot give any assurance that we would be able to successfully take any of these actions on terms, or at times, that may be necessary or desirable.</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representations and covenants contained in the 2021 Real Estate Facility, 2021 BofA Real Estate Credit Agreement, 2018 BofA Real Estate Credit Agreement, 2018 Wells Fargo Master Loan Agreement, 2015 Wells Fargo Master Loan Agreement, and the related documents are customary for financing transactions of this nature, including, among others, requirements to comply with a minimum consolidated fixed charge coverage ratio and maximum consolidated total lease adjusted leverage ratio, in each case, as applicable. In addition, certain other covenants could restrict our ability to incur additional debt, pay dividends or acquire or dispose of assets. Each of these agreements provides for events of default that are customary for financing transactions of this nature, including cross-defaults to other material indebtedness. Upon the occurrence of an event of default, we could be required by the applicable agreement to immediately repay all amounts outstanding thereunder.</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representations and covenants contained in the agreement governing the 2023 Senior Credit Facility are customary for financing transactions of this nature including, among others, a requirement to comply with a minimum consolidated fixed charge coverage ratio and maximum consolidated total lease adjusted leverage ratio, in each case as set out in the agreement governing the 2023 Senior Credit Facility. In addition, certain other covenants could restrict the Company's ability to incur additional debt, pay dividends or acquire or dispose of assets. The agreement governing the 2023 Senior Credit Facility also provides for events of default that are customary for financing transactions of this nature, including cross-defaults to other material indebtedness. In certain instances, an event of default under either the Revolving Credit Facility or the Used Vehicle Floor Plan Facility could be, or result in, an event of default under the New Vehicle Floor Plan Facility, and vice versa. Upon the occurrence of an event of default, the Company could be required to immediately repay all amounts outstanding under the applicable facility.</w:t>
      </w:r>
    </w:p>
    <w:p>
      <w:pPr>
        <w:pStyle w:val="TextBody"/>
        <w:bidi w:val="0"/>
        <w:spacing w:lineRule="auto" w:line="288" w:before="180" w:after="180"/>
        <w:ind w:left="0" w:right="0" w:firstLine="315"/>
        <w:jc w:val="left"/>
        <w:rPr/>
      </w:pPr>
      <w:r>
        <w:rPr>
          <w:rFonts w:ascii="Times New Roman;sans-serif" w:hAnsi="Times New Roman;sans-serif"/>
          <w:b w:val="false"/>
          <w:color w:val="000000"/>
          <w:sz w:val="20"/>
        </w:rPr>
        <w:t xml:space="preserve">The 2023 Senior Credit Facility and the Indentures currently allow for restricted payments without limit so long as our Consolidated Total Leverage Ratio (as defined in the 2023 Senior Credit Facility and the Indentures) is no greater than 3.0 to 1.0 after giving effect to such proposed restricted payments. Restricted payments generally include items such as dividends, share repurchases, unscheduled repayments of subordinated debt, or purchases of certain investments. Subject to our continued compliance with a consolidated fixed charge coverage ratio and a maximum consolidated total lease adjusted leverage ratio, in each case as set out in the Indentures, restricted payments capacity additions (or subtractions if negative) equal to a base level plus the cumulative amount of (i) 50% of our net income (as defined in the 2023 Senior Credit Facility) plus (ii) 100% of any cash proceeds we receive from the sale of equity interests minus (iii) the dollar amount of share purchases made and dividends paid during the defined measurement periods, subject to certain exceptions. In the event that our Consolidated Total Leverage Ratio does (or would) exceed 3.0 to 1.0, the 2023 Senior Credit Facility and the Indentures would then also allow for restricted payments under mutually exclusive parameters, subject to certain exclusions. The Company may otherwise make restricted payments only up to the aforementioned cumulative capacity. Our restricted payment capacity balance as of December 31, 2024 and 2023 was </w:t>
      </w:r>
      <w:r>
        <w:rPr>
          <w:rFonts w:ascii="Times New Roman;sans-serif" w:hAnsi="Times New Roman;sans-serif"/>
          <w:b w:val="false"/>
          <w:color w:val="000000"/>
          <w:sz w:val="20"/>
          <w:shd w:fill="FFFFFF" w:val="clear"/>
        </w:rPr>
        <w:t>$1.22 billion</w:t>
      </w:r>
      <w:r>
        <w:rPr>
          <w:color w:val="000000"/>
        </w:rPr>
        <w:t xml:space="preserve"> </w:t>
      </w:r>
      <w:r>
        <w:rPr>
          <w:rFonts w:ascii="Times New Roman;sans-serif" w:hAnsi="Times New Roman;sans-serif"/>
          <w:b w:val="false"/>
          <w:color w:val="000000"/>
          <w:sz w:val="20"/>
        </w:rPr>
        <w:t>and $1.18 billion, respectively.</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Share Repurchases and Dividend Restrictions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repurchase shares or pay dividends on our common stock is subject to our compliance with the covenants and restrictions described in "Covenants and Defaults"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we repurchased 830,297 shares of our common stock under our repurchase program for a total of $183.0 million and an additional 46,941 shares of our common stock for $10.2 million from employees in connection with a net share settlement feature of employee equity-based awards.</w:t>
      </w:r>
    </w:p>
    <w:p>
      <w:pPr>
        <w:pStyle w:val="TextBody"/>
        <w:bidi w:val="0"/>
        <w:spacing w:lineRule="auto" w:line="288" w:before="18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remaining authorization to repurchase up to an additional $275.9 million of our common stock. Any repurchases will be subject to applicable limitations in our debt or other financing agreements that may be in existence from time to time.</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On May 15, 2024, the Company announced that its Board of Directors approved an increase of $256.2 million in the Company's common share repurchase authorization to $400 million (the "New Share Repurchase Authorization"), for the repurchase of our common stock in open market transactions or privately negotiated transactions or in other manners as permitted by federal securities laws and other legal and contractual requirements. The extent that the Company repurchases its shares, the number of shares and the timing of any repurchases will depend on general market conditions, legal requirements and other corporate considerations. The repurchase program may be modified, suspended or terminated at any time without prior notice.</w:t>
      </w:r>
    </w:p>
    <w:p>
      <w:pPr>
        <w:pStyle w:val="TextBody"/>
        <w:bidi w:val="0"/>
        <w:spacing w:lineRule="auto" w:line="288" w:before="180" w:after="180"/>
        <w:ind w:left="0" w:right="0" w:firstLine="315"/>
        <w:jc w:val="left"/>
        <w:rPr/>
      </w:pPr>
      <w:r>
        <w:rPr>
          <w:rFonts w:ascii="Times New Roman;sans-serif" w:hAnsi="Times New Roman;sans-serif"/>
          <w:b w:val="false"/>
          <w:color w:val="000000"/>
          <w:sz w:val="20"/>
          <w:shd w:fill="FFFFFF" w:val="clear"/>
        </w:rPr>
        <w:t>On August 16, 2022, the U.S. government enacted the Inflation Reduction Act (the "IRA") into law. The IRA, among other things, im</w:t>
      </w:r>
      <w:r>
        <w:rPr>
          <w:rFonts w:ascii="Times New Roman;sans-serif" w:hAnsi="Times New Roman;sans-serif"/>
          <w:b w:val="false"/>
          <w:color w:val="000000"/>
          <w:sz w:val="20"/>
        </w:rPr>
        <w:t>plements a 1% excise tax on share repurchases, which takes effect in tax years beginning after December 31, 2022. In 2024, we recorded a total of $1.7 million exci</w:t>
      </w:r>
      <w:r>
        <w:rPr>
          <w:rFonts w:ascii="Times New Roman;sans-serif" w:hAnsi="Times New Roman;sans-serif"/>
          <w:b w:val="false"/>
          <w:color w:val="000000"/>
          <w:sz w:val="20"/>
          <w:shd w:fill="FFFFFF" w:val="clear"/>
        </w:rPr>
        <w:t xml:space="preserve">se tax on our share repurchases. </w:t>
      </w:r>
    </w:p>
    <w:p>
      <w:pPr>
        <w:pStyle w:val="TextBody"/>
        <w:bidi w:val="0"/>
        <w:spacing w:lineRule="auto" w:line="288" w:before="180" w:after="18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 xml:space="preserve">Contractual Obligations </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significant contractual obligations related to our floor plan notes payable disclosed in Notes 11 and 12, operating lease liabilities disclosed in Note 19 and long-term debt arrangements discussed in Note 14. Disclosures related to our commitments and contingencies are outlined in Note 21. All note references are to the notes to our consolidated financial statements included elsewhere herein.</w:t>
      </w:r>
    </w:p>
    <w:p>
      <w:pPr>
        <w:pStyle w:val="TextBody"/>
        <w:bidi w:val="0"/>
        <w:spacing w:lineRule="auto" w:line="288" w:before="18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Classification of Cash Flows Associated with Floor Plan Notes Payable</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Borrowings and repayments of floor plan notes payable through our 2023 Senior Credit Facility ("Non-Trade"), and all floor plan notes payable relating to used vehicles (together referred to as "Floor Plan Notes Payable—Non-Trade"), are classified as financing activities on the accompanying consolidated statements of cash flows, with borrowings reflected separately from repayments. The net change in floor plan notes payable to a lender affiliated with the manufacturer from which we purchase a particular new vehicle (collectively referred to as "Floor Plan Notes Payable—Trade") is classified as an operating activity on the accompanying consolidated statements of cash flows. Borrowings of floor plan notes payable associated with inventory acquired in connection with all acquisitions and repayments made in connection with all divestitures are classified as a financing activity in the accompanying consolidated statement of cash flows. Cash flows related to floor plan notes payable included in operating activities differ from cash flows related to floor plan notes payable included in financing activities only to the extent that the former are payable to a lender affiliated with the manufacturer from which we purchased the related inventory, while the latter are payable to our 2023 Senior Credit Facility that includes lenders affiliated with the manufacturers and lenders not affiliated with the manufacturers from which we purchased the related inventory. The majority of our floor plan notes are payable to our 2023 Senior Credit Facility, with the exception of floor plan notes payable relating to the financing of new Ford and Lincoln vehicles and certain loaner vehicle programs.</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Floor plan borrowings are required by all vehicle manufacturers for the purchase of new vehicles, and all floor plan lenders require amounts borrowed for the purchase of a vehicle to be repaid within a short time period after the related vehicle is sold. As a result, we believe that it is important to understand the relationship between the cash flows of all of our floor plan notes payable and new vehicle inventory in order to understand our working capital and operating cash flow and to be able to compare our operating cash flow to that of our competitors (i.e., if our competitors have a different mix of trade and non-trade floor plan financing as compared to us). In addition, we include all floor plan borrowings and repayments in our internal operating cash flow forecasts. As a result, we use the non-GAAP measure "Adjusted cash flow provided by operating activities" (defined below) to compare our results to forecasts. We believe that splitting the cash flows of floor plan notes payable between operating activities and financing activities, while all new vehicle inventory activity is included in operating activities, results in significantly different operating cash flow than if all the cash flows of floor plan notes payable were classified together in operating activities.</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cash flow provided by operating activities includes borrowings and repayments of floor plan notes payable non-trade and used floor plan notes payable borrowing base changes. Adjusted cash flow provided by operating activities may not be comparable to similarly titled measures of other companies and should not be considered in isolation, or as a substitute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analysis of our operating results in accordance with GAAP. In order to compensate for these potential limitations we also review the related GAAP measures. Adjustments related to cash flows associated with our used vehicle borrowing base, floorplan offset accounts and the impact of acquisitions and divestitures eliminates cash flow volatility and provides an adjusted operating cash flow metric that best reflects our results of operations and our management of inventory and related financing activities. </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have provided below a reconciliation of cash flow provided by operating activities, as if all changes in floor plan notes payable, except for (i) borrowings associated with acquisitions and repayments associated with divestitures and (ii) borrowings and repayments associated with the purchase of used vehicle inventory and (iii) changes in the floorplan offset accounts were classified as an operating activity for both floorplan notes payable - non-trade and floor plan notes payable - trade.</w:t>
      </w:r>
    </w:p>
    <w:tbl>
      <w:tblPr>
        <w:tblW w:w="10205" w:type="dxa"/>
        <w:jc w:val="left"/>
        <w:tblInd w:w="0" w:type="dxa"/>
        <w:tblLayout w:type="fixed"/>
        <w:tblCellMar>
          <w:top w:w="28" w:type="dxa"/>
          <w:left w:w="28" w:type="dxa"/>
          <w:bottom w:w="28" w:type="dxa"/>
          <w:right w:w="28" w:type="dxa"/>
        </w:tblCellMar>
      </w:tblPr>
      <w:tblGrid>
        <w:gridCol w:w="2347"/>
        <w:gridCol w:w="2061"/>
        <w:gridCol w:w="2070"/>
        <w:gridCol w:w="211"/>
        <w:gridCol w:w="616"/>
        <w:gridCol w:w="109"/>
        <w:gridCol w:w="109"/>
        <w:gridCol w:w="109"/>
        <w:gridCol w:w="109"/>
        <w:gridCol w:w="211"/>
        <w:gridCol w:w="616"/>
        <w:gridCol w:w="109"/>
        <w:gridCol w:w="109"/>
        <w:gridCol w:w="109"/>
        <w:gridCol w:w="109"/>
        <w:gridCol w:w="211"/>
        <w:gridCol w:w="616"/>
        <w:gridCol w:w="109"/>
        <w:gridCol w:w="109"/>
        <w:gridCol w:w="156"/>
      </w:tblGrid>
      <w:tr>
        <w:trPr/>
        <w:tc>
          <w:tcPr>
            <w:tcW w:w="2347"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Reconciliation of cash provided by operating activities to cash provided by operating activities, as adjusted</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 as reported</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Floor Plan Notes Payable Non-Trade,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Floor Plan Notes Payable Non-Trade associated with floor plan offset, used vehicle borrowing base changes adjusted for acquisition and divestitures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462.4</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Floor Plan Notes Payable Trade associated with floor plan offset and acquisitions and divestitures,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cash flow provided by operating activities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10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totaled $671.2 million, $313.0 million, and $696.0 million for the years ended December 31, 2024, 2023, and 2022, respectively. Adjusted cash flow provided by operating activities totaled $688.4 million, $705.3 million, and $987.0 million for the years ended December 31, 2024, 2023, and 2022, respectively. Adjusted cash flow provided by operating activities includes net income, adjustments to reconcile net income to net cash provided by operating activities, changes in working capital, changes in used vehicle borrowing base, changes in floor plan notes payable - non-trade and trade, excluding the impact of offsets, and excluding operating cash flows associated with acquisitions and divestitures related to loaner vehicles and new vehicle inventories financed through floor plan notes payable - trade.</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$16.9 million decrease in adjusted cash flow provided by operating activities for the year ended December 31, 2024 compared to the year ended December 31, 2023, was primarily the result of the following:</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decrease in $86.6 million in net income and non-cash adjustments to net income;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$100.9 million decrease related to the change in accounts payable and accrued liabilities; and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$24.8 million related to a decrease in inventory, net of floor plan notes payable, including both trade and non-trade, excluding offset and including used vehicle borrowing base changes adjusted for acquisitions and divestitures.</w:t>
      </w:r>
    </w:p>
    <w:p>
      <w:pPr>
        <w:pStyle w:val="TextBody"/>
        <w:bidi w:val="0"/>
        <w:spacing w:lineRule="auto" w:line="288" w:before="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our adjusted cash flow provided by operating activities, was partially offset by:</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$118.1 million decrease related to the change in other current assets, net;</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$69.4 million decrease related to sale volume and the timing of collection of accounts receivable and contracts-in-transit during 2024 compared to 2023; and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$8.2 million decrease in other long term assets and liabilities, net.</w:t>
      </w:r>
    </w:p>
    <w:p>
      <w:pPr>
        <w:pStyle w:val="TextBody"/>
        <w:bidi w:val="0"/>
        <w:spacing w:lineRule="auto" w:line="288" w:before="180" w:after="180"/>
        <w:ind w:left="0" w:right="0" w:firstLine="315"/>
        <w:jc w:val="left"/>
        <w:rPr/>
      </w:pPr>
      <w:r>
        <w:rPr>
          <w:rFonts w:ascii="Times New Roman;sans-serif" w:hAnsi="Times New Roman;sans-serif"/>
          <w:b w:val="false"/>
          <w:color w:val="000000"/>
          <w:sz w:val="20"/>
        </w:rPr>
        <w:t xml:space="preserve">The </w:t>
      </w:r>
      <w:r>
        <w:rPr>
          <w:rFonts w:ascii="Times New Roman;sans-serif" w:hAnsi="Times New Roman;sans-serif"/>
          <w:b w:val="false"/>
          <w:color w:val="000000"/>
          <w:sz w:val="20"/>
          <w:shd w:fill="FFFFFF" w:val="clear"/>
        </w:rPr>
        <w:t>$281.7 million</w:t>
      </w:r>
      <w:r>
        <w:rPr>
          <w:color w:val="000000"/>
        </w:rPr>
        <w:t xml:space="preserve"> </w:t>
      </w:r>
      <w:r>
        <w:rPr>
          <w:rFonts w:ascii="Times New Roman;sans-serif" w:hAnsi="Times New Roman;sans-serif"/>
          <w:b w:val="false"/>
          <w:color w:val="000000"/>
          <w:sz w:val="20"/>
        </w:rPr>
        <w:t>decrease in our adjusted cash flow provided by operating activities for the year ended December 31, 2023 compared to the year ended December 31, 2022, was primarily the result of the following: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decrease of $192.4 million in net income and non-cash adjustments to net income;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$144.1 million related to sale volume and the timing of collection of accounts receivable and contracts-in-transit during 2023 compared to 2022;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$210.9 million related to the decrease in other current assets, 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$2.6 million increase in other long term assets and liabilities, net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$1.3 million related to the change in operating lease liabilities.</w:t>
      </w:r>
    </w:p>
    <w:p>
      <w:pPr>
        <w:pStyle w:val="TextBody"/>
        <w:bidi w:val="0"/>
        <w:spacing w:lineRule="auto" w:line="288" w:before="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our adjusted cash flow provided by operating activities, was partially offset by:</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$155.2 million related to an increase in inventory, net of floor plan notes payable, including both trade and non-trade, excluding offset and including used vehicle borrowing base changes adjusted for acquisitions and divestitures; and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$114.4 million related to the change in accounts payable and accrued liabilities.</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totaled $137.2 million and $1.68 billion for the years ended December 31, 2024 and 2023, respectively, compared to net cash provided by investing activities of $464.7 million for the year ended December 31, 2022. Cash flows from investing activities relate primarily to capital expenditures, acquisitions, divestitures, and the sale of property and equipment. </w:t>
      </w:r>
    </w:p>
    <w:p>
      <w:pPr>
        <w:pStyle w:val="TextBody"/>
        <w:bidi w:val="0"/>
        <w:spacing w:lineRule="auto" w:line="288" w:before="0" w:after="0"/>
        <w:ind w:left="0" w:right="0" w:firstLine="315"/>
        <w:jc w:val="left"/>
        <w:rPr/>
      </w:pPr>
      <w:r>
        <w:rPr>
          <w:rFonts w:ascii="Times New Roman;sans-serif" w:hAnsi="Times New Roman;sans-serif"/>
          <w:b w:val="false"/>
          <w:color w:val="000000"/>
          <w:sz w:val="20"/>
        </w:rPr>
        <w:t xml:space="preserve">Capital expenditures, excluding the purchase of real estate, were $162.6 million, $142.3 million, and $94.6 million for the years ended December 31, 2024, 2023 and 2022, respectively. </w:t>
      </w:r>
      <w:r>
        <w:rPr>
          <w:rFonts w:ascii="Times New Roman;sans-serif" w:hAnsi="Times New Roman;sans-serif"/>
          <w:b w:val="false"/>
          <w:color w:val="000000"/>
          <w:sz w:val="20"/>
          <w:shd w:fill="FFFFFF" w:val="clear"/>
        </w:rPr>
        <w:t>There were no purchases related to real estate for the year ended December 31, 2023.</w:t>
      </w:r>
      <w:r>
        <w:rPr>
          <w:color w:val="000000"/>
        </w:rPr>
        <w:t xml:space="preserve"> </w:t>
      </w:r>
      <w:r>
        <w:rPr>
          <w:rFonts w:ascii="Times New Roman;sans-serif" w:hAnsi="Times New Roman;sans-serif"/>
          <w:b w:val="false"/>
          <w:color w:val="000000"/>
          <w:sz w:val="20"/>
        </w:rPr>
        <w:t>Purchases of real estate totaled $145.6 million and $13.3 million for the years ended December 31, 2024, and 2022, respectively. In addition, we purchased previously leased facilities for $11.9 million during the year ended December 31, 2024.</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capital expenditures during 2025 will total approximately $260.3 million to upgrade or replace our existing facilities, construct new facilities, expand our service capacity, and invest in technology and equipment. In addition, as part of our capital allocation strategy, we continually evaluate opportunities to purchase properties currently under lease and acquire properties in connection with future dealership relocations. No assurances can be provided that we will have or be able to access capital at times or on terms in amounts deemed necessary to execute this strategy.</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11, 2023, we completed the acquisition of the Jim Koons Dealerships for a total purchase price of approximately $1.50 billion, which includes $256.1 million of new vehicle floor plan financing and $100.9 million of assets held for sale related to Koons Lexus of Wilmington. The sources of the purchase price included borrowings under Asbury’s existing credit facility and cash on hand. </w:t>
      </w:r>
    </w:p>
    <w:p>
      <w:pPr>
        <w:pStyle w:val="TextBody"/>
        <w:bidi w:val="0"/>
        <w:spacing w:lineRule="auto" w:line="288" w:before="180" w:after="12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we sold 1 Lexus franchise (1 dealership location) in Wilmington, Delaware due to OEM requirements in connection with the Koons acquisition, 1 Nissan franchise (1 dealership location) in Denver, Colorado, 1 Nissan franchise (1 dealership location) in Atlanta, Georgia, 1 Chevrolet franchise (1 dealership location) in Atlanta, Georgia and 1 Honda franchise (1 dealership location) in Spokane, Washington for proceeds of $196.3 million</w:t>
      </w:r>
    </w:p>
    <w:p>
      <w:pPr>
        <w:pStyle w:val="TextBody"/>
        <w:bidi w:val="0"/>
        <w:spacing w:lineRule="auto" w:line="288" w:before="180" w:after="180"/>
        <w:ind w:left="0" w:right="0" w:firstLine="270"/>
        <w:jc w:val="left"/>
        <w:rPr/>
      </w:pPr>
      <w:r>
        <w:rPr>
          <w:rFonts w:ascii="Times New Roman;sans-serif" w:hAnsi="Times New Roman;sans-serif"/>
          <w:b w:val="false"/>
          <w:color w:val="000000"/>
          <w:sz w:val="20"/>
          <w:shd w:fill="FFFFFF" w:val="clear"/>
        </w:rPr>
        <w:t>During the year ended December 31, 2023, we sold one franchise (one dealership location) in Austin, Texas</w:t>
      </w:r>
      <w:r>
        <w:rPr>
          <w:color w:val="000000"/>
        </w:rPr>
        <w:t xml:space="preserve"> </w:t>
      </w:r>
      <w:r>
        <w:rPr>
          <w:rFonts w:ascii="Times New Roman;sans-serif" w:hAnsi="Times New Roman;sans-serif"/>
          <w:b w:val="false"/>
          <w:color w:val="000000"/>
          <w:sz w:val="20"/>
        </w:rPr>
        <w:t>for proceeds of $30.7 million.</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we sold one franchise (one dealership location) in St. Louis, Missouri, three franchises (three dealership locations) and one collision center in Denver, Colorado, two franchises (two dealership locations) in Spokane, Washington, one franchise (one dealership location) in Albuquerque, New Mexico and 11 franchises (nine dealership locations) and two collision centers in North Carolina for proceeds of $701.2 million.</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sale of assets, unrelated to a dealership divestiture, were $6.5 million and $16.3 million for the years ended December 31, 2024 and 2023, respectively. We did not have any proceeds from the sale of assets, unrelated to a dealership divestitures in 2022.</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2024, 2023, and 2022, we purchased $165.0 million, $195.2 million and $202.2 million of debt securities and $41.4 million of equity securities in December 31, 2022. We did not purchase any equity securities in 2024 or 2023.</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2024, 2023, and 2022, we also received proceeds of $149.8 million, $60.3 million, and $69.7 million from the sale of debt securities respectively and $51.8 million and $50.3 million, from the sale of equity securities in 2023, and 2022, respectively. We did not have any proceeds from the sale of equity securities in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financing activities totaled $510.3 million and $1.10 billion for the years ended December 31, 2024 and 2022, respectively. Net cash provided by financing activities totaled $1.18 billion for the year ended December 31, 2023. </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2024, 2023, and 2022, we had non-trade floor plan borrowings of $9.45 billion, $8.39 billion, and $7.41 billion, respectively. Included in our non-trade floor plan borrowings, were borrowings of $100.7 million and $307.1 million for the years ended December 31, 2024 and 2023, respectively, related to our used vehicle floor plan facility. We did not have any floor plan borrowing related to our used vehicle floor plan facility as of December 31, 2022.</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2023 and 2022, we borrowed $1,213.5 million, $329.0 million, and $330.0 million, and repaid $1,213.5 million, $329.0 million and $499.0 million, respectively, on our revolving line of credit.</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during the years ended December 31, 2023, we had non-trade floor plan borrowings of $256.1 million, related to acquisitions. The majority of our floor plan notes are payable to parties unaffiliated with the entities from which we purchase our new vehicle inventory, with the exception of floor plan notes payable relating to the financing of new Ford and Lincoln vehicles. We did not have any dealership acquisitions in 2024 and 2022.</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2024, 2023, and 2022, we made non-trade floor plan repayments of $9.66 billion, $7.06 billion, and $7.89 billion, respectively. In addition, during the years ended December 31, 2024 and 2022, we had floor plan repayments associated with dealership divestitures of $34.1 million and $48.4 million, respectively. During 2023, we did not have any floor plan repayments associated with dealership divestitures.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borrowings totaled $71.4 million, $126.0 million and $106.2 million, for the years ended December 31, 2024, 2023, and 2022, respectively.</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we received net proceeds from the issuance of common stock totaling $1.4 million. We did not have any net proceeds from the issuance of common stock in 2024 or 2023.</w:t>
      </w:r>
    </w:p>
    <w:p>
      <w:pPr>
        <w:pStyle w:val="TextBody"/>
        <w:bidi w:val="0"/>
        <w:spacing w:lineRule="auto" w:line="288" w:before="0" w:after="0"/>
        <w:ind w:left="0" w:right="0" w:firstLine="315"/>
        <w:jc w:val="left"/>
        <w:rPr/>
      </w:pPr>
      <w:r>
        <w:rPr>
          <w:rFonts w:ascii="Times New Roman;sans-serif" w:hAnsi="Times New Roman;sans-serif"/>
          <w:b w:val="false"/>
          <w:color w:val="000000"/>
          <w:sz w:val="20"/>
        </w:rPr>
        <w:t>During the year ended December 31, 2024, 2023, 2022 we repurchased 830,297, 1,316,167 and 1,635,030 shares of our common stock under our Repurchase Program for a total of 183.0 million and</w:t>
      </w:r>
      <w:r>
        <w:rPr>
          <w:color w:val="000000"/>
          <w:shd w:fill="FFFFFF" w:val="clear"/>
        </w:rPr>
        <w:t xml:space="preserve"> </w:t>
      </w:r>
      <w:r>
        <w:rPr>
          <w:rFonts w:ascii="Times New Roman;sans-serif" w:hAnsi="Times New Roman;sans-serif"/>
          <w:b w:val="false"/>
          <w:color w:val="000000"/>
          <w:sz w:val="20"/>
          <w:shd w:fill="FFFFFF" w:val="clear"/>
        </w:rPr>
        <w:t>$258.1 million</w:t>
      </w:r>
      <w:r>
        <w:rPr>
          <w:color w:val="000000"/>
        </w:rPr>
        <w:t xml:space="preserve"> </w:t>
      </w:r>
      <w:r>
        <w:rPr>
          <w:rFonts w:ascii="Times New Roman;sans-serif" w:hAnsi="Times New Roman;sans-serif"/>
          <w:b w:val="false"/>
          <w:color w:val="000000"/>
          <w:sz w:val="20"/>
        </w:rPr>
        <w:t>and $297.0 million and 46,941, 48,262 and 56,024 shares of our common stock for $10.2 million, $11.4 million and $9.2 million from employees in connection with a net share settlement feature of employee equity-based awards, respectively.</w:t>
      </w: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Off Balance Sheet Arrangements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had no off balance sheet arrangements during any of the periods presented other than those disclosed in Note 21 "Commitments and Contingencies" of the Company's consolidated financial statements.</w:t>
      </w: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Guarantor Financial Information</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 had outstanding $405 million of 4.500% Senior Notes due 2028 and $445 million of 4.750% Senior Notes due 2030. As explained in Note 14 of the Company's consolidated financial statements as of and for the year ended December 31, 2024, the Senior Notes have been fully and unconditionally guaranteed, jointly and severally, on a senior unsecured basis, by each existing and future restricted subsidiary of the Company (the "Guarantor Subsidiaries"), which are listed in Exhibit 21, with the exception of Landcar Administration Company, Landcar Agency, Inc. and Landcar Casualty Company and their respective subsidiaries (collectively, the "TCA Non-Guarantor Subsidiaries").</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summarized financial information for the Company and the Guarantor Subsidiaries on a combined basis after elimination of (i) intercompany transactions and balances among Asbury and the Guarantor Subsidiaries and (ii) assets, liabilities, and equity in earnings from and investments in any non-guarantor subsidiaries.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tbl>
      <w:tblPr>
        <w:tblW w:w="7171" w:type="dxa"/>
        <w:jc w:val="left"/>
        <w:tblInd w:w="0" w:type="dxa"/>
        <w:tblLayout w:type="fixed"/>
        <w:tblCellMar>
          <w:top w:w="28" w:type="dxa"/>
          <w:left w:w="28" w:type="dxa"/>
          <w:bottom w:w="28" w:type="dxa"/>
          <w:right w:w="28" w:type="dxa"/>
        </w:tblCellMar>
      </w:tblPr>
      <w:tblGrid>
        <w:gridCol w:w="875"/>
        <w:gridCol w:w="770"/>
        <w:gridCol w:w="770"/>
        <w:gridCol w:w="887"/>
        <w:gridCol w:w="3222"/>
        <w:gridCol w:w="647"/>
      </w:tblGrid>
      <w:tr>
        <w:trPr/>
        <w:tc>
          <w:tcPr>
            <w:tcW w:w="87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3222"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717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Summarized Balance Sheet Data of Asbury and Guarantor Subsidiaries</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millions)</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2,927.7 </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 - affiliates</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6,576.9 </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2,372.4 </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 - affiliates</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3,522.5 </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631" w:type="dxa"/>
        <w:jc w:val="left"/>
        <w:tblInd w:w="0" w:type="dxa"/>
        <w:tblLayout w:type="fixed"/>
        <w:tblCellMar>
          <w:top w:w="28" w:type="dxa"/>
          <w:left w:w="28" w:type="dxa"/>
          <w:bottom w:w="28" w:type="dxa"/>
          <w:right w:w="28" w:type="dxa"/>
        </w:tblCellMar>
      </w:tblPr>
      <w:tblGrid>
        <w:gridCol w:w="740"/>
        <w:gridCol w:w="650"/>
        <w:gridCol w:w="650"/>
        <w:gridCol w:w="954"/>
        <w:gridCol w:w="3941"/>
        <w:gridCol w:w="696"/>
      </w:tblGrid>
      <w:tr>
        <w:trPr/>
        <w:tc>
          <w:tcPr>
            <w:tcW w:w="74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394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76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Summarized Statement of Operations Data for Asbury and Guarantor Subsidiaries</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millions)</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9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16,885.0 </w:t>
            </w:r>
          </w:p>
        </w:tc>
        <w:tc>
          <w:tcPr>
            <w:tcW w:w="6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2,860.4 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9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757.1 </w:t>
            </w:r>
          </w:p>
        </w:tc>
        <w:tc>
          <w:tcPr>
            <w:tcW w:w="6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CRITICAL ACCOUNTING POLICIES AND ESTIMATES </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Preparation of financial statements in conformity with accounting principles generally accepted in the United States of America requires management to make estimates and assumptions that affect the amounts of assets and liabilities and disclosures of contingent assets and liabilities, as of the date of the financial statements, and reported amounts of revenues and expenses during the periods presented. On an ongoing basis, management evaluates their estimates and assumptions and the effects of any such revisions are reflected in the financial statements, in the period in which they are determined to be necessary. Actual outcomes could differ materially from those estimates in a manner that could have a material effect on our consolidated financial statements. Set forth below are the policies and estimates that we have identified as critical to our business operations and understanding our results of operations, based on the high degree of judgment or complexity in their application.</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Goodwill and Manufacturer Franchise Rights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cost of an acquired business over the fair market value of its identifiable assets and liabilities. We have determined, based on how we integrate acquisitions into our business, how the components of our business share resources and interact with one another, and how we review the results of our operations, that we have several geographic region-based operating segments. We have determined the dealerships in each of our operating segments are components that are aggregated into geographic region-based operating segments which are also our reporting units for the purpose of testing goodwill for impairment, as they (i) have similar economic characteristics, (ii) offer similar products and services (all of our franchised dealerships offer new and used vehicles, parts and service, and arrange for third-party vehicle financing and the sale of insurance products), (iii) have similar customers, (iv) have similar distribution and marketing practices (all of our dealerships distribute products and services through dealership facilities that market to customers in similar ways) and (v) operate under similar regulatory environments. Our TCA segment also represents a reporting unit for the purpose of testing goodwill for impairment.</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Our only other significant identifiable intangible assets are our rights under franchise agreements with manufacturers, which are recorded at an individual franchise level. The fair value of our manufacturer franchise rights are determined at the acquisition date, by discounting the projected cash flows specific to each franchise. We have determined that manufacturer franchise rights have an indefinite life as there are no economic, contractual or other factors that limit their useful lives, and they are expected to generate cash flows indefinitely due to the historically long lives of the manufacturers' brand names. Furthermore, to the extent that any agreements evidencing our manufacturer franchise rights would expire, we expect that we would be able to renew those agreements in the ordinary course of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180"/>
        <w:ind w:left="0" w:right="0" w:firstLine="315"/>
        <w:jc w:val="left"/>
        <w:rPr/>
      </w:pPr>
      <w:r>
        <w:rPr>
          <w:rFonts w:ascii="Times New Roman;sans-serif" w:hAnsi="Times New Roman;sans-serif"/>
          <w:b w:val="false"/>
          <w:color w:val="000000"/>
          <w:sz w:val="20"/>
        </w:rPr>
        <w:t>We do not amortize goodwill and other intangible assets that are deemed to have indefinite lives. We review goodwill and manufacturer franchise rights for impairment annually as of October 1</w:t>
      </w:r>
      <w:r>
        <w:rPr>
          <w:rFonts w:ascii="Times New Roman;sans-serif" w:hAnsi="Times New Roman;sans-serif"/>
          <w:b w:val="false"/>
          <w:color w:val="000000"/>
          <w:sz w:val="13"/>
        </w:rPr>
        <w:t>st</w:t>
      </w:r>
      <w:r>
        <w:rPr>
          <w:rFonts w:ascii="Times New Roman;sans-serif" w:hAnsi="Times New Roman;sans-serif"/>
          <w:b w:val="false"/>
          <w:color w:val="000000"/>
          <w:sz w:val="20"/>
        </w:rPr>
        <w:t>, or more often if events or circumstances indicate that any impairment may have occurred. We have the option of performing a qualitative assessment of impairment to determine whether any further quantitative assessment for impairment is necessary. The option of whether or not to perform a qualitative assessment is made annually and may vary by reporting unit. Factors we consider in the qualitative assessment include general macroeconomic conditions, industry and market conditions, cost factors, overall financial performance of our reporting units, events or changes affecting the composition or carrying amount of the net assets of our reporting units, sustained decrease in our share price, and other relevant entity-specific events. If we elect to bypass the qualitative assessment or if we determine, on the basis of qualitative factors, that the fair value of the reporting unit is more likely than not less than the carrying amount, a quantitative test would be required.</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underperformance of certain stores, we performed quantitative impairment tests in the second quarter of 2024 and as of our annual impairment testing date, October 1, 2024. The results of the quantitative impairment testing identified that the carrying values of certain of our franchise rights intangible assets exceeded their fair value by $134.1 million and $14.1 million for the three months ended June 30, 2024 and December 31, 2024, respectively. In total, we recognized a $148.2 million pre-tax non-cash impairment charge related to our franchise rights intangible assets during the year ended December 31, 2024.</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a change in reporting units in our Dealerships segment, we performed qualitative and quantitative impairment tests of goodwill for the affected reporting units as of October 1, 2024, both before and after the change in reporting units. For all reporting units, for which a qualitative or quantitative impairment test was performed as of October 1, 2024, the fair values exceeded their carrying amounts. We believe that the fair value of our reporting units is substantially in excess of its carrying amount.</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recorded a goodwill impairment charge of $1.3 million during the year ended December 31, 2024 related to one dealership that met the assets held for sale criteria in June 2024. The quantitative impairment test of the disposal group included a comparison of the estimated fair value to the carrying value of the disposal group less cost to sell. This asset impairment charge is reflected in asset impairments in our consolidated statements of income. </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In total, we recognized asset impairments of $149.5 million and $117.2 million during the years ended December 31, 2024, and 2023, respectively. No franchise rights or goodwill impairments were identified in 2022.</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monitor developments related to macroeconomic conditions and the performance of our stores and reporting units. It is reasonably possible that future developments could have a negative effect on the estimates and assumptions utilized in our impairment assessments and could result in material impairment charges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risk from changes in interest rates on a significant portion of our outstanding indebtedness. Based on $1.67 billion of total variable interest rate debt, which includes our floor plan notes payable, amounts drawn on our used vehicle floor plan, revolver and certain mortgage liabilities, outstanding as of December 31, 2024, a 100 basis point change in interest rates would result in a change of $16.7 million in annual interest expense.</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periodically receive floor plan assistance from certain automobile manufacturers, which is primarily accounted for as a reduction in our new vehicle inventory cost. Floor plan assistance reduced our cost of sales for the years ended December 31, 2024, 2023, and 2022, by $99.7 million, $87.0 million and $85.8 million, respectively. We cannot provide assurance as to the future amount of floor plan assistance and these amounts may be negatively impacted due to future changes in interest rates.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As part of our strategy to mitigate our exposure to fluctuations in interest rates, we have various interest rate swap agreements. All of our interest rate swaps qualify for cash flow hedge accounting treatment and do not contain any ineffectiveness.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six interest rate swap agreements. These swaps are designed to provide a hedge against changes in variable rate cash flows regarding fluctuations in SOFR. All interest rate swap agreements with an inception date of 2021 and prior were amended on June 1, 2022 to provide a hedge against changes in variable rate cash flows regarding fluctuations in SOFR as compared to the previous benchmark rate of one-month LIBOR. The revisions to the interest rate swap agreements did not impact our hedge accounting. The following table provides information on the attributes of each swap as of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tbl>
      <w:tblPr>
        <w:tblW w:w="9705" w:type="dxa"/>
        <w:jc w:val="left"/>
        <w:tblInd w:w="0" w:type="dxa"/>
        <w:tblLayout w:type="fixed"/>
        <w:tblCellMar>
          <w:top w:w="28" w:type="dxa"/>
          <w:left w:w="28" w:type="dxa"/>
          <w:bottom w:w="28" w:type="dxa"/>
          <w:right w:w="28" w:type="dxa"/>
        </w:tblCellMar>
      </w:tblPr>
      <w:tblGrid>
        <w:gridCol w:w="456"/>
        <w:gridCol w:w="400"/>
        <w:gridCol w:w="403"/>
        <w:gridCol w:w="109"/>
        <w:gridCol w:w="109"/>
        <w:gridCol w:w="109"/>
        <w:gridCol w:w="504"/>
        <w:gridCol w:w="1471"/>
        <w:gridCol w:w="260"/>
        <w:gridCol w:w="109"/>
        <w:gridCol w:w="109"/>
        <w:gridCol w:w="109"/>
        <w:gridCol w:w="284"/>
        <w:gridCol w:w="829"/>
        <w:gridCol w:w="146"/>
        <w:gridCol w:w="109"/>
        <w:gridCol w:w="109"/>
        <w:gridCol w:w="109"/>
        <w:gridCol w:w="493"/>
        <w:gridCol w:w="1441"/>
        <w:gridCol w:w="255"/>
        <w:gridCol w:w="109"/>
        <w:gridCol w:w="109"/>
        <w:gridCol w:w="109"/>
        <w:gridCol w:w="425"/>
        <w:gridCol w:w="425"/>
        <w:gridCol w:w="605"/>
      </w:tblGrid>
      <w:tr>
        <w:trPr/>
        <w:tc>
          <w:tcPr>
            <w:tcW w:w="45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Inception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 Value at Inception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 Value at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 Date</w:t>
            </w:r>
          </w:p>
        </w:tc>
      </w:tr>
      <w:tr>
        <w:trPr/>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2022</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26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258.8 </w:t>
            </w:r>
          </w:p>
        </w:tc>
        <w:tc>
          <w:tcPr>
            <w:tcW w:w="14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228.8 </w:t>
            </w:r>
          </w:p>
        </w:tc>
        <w:tc>
          <w:tcPr>
            <w:tcW w:w="25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2026</w:t>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2031</w:t>
            </w:r>
          </w:p>
        </w:tc>
      </w:tr>
      <w:tr>
        <w:trPr/>
        <w:tc>
          <w:tcPr>
            <w:tcW w:w="125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2021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184.4 </w:t>
            </w:r>
          </w:p>
        </w:tc>
        <w:tc>
          <w:tcPr>
            <w:tcW w:w="26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158.6 </w:t>
            </w:r>
          </w:p>
        </w:tc>
        <w:tc>
          <w:tcPr>
            <w:tcW w:w="14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110.6 </w:t>
            </w:r>
          </w:p>
        </w:tc>
        <w:tc>
          <w:tcPr>
            <w:tcW w:w="25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2031</w:t>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2028</w:t>
            </w:r>
          </w:p>
        </w:tc>
      </w:tr>
      <w:tr>
        <w:trPr/>
        <w:tc>
          <w:tcPr>
            <w:tcW w:w="125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2020</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85.5 </w:t>
            </w:r>
          </w:p>
        </w:tc>
        <w:tc>
          <w:tcPr>
            <w:tcW w:w="26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4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25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2025</w:t>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2025</w:t>
            </w:r>
          </w:p>
        </w:tc>
      </w:tr>
    </w:tbl>
    <w:p>
      <w:pPr>
        <w:pStyle w:val="TextBody"/>
        <w:bidi w:val="0"/>
        <w:spacing w:lineRule="auto" w:line="288" w:before="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These interest rate swaps are marked to market at each reporting date and any unrealized gains or losses are included in accumulated other comprehensive income and reclassified to other interest expense in the same period or periods during which the hedged transactions affect earnings. For additional information about the effect of our derivative instruments, please refer to Note 15 "Financial Instruments and Fair Value" within the accompanying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pPr>
      <w:r>
        <w:rPr>
          <w:rFonts w:ascii="Times New Roman;sans-serif" w:hAnsi="Times New Roman;sans-serif"/>
          <w:b/>
          <w:color w:val="000000"/>
          <w:sz w:val="20"/>
        </w:rPr>
        <w:t>Item 8.</w:t>
      </w:r>
      <w:r>
        <w:rPr>
          <w:rFonts w:ascii="Times New Roman;sans-serif" w:hAnsi="Times New Roman;sans-serif"/>
          <w:b/>
          <w:color w:val="000000"/>
          <w:sz w:val="20"/>
        </w:rPr>
        <w:t>Financial Statements and Supplementary Data</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tbl>
      <w:tblPr>
        <w:tblW w:w="9510" w:type="dxa"/>
        <w:jc w:val="center"/>
        <w:tblInd w:w="0" w:type="dxa"/>
        <w:tblLayout w:type="fixed"/>
        <w:tblCellMar>
          <w:top w:w="28" w:type="dxa"/>
          <w:left w:w="28" w:type="dxa"/>
          <w:bottom w:w="28" w:type="dxa"/>
          <w:right w:w="28" w:type="dxa"/>
        </w:tblCellMar>
      </w:tblPr>
      <w:tblGrid>
        <w:gridCol w:w="3236"/>
        <w:gridCol w:w="2844"/>
        <w:gridCol w:w="2859"/>
        <w:gridCol w:w="167"/>
        <w:gridCol w:w="167"/>
        <w:gridCol w:w="237"/>
      </w:tblGrid>
      <w:tr>
        <w:trPr/>
        <w:tc>
          <w:tcPr>
            <w:tcW w:w="3236" w:type="dxa"/>
            <w:tcBorders/>
            <w:vAlign w:val="center"/>
          </w:tcPr>
          <w:p>
            <w:pPr>
              <w:pStyle w:val="TableContents"/>
              <w:bidi w:val="0"/>
              <w:spacing w:before="0" w:after="283"/>
              <w:jc w:val="left"/>
              <w:rPr>
                <w:sz w:val="4"/>
                <w:szCs w:val="4"/>
              </w:rPr>
            </w:pPr>
            <w:r>
              <w:rPr>
                <w:sz w:val="4"/>
                <w:szCs w:val="4"/>
              </w:rPr>
            </w:r>
          </w:p>
        </w:tc>
        <w:tc>
          <w:tcPr>
            <w:tcW w:w="2844"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0a854aaee8422dbfe3629dd4ba30c0_70">
              <w:r>
                <w:rPr>
                  <w:rStyle w:val="InternetLink"/>
                  <w:rFonts w:ascii="Times New Roman;sans-serif" w:hAnsi="Times New Roman;sans-serif"/>
                  <w:b w:val="false"/>
                  <w:color w:val="0000FF"/>
                  <w:sz w:val="20"/>
                  <w:u w:val="single"/>
                </w:rPr>
                <w:t xml:space="preserve">Reports of Independent Registered Public Accounting Firm (PCAOB ID: </w:t>
              </w:r>
            </w:hyperlink>
            <w:r>
              <w:rPr>
                <w:rFonts w:ascii="Times New Roman;sans-serif" w:hAnsi="Times New Roman;sans-serif"/>
                <w:b w:val="false"/>
                <w:color w:val="000000"/>
                <w:sz w:val="20"/>
              </w:rPr>
              <w:t>42)</w:t>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970a854aaee8422dbfe3629dd4ba30c0_70">
              <w:r>
                <w:rPr>
                  <w:rStyle w:val="InternetLink"/>
                  <w:rFonts w:ascii="Times New Roman;sans-serif" w:hAnsi="Times New Roman;sans-serif"/>
                  <w:b w:val="false"/>
                  <w:color w:val="0000FF"/>
                  <w:sz w:val="20"/>
                  <w:u w:val="single"/>
                </w:rPr>
                <w:t>69</w:t>
              </w:r>
            </w:hyperlink>
          </w:p>
        </w:tc>
      </w:tr>
      <w:tr>
        <w:trPr/>
        <w:tc>
          <w:tcPr>
            <w:tcW w:w="8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0a854aaee8422dbfe3629dd4ba30c0_76">
              <w:r>
                <w:rPr>
                  <w:rStyle w:val="InternetLink"/>
                  <w:rFonts w:ascii="Times New Roman;sans-serif" w:hAnsi="Times New Roman;sans-serif"/>
                  <w:b w:val="false"/>
                  <w:color w:val="000080"/>
                  <w:sz w:val="20"/>
                  <w:u w:val="single"/>
                </w:rPr>
                <w:t>Consolidated Balance Sheets as of December 31, 202</w:t>
              </w:r>
            </w:hyperlink>
            <w:hyperlink w:anchor="i970a854aaee8422dbfe3629dd4ba30c0_76">
              <w:r>
                <w:rPr>
                  <w:rStyle w:val="InternetLink"/>
                  <w:rFonts w:ascii="Times New Roman;sans-serif" w:hAnsi="Times New Roman;sans-serif"/>
                  <w:b w:val="false"/>
                  <w:color w:val="000080"/>
                  <w:sz w:val="20"/>
                  <w:u w:val="single"/>
                </w:rPr>
                <w:t>4</w:t>
              </w:r>
            </w:hyperlink>
            <w:hyperlink w:anchor="i970a854aaee8422dbfe3629dd4ba30c0_76">
              <w:r>
                <w:rPr>
                  <w:rStyle w:val="InternetLink"/>
                  <w:rFonts w:ascii="Times New Roman;sans-serif" w:hAnsi="Times New Roman;sans-serif"/>
                  <w:b w:val="false"/>
                  <w:color w:val="000080"/>
                  <w:sz w:val="20"/>
                  <w:u w:val="single"/>
                </w:rPr>
                <w:t xml:space="preserve"> and 202</w:t>
              </w:r>
            </w:hyperlink>
            <w:hyperlink w:anchor="i970a854aaee8422dbfe3629dd4ba30c0_76">
              <w:r>
                <w:rPr>
                  <w:rStyle w:val="InternetLink"/>
                  <w:rFonts w:ascii="Times New Roman;sans-serif" w:hAnsi="Times New Roman;sans-serif"/>
                  <w:b w:val="false"/>
                  <w:color w:val="000080"/>
                  <w:sz w:val="20"/>
                  <w:u w:val="single"/>
                </w:rPr>
                <w:t>3</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70a854aaee8422dbfe3629dd4ba30c0_76">
              <w:r>
                <w:rPr>
                  <w:rStyle w:val="InternetLink"/>
                  <w:rFonts w:ascii="Times New Roman;sans-serif" w:hAnsi="Times New Roman;sans-serif"/>
                  <w:b w:val="false"/>
                  <w:color w:val="0000FF"/>
                  <w:sz w:val="20"/>
                  <w:u w:val="single"/>
                </w:rPr>
                <w:t>73</w:t>
              </w:r>
            </w:hyperlink>
          </w:p>
        </w:tc>
      </w:tr>
      <w:tr>
        <w:trPr/>
        <w:tc>
          <w:tcPr>
            <w:tcW w:w="8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0a854aaee8422dbfe3629dd4ba30c0_79">
              <w:r>
                <w:rPr>
                  <w:rStyle w:val="InternetLink"/>
                  <w:rFonts w:ascii="Times New Roman;sans-serif" w:hAnsi="Times New Roman;sans-serif"/>
                  <w:b w:val="false"/>
                  <w:color w:val="000080"/>
                  <w:sz w:val="20"/>
                  <w:u w:val="single"/>
                </w:rPr>
                <w:t>Consolidated Statements of Income for the Years Ended December 31, 202</w:t>
              </w:r>
            </w:hyperlink>
            <w:hyperlink w:anchor="i970a854aaee8422dbfe3629dd4ba30c0_79">
              <w:r>
                <w:rPr>
                  <w:rStyle w:val="InternetLink"/>
                  <w:rFonts w:ascii="Times New Roman;sans-serif" w:hAnsi="Times New Roman;sans-serif"/>
                  <w:b w:val="false"/>
                  <w:color w:val="000080"/>
                  <w:sz w:val="20"/>
                  <w:u w:val="single"/>
                </w:rPr>
                <w:t>4</w:t>
              </w:r>
            </w:hyperlink>
            <w:hyperlink w:anchor="i970a854aaee8422dbfe3629dd4ba30c0_79">
              <w:r>
                <w:rPr>
                  <w:rStyle w:val="InternetLink"/>
                  <w:rFonts w:ascii="Times New Roman;sans-serif" w:hAnsi="Times New Roman;sans-serif"/>
                  <w:b w:val="false"/>
                  <w:color w:val="000080"/>
                  <w:sz w:val="20"/>
                  <w:u w:val="single"/>
                </w:rPr>
                <w:t>, 202</w:t>
              </w:r>
            </w:hyperlink>
            <w:hyperlink w:anchor="i970a854aaee8422dbfe3629dd4ba30c0_79">
              <w:r>
                <w:rPr>
                  <w:rStyle w:val="InternetLink"/>
                  <w:rFonts w:ascii="Times New Roman;sans-serif" w:hAnsi="Times New Roman;sans-serif"/>
                  <w:b w:val="false"/>
                  <w:color w:val="000080"/>
                  <w:sz w:val="20"/>
                  <w:u w:val="single"/>
                </w:rPr>
                <w:t>3</w:t>
              </w:r>
            </w:hyperlink>
            <w:hyperlink w:anchor="i970a854aaee8422dbfe3629dd4ba30c0_79">
              <w:r>
                <w:rPr>
                  <w:rStyle w:val="InternetLink"/>
                  <w:rFonts w:ascii="Times New Roman;sans-serif" w:hAnsi="Times New Roman;sans-serif"/>
                  <w:b w:val="false"/>
                  <w:color w:val="000080"/>
                  <w:sz w:val="20"/>
                  <w:u w:val="single"/>
                </w:rPr>
                <w:t>, and 202</w:t>
              </w:r>
            </w:hyperlink>
            <w:hyperlink w:anchor="i970a854aaee8422dbfe3629dd4ba30c0_79">
              <w:r>
                <w:rPr>
                  <w:rStyle w:val="InternetLink"/>
                  <w:rFonts w:ascii="Times New Roman;sans-serif" w:hAnsi="Times New Roman;sans-serif"/>
                  <w:b w:val="false"/>
                  <w:color w:val="000080"/>
                  <w:sz w:val="20"/>
                  <w:u w:val="single"/>
                </w:rPr>
                <w:t>2</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70a854aaee8422dbfe3629dd4ba30c0_79">
              <w:r>
                <w:rPr>
                  <w:rStyle w:val="InternetLink"/>
                  <w:rFonts w:ascii="Times New Roman;sans-serif" w:hAnsi="Times New Roman;sans-serif"/>
                  <w:b w:val="false"/>
                  <w:color w:val="0000FF"/>
                  <w:sz w:val="20"/>
                  <w:u w:val="single"/>
                </w:rPr>
                <w:t>74</w:t>
              </w:r>
            </w:hyperlink>
          </w:p>
        </w:tc>
      </w:tr>
      <w:tr>
        <w:trPr/>
        <w:tc>
          <w:tcPr>
            <w:tcW w:w="8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0a854aaee8422dbfe3629dd4ba30c0_82">
              <w:r>
                <w:rPr>
                  <w:rStyle w:val="InternetLink"/>
                  <w:rFonts w:ascii="Times New Roman;sans-serif" w:hAnsi="Times New Roman;sans-serif"/>
                  <w:b w:val="false"/>
                  <w:color w:val="000080"/>
                  <w:sz w:val="20"/>
                  <w:u w:val="single"/>
                </w:rPr>
                <w:t>Consolidated Statements of Comprehensive Income for the Years Ended December 31, 202</w:t>
              </w:r>
            </w:hyperlink>
            <w:hyperlink w:anchor="i970a854aaee8422dbfe3629dd4ba30c0_82">
              <w:r>
                <w:rPr>
                  <w:rStyle w:val="InternetLink"/>
                  <w:rFonts w:ascii="Times New Roman;sans-serif" w:hAnsi="Times New Roman;sans-serif"/>
                  <w:b w:val="false"/>
                  <w:color w:val="000080"/>
                  <w:sz w:val="20"/>
                  <w:u w:val="single"/>
                </w:rPr>
                <w:t>4</w:t>
              </w:r>
            </w:hyperlink>
            <w:hyperlink w:anchor="i970a854aaee8422dbfe3629dd4ba30c0_82">
              <w:r>
                <w:rPr>
                  <w:rStyle w:val="InternetLink"/>
                  <w:rFonts w:ascii="Times New Roman;sans-serif" w:hAnsi="Times New Roman;sans-serif"/>
                  <w:b w:val="false"/>
                  <w:color w:val="000080"/>
                  <w:sz w:val="20"/>
                  <w:u w:val="single"/>
                </w:rPr>
                <w:t>, 202</w:t>
              </w:r>
            </w:hyperlink>
            <w:hyperlink w:anchor="i970a854aaee8422dbfe3629dd4ba30c0_82">
              <w:r>
                <w:rPr>
                  <w:rStyle w:val="InternetLink"/>
                  <w:rFonts w:ascii="Times New Roman;sans-serif" w:hAnsi="Times New Roman;sans-serif"/>
                  <w:b w:val="false"/>
                  <w:color w:val="000080"/>
                  <w:sz w:val="20"/>
                  <w:u w:val="single"/>
                </w:rPr>
                <w:t>3</w:t>
              </w:r>
            </w:hyperlink>
            <w:hyperlink w:anchor="i970a854aaee8422dbfe3629dd4ba30c0_82">
              <w:r>
                <w:rPr>
                  <w:rStyle w:val="InternetLink"/>
                  <w:rFonts w:ascii="Times New Roman;sans-serif" w:hAnsi="Times New Roman;sans-serif"/>
                  <w:b w:val="false"/>
                  <w:color w:val="000080"/>
                  <w:sz w:val="20"/>
                  <w:u w:val="single"/>
                </w:rPr>
                <w:t>, and 202</w:t>
              </w:r>
            </w:hyperlink>
            <w:hyperlink w:anchor="i970a854aaee8422dbfe3629dd4ba30c0_82">
              <w:r>
                <w:rPr>
                  <w:rStyle w:val="InternetLink"/>
                  <w:rFonts w:ascii="Times New Roman;sans-serif" w:hAnsi="Times New Roman;sans-serif"/>
                  <w:b w:val="false"/>
                  <w:color w:val="000080"/>
                  <w:sz w:val="20"/>
                  <w:u w:val="single"/>
                </w:rPr>
                <w:t>2</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70a854aaee8422dbfe3629dd4ba30c0_82">
              <w:r>
                <w:rPr>
                  <w:rStyle w:val="InternetLink"/>
                  <w:rFonts w:ascii="Times New Roman;sans-serif" w:hAnsi="Times New Roman;sans-serif"/>
                  <w:b w:val="false"/>
                  <w:color w:val="0000FF"/>
                  <w:sz w:val="20"/>
                  <w:u w:val="single"/>
                </w:rPr>
                <w:t>75</w:t>
              </w:r>
            </w:hyperlink>
          </w:p>
        </w:tc>
      </w:tr>
      <w:tr>
        <w:trPr/>
        <w:tc>
          <w:tcPr>
            <w:tcW w:w="8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0a854aaee8422dbfe3629dd4ba30c0_85">
              <w:r>
                <w:rPr>
                  <w:rStyle w:val="InternetLink"/>
                  <w:rFonts w:ascii="Times New Roman;sans-serif" w:hAnsi="Times New Roman;sans-serif"/>
                  <w:b w:val="false"/>
                  <w:color w:val="000080"/>
                  <w:sz w:val="20"/>
                  <w:u w:val="single"/>
                </w:rPr>
                <w:t>Consolidated Statements of Shareholders' Equity for the Years Ended December 31, 202</w:t>
              </w:r>
            </w:hyperlink>
            <w:hyperlink w:anchor="i970a854aaee8422dbfe3629dd4ba30c0_85">
              <w:r>
                <w:rPr>
                  <w:rStyle w:val="InternetLink"/>
                  <w:rFonts w:ascii="Times New Roman;sans-serif" w:hAnsi="Times New Roman;sans-serif"/>
                  <w:b w:val="false"/>
                  <w:color w:val="000080"/>
                  <w:sz w:val="20"/>
                  <w:u w:val="single"/>
                </w:rPr>
                <w:t>4</w:t>
              </w:r>
            </w:hyperlink>
            <w:hyperlink w:anchor="i970a854aaee8422dbfe3629dd4ba30c0_85">
              <w:r>
                <w:rPr>
                  <w:rStyle w:val="InternetLink"/>
                  <w:rFonts w:ascii="Times New Roman;sans-serif" w:hAnsi="Times New Roman;sans-serif"/>
                  <w:b w:val="false"/>
                  <w:color w:val="000080"/>
                  <w:sz w:val="20"/>
                  <w:u w:val="single"/>
                </w:rPr>
                <w:t>, 202</w:t>
              </w:r>
            </w:hyperlink>
            <w:hyperlink w:anchor="i970a854aaee8422dbfe3629dd4ba30c0_85">
              <w:r>
                <w:rPr>
                  <w:rStyle w:val="InternetLink"/>
                  <w:rFonts w:ascii="Times New Roman;sans-serif" w:hAnsi="Times New Roman;sans-serif"/>
                  <w:b w:val="false"/>
                  <w:color w:val="000080"/>
                  <w:sz w:val="20"/>
                  <w:u w:val="single"/>
                </w:rPr>
                <w:t>3</w:t>
              </w:r>
            </w:hyperlink>
            <w:hyperlink w:anchor="i970a854aaee8422dbfe3629dd4ba30c0_85">
              <w:r>
                <w:rPr>
                  <w:rStyle w:val="InternetLink"/>
                  <w:rFonts w:ascii="Times New Roman;sans-serif" w:hAnsi="Times New Roman;sans-serif"/>
                  <w:b w:val="false"/>
                  <w:color w:val="000080"/>
                  <w:sz w:val="20"/>
                  <w:u w:val="single"/>
                </w:rPr>
                <w:t>, and 202</w:t>
              </w:r>
            </w:hyperlink>
            <w:hyperlink w:anchor="i970a854aaee8422dbfe3629dd4ba30c0_85">
              <w:r>
                <w:rPr>
                  <w:rStyle w:val="InternetLink"/>
                  <w:rFonts w:ascii="Times New Roman;sans-serif" w:hAnsi="Times New Roman;sans-serif"/>
                  <w:b w:val="false"/>
                  <w:color w:val="000080"/>
                  <w:sz w:val="20"/>
                  <w:u w:val="single"/>
                </w:rPr>
                <w:t>2</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70a854aaee8422dbfe3629dd4ba30c0_85">
              <w:r>
                <w:rPr>
                  <w:rStyle w:val="InternetLink"/>
                  <w:rFonts w:ascii="Times New Roman;sans-serif" w:hAnsi="Times New Roman;sans-serif"/>
                  <w:b w:val="false"/>
                  <w:color w:val="0000FF"/>
                  <w:sz w:val="20"/>
                  <w:u w:val="single"/>
                </w:rPr>
                <w:t>76</w:t>
              </w:r>
            </w:hyperlink>
          </w:p>
        </w:tc>
      </w:tr>
      <w:tr>
        <w:trPr/>
        <w:tc>
          <w:tcPr>
            <w:tcW w:w="8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0a854aaee8422dbfe3629dd4ba30c0_88">
              <w:r>
                <w:rPr>
                  <w:rStyle w:val="InternetLink"/>
                  <w:rFonts w:ascii="Times New Roman;sans-serif" w:hAnsi="Times New Roman;sans-serif"/>
                  <w:b w:val="false"/>
                  <w:color w:val="000080"/>
                  <w:sz w:val="20"/>
                  <w:u w:val="single"/>
                </w:rPr>
                <w:t>Consolidated Statements of Cash Flows for the Years Ended December 31, 202</w:t>
              </w:r>
            </w:hyperlink>
            <w:hyperlink w:anchor="i970a854aaee8422dbfe3629dd4ba30c0_88">
              <w:r>
                <w:rPr>
                  <w:rStyle w:val="InternetLink"/>
                  <w:rFonts w:ascii="Times New Roman;sans-serif" w:hAnsi="Times New Roman;sans-serif"/>
                  <w:b w:val="false"/>
                  <w:color w:val="000080"/>
                  <w:sz w:val="20"/>
                  <w:u w:val="single"/>
                </w:rPr>
                <w:t>4</w:t>
              </w:r>
            </w:hyperlink>
            <w:hyperlink w:anchor="i970a854aaee8422dbfe3629dd4ba30c0_88">
              <w:r>
                <w:rPr>
                  <w:rStyle w:val="InternetLink"/>
                  <w:rFonts w:ascii="Times New Roman;sans-serif" w:hAnsi="Times New Roman;sans-serif"/>
                  <w:b w:val="false"/>
                  <w:color w:val="000080"/>
                  <w:sz w:val="20"/>
                  <w:u w:val="single"/>
                </w:rPr>
                <w:t>, 202</w:t>
              </w:r>
            </w:hyperlink>
            <w:hyperlink w:anchor="i970a854aaee8422dbfe3629dd4ba30c0_88">
              <w:r>
                <w:rPr>
                  <w:rStyle w:val="InternetLink"/>
                  <w:rFonts w:ascii="Times New Roman;sans-serif" w:hAnsi="Times New Roman;sans-serif"/>
                  <w:b w:val="false"/>
                  <w:color w:val="000080"/>
                  <w:sz w:val="20"/>
                  <w:u w:val="single"/>
                </w:rPr>
                <w:t>3</w:t>
              </w:r>
            </w:hyperlink>
            <w:hyperlink w:anchor="i970a854aaee8422dbfe3629dd4ba30c0_88">
              <w:r>
                <w:rPr>
                  <w:rStyle w:val="InternetLink"/>
                  <w:rFonts w:ascii="Times New Roman;sans-serif" w:hAnsi="Times New Roman;sans-serif"/>
                  <w:b w:val="false"/>
                  <w:color w:val="000080"/>
                  <w:sz w:val="20"/>
                  <w:u w:val="single"/>
                </w:rPr>
                <w:t>, and 202</w:t>
              </w:r>
            </w:hyperlink>
            <w:hyperlink w:anchor="i970a854aaee8422dbfe3629dd4ba30c0_88">
              <w:r>
                <w:rPr>
                  <w:rStyle w:val="InternetLink"/>
                  <w:rFonts w:ascii="Times New Roman;sans-serif" w:hAnsi="Times New Roman;sans-serif"/>
                  <w:b w:val="false"/>
                  <w:color w:val="000080"/>
                  <w:sz w:val="20"/>
                  <w:u w:val="single"/>
                </w:rPr>
                <w:t>2</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70a854aaee8422dbfe3629dd4ba30c0_88">
              <w:r>
                <w:rPr>
                  <w:rStyle w:val="InternetLink"/>
                  <w:rFonts w:ascii="Times New Roman;sans-serif" w:hAnsi="Times New Roman;sans-serif"/>
                  <w:b w:val="false"/>
                  <w:color w:val="0000FF"/>
                  <w:sz w:val="20"/>
                  <w:u w:val="single"/>
                </w:rPr>
                <w:t>77</w:t>
              </w:r>
            </w:hyperlink>
          </w:p>
        </w:tc>
      </w:tr>
      <w:tr>
        <w:trPr/>
        <w:tc>
          <w:tcPr>
            <w:tcW w:w="8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0a854aaee8422dbfe3629dd4ba30c0_91">
              <w:r>
                <w:rPr>
                  <w:rStyle w:val="InternetLink"/>
                  <w:rFonts w:ascii="Times New Roman;sans-serif" w:hAnsi="Times New Roman;sans-serif"/>
                  <w:b w:val="false"/>
                  <w:color w:val="0000FF"/>
                  <w:sz w:val="20"/>
                  <w:u w:val="single"/>
                </w:rPr>
                <w:t>Notes to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70a854aaee8422dbfe3629dd4ba30c0_91">
              <w:r>
                <w:rPr>
                  <w:rStyle w:val="InternetLink"/>
                  <w:rFonts w:ascii="Times New Roman;sans-serif" w:hAnsi="Times New Roman;sans-serif"/>
                  <w:b w:val="false"/>
                  <w:color w:val="0000FF"/>
                  <w:sz w:val="20"/>
                  <w:u w:val="single"/>
                </w:rPr>
                <w:t>79</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the Shareholders and the Board of Directors of Asbury Automotive Group, Inc.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Opinion on the Financial Statements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Asbury Automotive Group, Inc. (the Company) as of December 31, 2024 and 2023, the related consolidated statements of income, comprehensive income, shareholders'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26, 2025 expressed an adverse opinion thereon.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Basis for Opinion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before="80" w:after="180"/>
        <w:jc w:val="left"/>
        <w:rPr/>
      </w:pPr>
      <w:r>
        <w:rPr/>
      </w:r>
    </w:p>
    <w:tbl>
      <w:tblPr>
        <w:tblW w:w="10205" w:type="dxa"/>
        <w:jc w:val="left"/>
        <w:tblInd w:w="0" w:type="dxa"/>
        <w:tblLayout w:type="fixed"/>
        <w:tblCellMar>
          <w:top w:w="28" w:type="dxa"/>
          <w:left w:w="28" w:type="dxa"/>
          <w:bottom w:w="28" w:type="dxa"/>
          <w:right w:w="28" w:type="dxa"/>
        </w:tblCellMar>
      </w:tblPr>
      <w:tblGrid>
        <w:gridCol w:w="463"/>
        <w:gridCol w:w="407"/>
        <w:gridCol w:w="410"/>
        <w:gridCol w:w="2795"/>
        <w:gridCol w:w="2533"/>
        <w:gridCol w:w="3597"/>
      </w:tblGrid>
      <w:tr>
        <w:trPr/>
        <w:tc>
          <w:tcPr>
            <w:tcW w:w="46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2533"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68" w:before="80" w:after="180"/>
              <w:jc w:val="both"/>
              <w:rPr>
                <w:rFonts w:ascii="Times New Roman;sans-serif" w:hAnsi="Times New Roman;sans-serif"/>
                <w:b/>
                <w:i/>
                <w:color w:val="000000"/>
                <w:sz w:val="20"/>
              </w:rPr>
            </w:pPr>
            <w:r>
              <w:rPr>
                <w:rFonts w:ascii="Times New Roman;sans-serif" w:hAnsi="Times New Roman;sans-serif"/>
                <w:b/>
                <w:i/>
                <w:color w:val="000000"/>
                <w:sz w:val="20"/>
              </w:rPr>
              <w:t>Goodwill and Manufacturer Franchise Rights Interim Quantitative Impairment Assessment</w:t>
            </w:r>
          </w:p>
        </w:tc>
      </w:tr>
      <w:tr>
        <w:trPr/>
        <w:tc>
          <w:tcPr>
            <w:tcW w:w="12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8925" w:type="dxa"/>
            <w:gridSpan w:val="3"/>
            <w:tcBorders/>
            <w:tcMar>
              <w:top w:w="0" w:type="dxa"/>
              <w:left w:w="0" w:type="dxa"/>
              <w:bottom w:w="0" w:type="dxa"/>
              <w:right w:w="0" w:type="dxa"/>
            </w:tcMar>
            <w:vAlign w:val="center"/>
          </w:tcPr>
          <w:p>
            <w:pPr>
              <w:pStyle w:val="TableContents"/>
              <w:bidi w:val="0"/>
              <w:spacing w:lineRule="auto" w:line="268" w:before="0" w:after="283"/>
              <w:jc w:val="both"/>
              <w:rPr/>
            </w:pPr>
            <w:r>
              <w:rPr>
                <w:rFonts w:ascii="Times New Roman;sans-serif" w:hAnsi="Times New Roman;sans-serif"/>
                <w:b w:val="false"/>
                <w:color w:val="000000"/>
                <w:sz w:val="20"/>
              </w:rPr>
              <w:t xml:space="preserve">At December 31, 2024, the Company’s goodwill and manufacturer franchise rights had an aggregate carrying value of approximately $2,044.7 million and $1,911.7 million, respectively, as disclosed in Note 10 of the consolidated financial statements. Manufacturer franchise rights and goodwill are assessed for impairment annually as of October 1st, or more often if events or circumstances indicate that impairment may have occurred. If the fair value of a franchise right or a goodwill reporting unit is less than its carrying amount, an impairment loss is recognized in an amount equal to the difference. </w:t>
              <w:br/>
            </w:r>
            <w:r>
              <w:rPr>
                <w:rFonts w:ascii="Times New Roman;sans-serif" w:hAnsi="Times New Roman;sans-serif"/>
                <w:b w:val="false"/>
                <w:sz w:val="20"/>
              </w:rPr>
              <w:br/>
            </w:r>
            <w:r>
              <w:rPr>
                <w:rFonts w:ascii="Times New Roman;sans-serif" w:hAnsi="Times New Roman;sans-serif"/>
                <w:b w:val="false"/>
                <w:color w:val="000000"/>
                <w:sz w:val="20"/>
              </w:rPr>
              <w:t>We identified as a critical audit matter the assessment of the Company’s projected cash flows utilized in the interim quantitative impairment tests over certain manufacturer franchise rights and the goodwill of the Arizona and Utah reporting units. In connection with its interim quantitative impairment assessment performed during the second quarter 2024, the Company recorded impairment charges of $134.1 million related to manufacturer franchise rights, as disclosed in Note 10 of the consolidated financial statements, and there was no impairment charge recorded related to goodwill as the carrying values of the Arizona and Utah reporting units did not exceed their fair value.</w:t>
              <w:br/>
            </w:r>
            <w:r>
              <w:rPr>
                <w:rFonts w:ascii="Times New Roman;sans-serif" w:hAnsi="Times New Roman;sans-serif"/>
                <w:b w:val="false"/>
                <w:sz w:val="20"/>
              </w:rPr>
              <w:br/>
            </w:r>
            <w:r>
              <w:rPr>
                <w:rFonts w:ascii="Times New Roman;sans-serif" w:hAnsi="Times New Roman;sans-serif"/>
                <w:b w:val="false"/>
                <w:color w:val="000000"/>
                <w:sz w:val="20"/>
              </w:rPr>
              <w:t>Auditing the Company's fair value estimates used in its impairment assessment was complex due to the estimation uncertainty required to determine the fair value of the franchise rights and the fair value of the reporting units subject to the interim quantitative impairment assessment. The Company's model for estimating the fair value of these assets was sensitive to changes in significant market participant assumptions related to the cash flows directly attributable to the franchise rights and goodwill reporting units, including the revenue growth rates, which are forward-looking and affected by expectations about economic, industry and company-specific factors.</w:t>
            </w:r>
          </w:p>
        </w:tc>
      </w:tr>
      <w:tr>
        <w:trPr/>
        <w:tc>
          <w:tcPr>
            <w:tcW w:w="12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8925" w:type="dxa"/>
            <w:gridSpan w:val="3"/>
            <w:tcBorders/>
            <w:tcMar>
              <w:top w:w="0" w:type="dxa"/>
              <w:left w:w="0" w:type="dxa"/>
              <w:bottom w:w="0" w:type="dxa"/>
              <w:right w:w="0" w:type="dxa"/>
            </w:tcMar>
            <w:vAlign w:val="center"/>
          </w:tcPr>
          <w:p>
            <w:pPr>
              <w:pStyle w:val="TableContents"/>
              <w:bidi w:val="0"/>
              <w:spacing w:lineRule="auto" w:line="268" w:before="0" w:after="283"/>
              <w:jc w:val="both"/>
              <w:rPr/>
            </w:pPr>
            <w:r>
              <w:rPr>
                <w:rFonts w:ascii="Times New Roman;sans-serif" w:hAnsi="Times New Roman;sans-serif"/>
                <w:b w:val="false"/>
                <w:color w:val="000000"/>
                <w:sz w:val="20"/>
              </w:rPr>
              <w:t>We obtained an understanding, evaluated the design and tested the operating effectiveness of the Company’s controls over the goodwill and manufacturer franchise rights fair value estimates used in conjunction with its interim quantitative impairment assessments. This included testing controls over management’s review of the model, significant assumptions, other inputs and the completeness and accuracy of the data used in the measurements.</w:t>
              <w:br/>
            </w:r>
            <w:r>
              <w:rPr>
                <w:rFonts w:ascii="Times New Roman;sans-serif" w:hAnsi="Times New Roman;sans-serif"/>
                <w:b w:val="false"/>
                <w:sz w:val="20"/>
              </w:rPr>
              <w:br/>
            </w:r>
            <w:r>
              <w:rPr>
                <w:rFonts w:ascii="Times New Roman;sans-serif" w:hAnsi="Times New Roman;sans-serif"/>
                <w:b w:val="false"/>
                <w:color w:val="000000"/>
                <w:sz w:val="20"/>
              </w:rPr>
              <w:t xml:space="preserve">Procedures performed to test the fair value of the Company's goodwill and manufacturer franchise rights as part of the interim quantitative impairment assessments included, among others, evaluating the Company's use of the discounted cash flows method, testing of the revenue growth assumption used in the valuation model used to develop the projected financial information, involving our valuation specialists to assist in the testing of the appropriateness of the model used, and testing the completeness and accuracy of the underlying data. We compared the assumptions to current industry, market and economic trends, as well as to the Company's historical results. In addition, we assessed the accuracy of the Company’s projections by comparing them to actual operating results and evaluated the Company’s intent and ability to carry out a particular course of action by evaluating the Company’s past history of carrying out its stated intentions. We also performed a sensitivity analysis of the revenue growth assumption to evaluate the potential change in the fair value of the goodwill and manufacturer franchise rights resulting from changes in underlying assumptions. </w:t>
            </w:r>
          </w:p>
        </w:tc>
      </w:tr>
    </w:tbl>
    <w:p>
      <w:pPr>
        <w:pStyle w:val="TextBody"/>
        <w:bidi w:val="0"/>
        <w:spacing w:before="80" w:after="180"/>
        <w:jc w:val="left"/>
        <w:rPr/>
      </w:pPr>
      <w:r>
        <w:rPr/>
      </w:r>
    </w:p>
    <w:p>
      <w:pPr>
        <w:pStyle w:val="TextBody"/>
        <w:bidi w:val="0"/>
        <w:spacing w:lineRule="auto" w:line="288" w:before="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lineRule="auto" w:line="25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2008.</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Atlanta, Georgia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26, 2025</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68" w:before="0" w:after="0"/>
        <w:jc w:val="center"/>
        <w:rPr>
          <w:rFonts w:ascii="Times New Roman;sans-serif" w:hAnsi="Times New Roman;sans-serif"/>
          <w:b/>
          <w:color w:val="000000"/>
          <w:sz w:val="21"/>
        </w:rPr>
      </w:pPr>
      <w:r>
        <w:rPr>
          <w:rFonts w:ascii="Times New Roman;sans-serif" w:hAnsi="Times New Roman;sans-serif"/>
          <w:b/>
          <w:color w:val="000000"/>
          <w:sz w:val="21"/>
        </w:rPr>
        <w:t>Report of Independent Registered Public Accounting Firm</w:t>
      </w:r>
    </w:p>
    <w:p>
      <w:pPr>
        <w:pStyle w:val="TextBody"/>
        <w:bidi w:val="0"/>
        <w:spacing w:before="0" w:after="0"/>
        <w:jc w:val="left"/>
        <w:rPr/>
      </w:pPr>
      <w:r>
        <w:rPr/>
      </w:r>
    </w:p>
    <w:p>
      <w:pPr>
        <w:pStyle w:val="TextBody"/>
        <w:bidi w:val="0"/>
        <w:spacing w:lineRule="auto" w:line="288" w:before="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To the Shareholders and the Board of Directors of Asbury Automotive Group, Inc.</w:t>
      </w:r>
    </w:p>
    <w:p>
      <w:pPr>
        <w:pStyle w:val="TextBody"/>
        <w:bidi w:val="0"/>
        <w:spacing w:lineRule="auto" w:line="288" w:before="80" w:after="180"/>
        <w:jc w:val="left"/>
        <w:rPr>
          <w:rFonts w:ascii="Times New Roman;sans-serif" w:hAnsi="Times New Roman;sans-serif"/>
          <w:b/>
          <w:color w:val="000000"/>
          <w:sz w:val="20"/>
        </w:rPr>
      </w:pPr>
      <w:r>
        <w:rPr>
          <w:rFonts w:ascii="Times New Roman;sans-serif" w:hAnsi="Times New Roman;sans-serif"/>
          <w:b/>
          <w:color w:val="000000"/>
          <w:sz w:val="20"/>
        </w:rPr>
        <w:t xml:space="preserve">Opinion on Internal Control Over Financial Reporting </w:t>
      </w:r>
    </w:p>
    <w:p>
      <w:pPr>
        <w:pStyle w:val="TextBody"/>
        <w:bidi w:val="0"/>
        <w:spacing w:lineRule="auto" w:line="288" w:before="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audited Asbury Automotive Group, Inc.’s internal control over financial reporting as of December 31, 2024, based on criteria established in Internal Control—Integrated Framework issued by the Committee of Sponsoring Organizations of the Treadway Commission (2013 framework) (the COSO criteria). In our opinion, because of the effect of the material weakness described below on the achievement of the objectives of the control criteria, Asbury Automotive Group, Inc. (the Company) has not maintained effective internal control over financial reporting as of December 31, 2024, based on the COSO criteria. </w:t>
      </w:r>
    </w:p>
    <w:p>
      <w:pPr>
        <w:pStyle w:val="TextBody"/>
        <w:bidi w:val="0"/>
        <w:spacing w:lineRule="auto" w:line="288" w:before="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w:t>
      </w:r>
    </w:p>
    <w:p>
      <w:pPr>
        <w:pStyle w:val="TextBody"/>
        <w:bidi w:val="0"/>
        <w:spacing w:lineRule="auto" w:line="288" w:before="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identified a material weakness in internal control over financial reporting in Jim Koons Automotive Companies business (“Koons”). The design of information technology general controls for an information technology (“IT”) application that is used across all significant processes within the Koons business was not effective, specifically pertaining to insufficient control activities at a third-party system administrator. As a result, automated and business process controls that are dependent on the completeness and accuracy of information derived from the affected IT system were also ineffective because they could have been adversely impacted. </w:t>
      </w:r>
    </w:p>
    <w:p>
      <w:pPr>
        <w:pStyle w:val="TextBody"/>
        <w:bidi w:val="0"/>
        <w:spacing w:lineRule="auto" w:line="288" w:before="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have audited, in accordance with the standards of the Public Company Accounting Oversight Board (United States) (PCAOB), the consolidated balance sheets of the Company as of December 31, 2024 and 2023, the related consolidated statements of income, comprehensive income, shareholders' equity and cash flows for each of the three years in the period ended December 31, 2024, and the related notes. This material weakness was considered in determining the nature, timing and extent of audit tests applied in our audit of the 2024 consolidated financial statements, and this report does not affect our report dated February 26, 2025, which expressed an unqualified opinion thereon. </w:t>
      </w:r>
    </w:p>
    <w:p>
      <w:pPr>
        <w:pStyle w:val="TextBody"/>
        <w:bidi w:val="0"/>
        <w:spacing w:lineRule="auto" w:line="288" w:before="80" w:after="180"/>
        <w:jc w:val="left"/>
        <w:rPr>
          <w:rFonts w:ascii="Times New Roman;sans-serif" w:hAnsi="Times New Roman;sans-serif"/>
          <w:b/>
          <w:color w:val="000000"/>
          <w:sz w:val="20"/>
        </w:rPr>
      </w:pPr>
      <w:r>
        <w:rPr>
          <w:rFonts w:ascii="Times New Roman;sans-serif" w:hAnsi="Times New Roman;sans-serif"/>
          <w:b/>
          <w:color w:val="000000"/>
          <w:sz w:val="20"/>
        </w:rPr>
        <w:t xml:space="preserve">Basis for Opinion </w:t>
      </w:r>
    </w:p>
    <w:p>
      <w:pPr>
        <w:pStyle w:val="TextBody"/>
        <w:bidi w:val="0"/>
        <w:spacing w:lineRule="auto" w:line="288" w:before="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uto" w:line="288" w:before="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lineRule="auto" w:line="288" w:before="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 </w:t>
      </w:r>
    </w:p>
    <w:p>
      <w:pPr>
        <w:pStyle w:val="TextBody"/>
        <w:bidi w:val="0"/>
        <w:spacing w:lineRule="auto" w:line="288" w:before="80" w:after="180"/>
        <w:jc w:val="left"/>
        <w:rPr>
          <w:rFonts w:ascii="Times New Roman;sans-serif" w:hAnsi="Times New Roman;sans-serif"/>
          <w:b/>
          <w:color w:val="000000"/>
          <w:sz w:val="20"/>
        </w:rPr>
      </w:pPr>
      <w:r>
        <w:rPr>
          <w:rFonts w:ascii="Times New Roman;sans-serif" w:hAnsi="Times New Roman;sans-serif"/>
          <w:b/>
          <w:color w:val="000000"/>
          <w:sz w:val="20"/>
        </w:rPr>
        <w:t xml:space="preserve">Definition and Limitations of Internal Control Over Financial Reporting </w:t>
      </w:r>
    </w:p>
    <w:p>
      <w:pPr>
        <w:pStyle w:val="TextBody"/>
        <w:bidi w:val="0"/>
        <w:spacing w:lineRule="auto" w:line="288" w:before="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center"/>
        <w:rPr/>
      </w:pPr>
      <w:r>
        <w:rPr/>
      </w:r>
    </w:p>
    <w:p>
      <w:pPr>
        <w:pStyle w:val="TextBody"/>
        <w:bidi w:val="0"/>
        <w:spacing w:lineRule="auto" w:line="256" w:before="180" w:after="160"/>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Atlanta, Georgia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26,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ASBURY AUTOMOTIVE GROUP,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par value and share data)</w:t>
      </w:r>
    </w:p>
    <w:tbl>
      <w:tblPr>
        <w:tblW w:w="10205" w:type="dxa"/>
        <w:jc w:val="center"/>
        <w:tblInd w:w="0" w:type="dxa"/>
        <w:tblLayout w:type="fixed"/>
        <w:tblCellMar>
          <w:top w:w="28" w:type="dxa"/>
          <w:left w:w="28" w:type="dxa"/>
          <w:bottom w:w="28" w:type="dxa"/>
          <w:right w:w="28" w:type="dxa"/>
        </w:tblCellMar>
      </w:tblPr>
      <w:tblGrid>
        <w:gridCol w:w="2789"/>
        <w:gridCol w:w="2382"/>
        <w:gridCol w:w="2278"/>
        <w:gridCol w:w="211"/>
        <w:gridCol w:w="871"/>
        <w:gridCol w:w="109"/>
        <w:gridCol w:w="109"/>
        <w:gridCol w:w="109"/>
        <w:gridCol w:w="109"/>
        <w:gridCol w:w="211"/>
        <w:gridCol w:w="871"/>
        <w:gridCol w:w="156"/>
      </w:tblGrid>
      <w:tr>
        <w:trPr/>
        <w:tc>
          <w:tcPr>
            <w:tcW w:w="2789" w:type="dxa"/>
            <w:tcBorders/>
            <w:vAlign w:val="center"/>
          </w:tcPr>
          <w:p>
            <w:pPr>
              <w:pStyle w:val="TableContents"/>
              <w:bidi w:val="0"/>
              <w:spacing w:before="0" w:after="283"/>
              <w:jc w:val="left"/>
              <w:rPr>
                <w:sz w:val="4"/>
                <w:szCs w:val="4"/>
              </w:rPr>
            </w:pPr>
            <w:r>
              <w:rPr>
                <w:sz w:val="4"/>
                <w:szCs w:val="4"/>
              </w:rPr>
            </w:r>
          </w:p>
        </w:tc>
        <w:tc>
          <w:tcPr>
            <w:tcW w:w="2382"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7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Contracts-in-transit,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held for sale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FRANCHISE RIGHTS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10,159.4 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SHAREHOLDERS' EQUITY</w:t>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Floor plan notes payable—trade,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Floor plan notes payable—non-trade,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long-term debt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operating leases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revenue—current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associated with assets held for sale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21)</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$.01 par value, 10,000,000 shares authorized; none issued or outstanding</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$.01 par value, 90,000,000 shares authorized; 41,649,426 and 42,352,001 shares issued, including shares held in treasury, respectively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22,065,478 and 22,018,537 shares, respectively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3,244.1 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10,159.4 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ASBURY AUTOMOTIVE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share data)</w:t>
      </w:r>
    </w:p>
    <w:p>
      <w:pPr>
        <w:pStyle w:val="TextBody"/>
        <w:bidi w:val="0"/>
        <w:spacing w:before="0" w:after="0"/>
        <w:jc w:val="center"/>
        <w:rPr/>
      </w:pPr>
      <w:r>
        <w:rPr/>
      </w:r>
    </w:p>
    <w:tbl>
      <w:tblPr>
        <w:tblW w:w="9221" w:type="dxa"/>
        <w:jc w:val="center"/>
        <w:tblInd w:w="0" w:type="dxa"/>
        <w:tblLayout w:type="fixed"/>
        <w:tblCellMar>
          <w:top w:w="28" w:type="dxa"/>
          <w:left w:w="28" w:type="dxa"/>
          <w:bottom w:w="28" w:type="dxa"/>
          <w:right w:w="28" w:type="dxa"/>
        </w:tblCellMar>
      </w:tblPr>
      <w:tblGrid>
        <w:gridCol w:w="1911"/>
        <w:gridCol w:w="1670"/>
        <w:gridCol w:w="1683"/>
        <w:gridCol w:w="211"/>
        <w:gridCol w:w="766"/>
        <w:gridCol w:w="109"/>
        <w:gridCol w:w="109"/>
        <w:gridCol w:w="109"/>
        <w:gridCol w:w="109"/>
        <w:gridCol w:w="211"/>
        <w:gridCol w:w="766"/>
        <w:gridCol w:w="109"/>
        <w:gridCol w:w="109"/>
        <w:gridCol w:w="109"/>
        <w:gridCol w:w="109"/>
        <w:gridCol w:w="211"/>
        <w:gridCol w:w="766"/>
        <w:gridCol w:w="154"/>
      </w:tblGrid>
      <w:tr>
        <w:trPr/>
        <w:tc>
          <w:tcPr>
            <w:tcW w:w="1911"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SALES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income,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 (INCOME):</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Floor plan 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dealership divestitures,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expenses (income), net</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w:t>
            </w:r>
          </w:p>
        </w:tc>
      </w:tr>
      <w:tr>
        <w:trPr/>
        <w:tc>
          <w:tcPr>
            <w:tcW w:w="52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share units</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8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w:t>
            </w:r>
          </w:p>
        </w:tc>
      </w:tr>
    </w:tbl>
    <w:p>
      <w:pPr>
        <w:pStyle w:val="TextBody"/>
        <w:bidi w:val="0"/>
        <w:spacing w:before="0" w:after="0"/>
        <w:ind w:left="0" w:right="0" w:hanging="360"/>
        <w:jc w:val="center"/>
        <w:rPr/>
      </w:pPr>
      <w:r>
        <w:rPr/>
      </w:r>
    </w:p>
    <w:p>
      <w:pPr>
        <w:pStyle w:val="TextBody"/>
        <w:bidi w:val="0"/>
        <w:spacing w:before="0" w:after="0"/>
        <w:ind w:left="0" w:right="0" w:hanging="360"/>
        <w:jc w:val="center"/>
        <w:rPr/>
      </w:pPr>
      <w:r>
        <w:rPr/>
      </w:r>
    </w:p>
    <w:p>
      <w:pPr>
        <w:pStyle w:val="TextBody"/>
        <w:bidi w:val="0"/>
        <w:spacing w:before="0" w:after="0"/>
        <w:ind w:left="0" w:right="0" w:hanging="360"/>
        <w:jc w:val="center"/>
        <w:rPr/>
      </w:pPr>
      <w:r>
        <w:rPr/>
      </w:r>
    </w:p>
    <w:p>
      <w:pPr>
        <w:pStyle w:val="TextBody"/>
        <w:bidi w:val="0"/>
        <w:spacing w:before="0" w:after="0"/>
        <w:ind w:left="0" w:right="0" w:hanging="360"/>
        <w:jc w:val="center"/>
        <w:rPr/>
      </w:pPr>
      <w:r>
        <w:rPr/>
      </w:r>
    </w:p>
    <w:p>
      <w:pPr>
        <w:pStyle w:val="TextBody"/>
        <w:bidi w:val="0"/>
        <w:spacing w:before="0" w:after="0"/>
        <w:ind w:left="0" w:right="0" w:hanging="360"/>
        <w:jc w:val="center"/>
        <w:rPr/>
      </w:pPr>
      <w:r>
        <w:rPr/>
      </w:r>
    </w:p>
    <w:p>
      <w:pPr>
        <w:pStyle w:val="TextBody"/>
        <w:bidi w:val="0"/>
        <w:spacing w:before="0" w:after="0"/>
        <w:ind w:left="0" w:right="0" w:hanging="360"/>
        <w:jc w:val="center"/>
        <w:rPr/>
      </w:pPr>
      <w:r>
        <w:rPr/>
      </w:r>
    </w:p>
    <w:p>
      <w:pPr>
        <w:pStyle w:val="TextBody"/>
        <w:bidi w:val="0"/>
        <w:spacing w:before="0" w:after="0"/>
        <w:ind w:left="0" w:right="0" w:hanging="360"/>
        <w:jc w:val="center"/>
        <w:rPr/>
      </w:pPr>
      <w:r>
        <w:rPr/>
      </w:r>
    </w:p>
    <w:p>
      <w:pPr>
        <w:pStyle w:val="TextBody"/>
        <w:bidi w:val="0"/>
        <w:spacing w:before="0" w:after="0"/>
        <w:ind w:left="0" w:right="0" w:hanging="360"/>
        <w:jc w:val="center"/>
        <w:rPr/>
      </w:pPr>
      <w:r>
        <w:rPr/>
      </w:r>
    </w:p>
    <w:p>
      <w:pPr>
        <w:pStyle w:val="TextBody"/>
        <w:bidi w:val="0"/>
        <w:spacing w:before="0" w:after="0"/>
        <w:ind w:left="0" w:right="0" w:hanging="360"/>
        <w:jc w:val="center"/>
        <w:rPr/>
      </w:pPr>
      <w:r>
        <w:rPr/>
      </w:r>
    </w:p>
    <w:p>
      <w:pPr>
        <w:pStyle w:val="TextBody"/>
        <w:bidi w:val="0"/>
        <w:spacing w:before="0" w:after="0"/>
        <w:ind w:left="0" w:right="0" w:hanging="360"/>
        <w:jc w:val="center"/>
        <w:rPr/>
      </w:pPr>
      <w:r>
        <w:rPr/>
      </w:r>
    </w:p>
    <w:p>
      <w:pPr>
        <w:pStyle w:val="TextBody"/>
        <w:bidi w:val="0"/>
        <w:spacing w:before="0" w:after="0"/>
        <w:ind w:left="0" w:right="0" w:hanging="360"/>
        <w:jc w:val="center"/>
        <w:rPr/>
      </w:pPr>
      <w:r>
        <w:rPr/>
      </w:r>
    </w:p>
    <w:p>
      <w:pPr>
        <w:pStyle w:val="TextBody"/>
        <w:bidi w:val="0"/>
        <w:spacing w:lineRule="auto" w:line="288" w:before="0" w:after="0"/>
        <w:ind w:left="0" w:right="0" w:hanging="36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ASBURY AUTOMOTIVE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372"/>
        <w:gridCol w:w="2077"/>
        <w:gridCol w:w="2098"/>
        <w:gridCol w:w="211"/>
        <w:gridCol w:w="616"/>
        <w:gridCol w:w="109"/>
        <w:gridCol w:w="109"/>
        <w:gridCol w:w="109"/>
        <w:gridCol w:w="109"/>
        <w:gridCol w:w="211"/>
        <w:gridCol w:w="616"/>
        <w:gridCol w:w="109"/>
        <w:gridCol w:w="109"/>
        <w:gridCol w:w="109"/>
        <w:gridCol w:w="109"/>
        <w:gridCol w:w="211"/>
        <w:gridCol w:w="766"/>
        <w:gridCol w:w="155"/>
      </w:tblGrid>
      <w:tr>
        <w:trPr/>
        <w:tc>
          <w:tcPr>
            <w:tcW w:w="2372"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r>
      <w:tr>
        <w:trPr/>
        <w:tc>
          <w:tcPr>
            <w:tcW w:w="65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cash flow swaps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(losses) gains on available-for-sale debt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 associated with other comprehensive income items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80" w:after="283"/>
        <w:jc w:val="center"/>
        <w:rPr/>
      </w:pPr>
      <w:r>
        <w:rPr/>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ASBURY AUTOMOTIVE GROUP,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STATEMENTS OF SHAREHOLDERS' EQUITY</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(Dollars in millions)</w:t>
      </w:r>
    </w:p>
    <w:tbl>
      <w:tblPr>
        <w:tblW w:w="11890" w:type="dxa"/>
        <w:jc w:val="center"/>
        <w:tblInd w:w="0" w:type="dxa"/>
        <w:tblLayout w:type="fixed"/>
        <w:tblCellMar>
          <w:top w:w="28" w:type="dxa"/>
          <w:left w:w="28" w:type="dxa"/>
          <w:bottom w:w="28" w:type="dxa"/>
          <w:right w:w="28" w:type="dxa"/>
        </w:tblCellMar>
      </w:tblPr>
      <w:tblGrid>
        <w:gridCol w:w="809"/>
        <w:gridCol w:w="272"/>
        <w:gridCol w:w="255"/>
        <w:gridCol w:w="480"/>
        <w:gridCol w:w="481"/>
        <w:gridCol w:w="196"/>
        <w:gridCol w:w="109"/>
        <w:gridCol w:w="109"/>
        <w:gridCol w:w="109"/>
        <w:gridCol w:w="198"/>
        <w:gridCol w:w="381"/>
        <w:gridCol w:w="112"/>
        <w:gridCol w:w="109"/>
        <w:gridCol w:w="109"/>
        <w:gridCol w:w="109"/>
        <w:gridCol w:w="196"/>
        <w:gridCol w:w="691"/>
        <w:gridCol w:w="109"/>
        <w:gridCol w:w="109"/>
        <w:gridCol w:w="109"/>
        <w:gridCol w:w="109"/>
        <w:gridCol w:w="196"/>
        <w:gridCol w:w="691"/>
        <w:gridCol w:w="109"/>
        <w:gridCol w:w="109"/>
        <w:gridCol w:w="109"/>
        <w:gridCol w:w="109"/>
        <w:gridCol w:w="480"/>
        <w:gridCol w:w="481"/>
        <w:gridCol w:w="196"/>
        <w:gridCol w:w="109"/>
        <w:gridCol w:w="109"/>
        <w:gridCol w:w="109"/>
        <w:gridCol w:w="196"/>
        <w:gridCol w:w="706"/>
        <w:gridCol w:w="109"/>
        <w:gridCol w:w="109"/>
        <w:gridCol w:w="109"/>
        <w:gridCol w:w="109"/>
        <w:gridCol w:w="309"/>
        <w:gridCol w:w="734"/>
        <w:gridCol w:w="173"/>
        <w:gridCol w:w="109"/>
        <w:gridCol w:w="109"/>
        <w:gridCol w:w="109"/>
        <w:gridCol w:w="196"/>
        <w:gridCol w:w="691"/>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December 31, 2021</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45,052,293 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21,914,251 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(0.7)</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w:t>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cash flow swaps, net of reclassification adjustment and $25.1 million tax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changes in fair value of debt securities, net of $0.8 million tax benefit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74.9 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net of forfeitures, in connection with share-based payment arrangements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122,342 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 issues (repurchases)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1,635,030 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 associated with net share settlements of employee share-based awards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56,024 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Retirement of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(1,580,826)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(1,580,826)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December 31, 2022</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43,593,809 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22,024,479 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74.4 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w:t>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cash flow swaps, net of reclassification adjustment and $5.1 million tax benefit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changes in fair value of debt securities, net of $1.1 million tax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net of forfeitures, in connection with share-based payment arrangements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128,563 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 issues (repurchases)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1,316,167 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 associated with net share settlements of employee share-based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48,262 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Retirement of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(1,370,371)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(1,370,371)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December 31, 2023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42,352,001 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22,018,537 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w:t>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cash flow swaps, net of reclassification adjustment and $0.9 million tax benefit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changes in fair value of debt securities, net of $0.6 million tax benefit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net of forfeitures, in connection with share-based payment arrangements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127,722 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 issues (repurchases)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830,297 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 associated with net share settlements of employee share-based awards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46,941 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Retirement of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(830,297)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(830,297)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Balances, December 31, 2024</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41,649,426 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22,065,478 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ASBURY AUTOMOTIVE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millions)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424"/>
        <w:gridCol w:w="2112"/>
        <w:gridCol w:w="2123"/>
        <w:gridCol w:w="213"/>
        <w:gridCol w:w="625"/>
        <w:gridCol w:w="109"/>
        <w:gridCol w:w="109"/>
        <w:gridCol w:w="109"/>
        <w:gridCol w:w="109"/>
        <w:gridCol w:w="213"/>
        <w:gridCol w:w="625"/>
        <w:gridCol w:w="109"/>
        <w:gridCol w:w="109"/>
        <w:gridCol w:w="109"/>
        <w:gridCol w:w="109"/>
        <w:gridCol w:w="213"/>
        <w:gridCol w:w="625"/>
        <w:gridCol w:w="160"/>
      </w:tblGrid>
      <w:tr>
        <w:trPr/>
        <w:tc>
          <w:tcPr>
            <w:tcW w:w="2424"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r>
      <w:tr>
        <w:trPr/>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FROM OPERATING ACTIVITIES:</w:t>
            </w:r>
          </w:p>
        </w:tc>
        <w:tc>
          <w:tcPr>
            <w:tcW w:w="9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impairments</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investments</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Loaner vehicle amortization</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divestitures, net</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right-of-use asset</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adjustments, net</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 net of acquisitions and divestitures—</w:t>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Contracts-in-transit</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Floor plan notes payable—trade, net</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 and liabilities, net</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FROM INVESTING ACTIVITIES:</w:t>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expenditures—excluding real estate</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expenditures—real estate</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previously leased real estate</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dealership divestitures</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debt securities—available-for-sale</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equity securities</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sale of debt securities—available-for-sale</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sale of equity securities</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sale of assets</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investing activities</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 FROM FINANCING ACTIVITIES:</w:t>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Floor plan borrowings—non-trade</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7,406.5 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Floor plan borrowings—acquisitions</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Floor plan repayments—non-trade</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(7,891.6)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Floor plan repayments—divestitures</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borrowings</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revolving credit facility</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revolving credit facility</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Proceeds from issuance of common stock </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debt issuance costs</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625"/>
        <w:gridCol w:w="2110"/>
        <w:gridCol w:w="2119"/>
        <w:gridCol w:w="211"/>
        <w:gridCol w:w="511"/>
        <w:gridCol w:w="109"/>
        <w:gridCol w:w="109"/>
        <w:gridCol w:w="109"/>
        <w:gridCol w:w="109"/>
        <w:gridCol w:w="223"/>
        <w:gridCol w:w="543"/>
        <w:gridCol w:w="109"/>
        <w:gridCol w:w="109"/>
        <w:gridCol w:w="109"/>
        <w:gridCol w:w="109"/>
        <w:gridCol w:w="212"/>
        <w:gridCol w:w="622"/>
        <w:gridCol w:w="157"/>
      </w:tblGrid>
      <w:tr>
        <w:trPr/>
        <w:tc>
          <w:tcPr>
            <w:tcW w:w="2625"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r>
      <w:tr>
        <w:trPr/>
        <w:tc>
          <w:tcPr>
            <w:tcW w:w="6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treasury stock</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 including amounts associated with net share settlements of employee share-based awards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685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(1,104.3)</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beginning of period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end of period</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235.3 </w:t>
            </w:r>
          </w:p>
        </w:tc>
        <w:tc>
          <w:tcPr>
            <w:tcW w:w="1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Note 18 for supplemental cash flow information</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ASBURY AUTOMOTIVE GROUP,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2024,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1. DESCRIPTION OF BUSINESS AND SUMMARY OF SIGNIFICANT ACCOUNTING POLICIES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Group, Inc., a Delaware corporation organized in 2002, is one of the largest automotive retailers in the United States. Our store operations are conducted by our subsidiaries.</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we owned and operated 198 new vehicle franchises (152 vehicle dealership locations), representing 31 brands of automobiles, and 37 collision centers in 14 states. Our stores offer an extensive range of automotive products and services, including new and used vehicles; parts and service, which includes repair and maintenance services, replacement parts and collision repair services (collectively referred to as "parts and services" or "P&amp;S"); and finance and insurance ("F&amp;I") products, including arranging vehicle financing through third parties and aftermarket products, such as extended service contracts, guaranteed asset protection ("GAP") debt cancellation and prepaid maintenance. The finance and insurance products are provided by Total Care Auto, Powered by Landcar ("TCA") and independent third parties. The Company manages its operations in two reportable segments: Dealerships and TCA. </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Our operating results are generally subject to seasonal variations. Demand for new vehicles is generally highest during the second and third quarters of each year and, accordingly, we expect our revenues to generally be higher during these periods. In addition, we typically experience higher sales of luxury vehicles in the fourth quarter, which have higher average selling prices and gross profit per vehicle retailed. Revenues and operating results may be impacted significantly from quarter to quarter by changing economic conditions, inventory availability, vehicle manufacturer incentive programs, or adverse weather events.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have been prepared in accordance with accounting principles generally accepted in the United States of America ("GAAP"), and reflect the consolidated accounts of Asbury Automotive Group, Inc. (the "Company") and our wholly owned subsidiaries. All intercompany transactions have been eliminated in consolidation. If necessary, reclassifications of amounts previously reported have been made to the accompanying consolidated financial statements in order to conform to current presentation. Amounts presented have been calculated using non-rounded amounts for all periods presented and therefore certain amounts may not compute due to rounding.</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estimates and assumptions that affect the reported amounts of assets and liabilities, disclosures of contingent assets and liabilities as of the date of the financial statements, and the reported amounts of revenues and expenses during the periods presented. Actual results could differ materially from these estimates. Estimates and assumptions are reviewed quarterly, and the effects of any revisions are reflected in the consolidated financial statements in the period they are determined to be necessary. Estimates made in the accompanying consolidated financial statements include, but are not limited to, those relating to inventory valuation reserves, reserves for chargebacks against revenue recognized from the sale of finance and insurance products, reserves for self-insurance programs, and certain assumptions related to goodwill and dealership franchise rights intangible assets.</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and Cash Equivalents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include investments in money market accounts and short-term certificates of deposit, which have maturity dates of less than 90 days when purchased.</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Restricted Cash and Securities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TCA places securities on statutory deposit with certain state agencies to retain the right to do business in those states. Securities held on deposit with various state regulatory authorities had a fair value of $3.6 million at December 31, 2024. These securities are reflected in investments in our consolidated balance sheets. </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Short-Term Investments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Short-term investments consist of debt securities that are callable or have a maturity date within the next 12 months and are classified as current assets. Debt securities classified as short-term investments are designated as available-for-sale as management intends to hold these securities for indefinite periods of time or may sell the securities in response to changes in interest rates, prepayments, or other similar factors. Available-for-sale debt securities are reported at fair market value with any unrealized gain or loss, net of applicable income tax, reported in other comprehensive income, as a separate component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 Premiums and discounts on debt securities classified as short-term investments are amortized or accreted using the effective interest method over the period from the purchase date to the expected maturity or call date of the related security and are reported in net income.</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Investments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Investments consist of available-for-sale debt securities and other investments. These securities are classified as non-current investments as they are not intended to fund current operations or have stated call dates or maturity dates beyond the next 12 months. We sold all equity securities during the year ended December 31, 2023. The Company only holds debt securities as of December 31, 2024 and 2023. </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classified as non-current investments are designated as available-for-sale as management intends to hold these securities for indefinite periods of time or may sell the securities in response to changes in interest rates, prepayments, or other similar factors. Available-for-sale debt securities included in non-current investments are reported at fair market value with any unrealized gain or loss, net of applicable income tax, reported in other comprehensive income, as a separate component of shareholders’ equity. Premiums and discounts on debt securities included in non-current investments are amortized or accreted, as applicable, using the effective interest method over the period from the purchase date to the expected maturity or call date of the related security and are reported in net income.</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review the debt securities portfolio at the security level on a quarterly basis for potential credit losses, which takes into consideration numerous factors. Some factors evaluated include changes in credit ratings, financial conditions of the issuer, recent payment activity, and other industry specific economic conditions. If a security is considered to have a potential credit loss, we compare the present value of expected cash flows to the amortized cost basis of the security to estimate the allowance for credit losses. The amount of the allowance is limited to the gross unrealized loss on an individual security. An unrealized loss on a debt security is generally considered to not be related to credit when the fair value of the security is below the carrying value of the security primarily due to changes in risk-free interest rates and when there has not been a significant deterioration in the financial condition of the issuer. If the Company no longer has the intent or ability to hold a security in an unrealized loss position until recovery of the security’s cost basis, a loss is realized immediately in net income. </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Contracts-In-Transit</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Contracts-in-transit represent receivables from third-party finance companies for the portion of new and used vehicle purchase price financed by customers through sources arranged by us.</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Inventories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are stated at the lower of cost and net realizable value. We use the specific identification method to value vehicle inventories and parts and accessories are valued at the lower of cost or net realizable value. Our new vehicle sales history indicates that the vast majority of the new vehicles we sell are sold for, or in excess of, our cost to purchase those vehicles. Therefore, we generally do not maintain a reserve for new vehicle inventory. We maintain a reserve for used vehicle inventory where cost basis exceeds net realizable value. In assessing lower of cost and net realizable value for used vehicles, we consider (i) the aging of our used vehicles, (ii) historical sales experience of used vehicles, and (iii) current market conditions and trends in used vehicle sales. We also review and consider the following metrics related to used vehicle sales (both on a recent and longer-term historical basis): (i) days of supply in our used vehicle inventory, (ii) used vehicle units sold at less than original cost as a percentage of total used vehicles sold, and (iii) average vehicle selling price of used vehicle units sold at less than original cost. We then determine the appropriate level of reserve required to reduce our used vehicle inventory to the lower of cost and net realizable value, and record the resulting adjustment in the period in which we determine a loss has occurred. The level of reserve determined to be appropriate for each reporting period is considered to be a permanent inventory write-down, and therefore is only released upon the sale of the related inventory.</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receive assistance from certain automobile manufacturers in the form of advertising and floor plan interest credits. Manufacturer advertising credits that are reimbursements of costs associated with specific advertising programs are recognized as a reduction of advertising expense in the period they are earned. All other manufacturer advertising and certain floor plan interest credits are accounted for as purchase discounts, and are recorded as a reduction of inventory and recognized as a reduction to new vehicle cost of sales in the accompanying consolidated statements of income in the period the related vehicle is sold.</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Property and Equipment</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are recorded at cost and depreciated using the straight-line method over their estimated useful lives. Depreciation is included in depreciation and amortization on the accompanying consolidated statements of income. Leasehold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180"/>
        <w:jc w:val="left"/>
        <w:rPr/>
      </w:pPr>
      <w:r>
        <w:rPr>
          <w:rFonts w:ascii="Times New Roman;sans-serif" w:hAnsi="Times New Roman;sans-serif"/>
          <w:b w:val="false"/>
          <w:color w:val="000000"/>
          <w:sz w:val="20"/>
        </w:rPr>
        <w:t>improvements are capitalized and amortized over the lesser of the remaining lease term or the useful life of the related asset. The ranges of estimated useful lives are as follows (in years):</w:t>
      </w:r>
      <w:r>
        <w:rPr>
          <w:color w:val="000000"/>
        </w:rPr>
        <w:t> </w:t>
      </w:r>
    </w:p>
    <w:tbl>
      <w:tblPr>
        <w:tblW w:w="3104" w:type="dxa"/>
        <w:jc w:val="left"/>
        <w:tblInd w:w="0" w:type="dxa"/>
        <w:tblLayout w:type="fixed"/>
        <w:tblCellMar>
          <w:top w:w="28" w:type="dxa"/>
          <w:left w:w="28" w:type="dxa"/>
          <w:bottom w:w="28" w:type="dxa"/>
          <w:right w:w="28" w:type="dxa"/>
        </w:tblCellMar>
      </w:tblPr>
      <w:tblGrid>
        <w:gridCol w:w="896"/>
        <w:gridCol w:w="787"/>
        <w:gridCol w:w="791"/>
        <w:gridCol w:w="184"/>
        <w:gridCol w:w="184"/>
        <w:gridCol w:w="262"/>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10-40</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5-10</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3-10</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vehicles</w:t>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r>
    </w:tbl>
    <w:p>
      <w:pPr>
        <w:pStyle w:val="TextBody"/>
        <w:bidi w:val="0"/>
        <w:spacing w:lineRule="auto" w:line="288" w:before="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Expenditures for major additions or improvements, which extend the useful lives of assets, are capitalized. Minor replacements, maintenance and repairs, which do not improve or extend the lives of such assets, are expensed as incurred. We capitalize interest on borrowings during the active construction period of capital projects. Capitalized interest is added to the cost of the assets and is depreciated over the estimated useful lives of the assets.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review property and equipment for impairment whenever events or changes in circumstances indicate the carrying value may not be recoverable. When we test our long-lived assets for impairment, we first compare the carrying amount of the underlying assets to their net recoverable value by reviewing the undiscounted cash flows expected from the use and eventual disposition of the underlying assets. If the carrying amount of the underlying assets is less than their net recoverable value, then we calculate an impairment equal to the excess of the carrying amount over the fair market value, and the impairment loss would be charged to operations in the period identified. </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Acquisitions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are accounted for under the acquisition method of accounting and the assets acquired and liabilities assumed are recorded at their fair value at the acquisition date. Results of acquired businesses, which are primarily dealerships, are included in our accompanying consolidated statements of income commencing on the date of acquisition. Our acquisitions are accounted for such that the assets acquired and liabilities assumed are recognized at their acquisition date fair values, with any excess of the consideration transferred over the estimated fair values of the identifiable net assets acquired recorded as goodwill. Goodwill is an asset representing operational synergies and future economic benefits arising from other assets acquired in a business combination that are not individually identified and separately recognized. Upon the completion of purchase accounting, the fair value of our manufacturer franchise rights are determined as of the acquisition date, by discounting the projected cash flows specific to each franchise. Included in this analysis are market participant assumptions related to the cash flows directly attributable to the franchise rights, including year-over-year and terminal growth rates, working capital requirements, weighted average cost of capital, future gross margins, and future selling, general and administrative expenses.</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Goodwill and Franchise Rights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represents the excess cost of an acquired business over the estimated fair market value of its identifiable net assets. We have determined that, based on how we integrate acquisitions into our business, how the components of our business share resources and interact with one another, and how we review the results of our operations, that we have several geographic region operating segments which consist of our dealerships. We have determined that the dealerships in each of our operating segments are components that are aggregated into three geographic region reporting units for the purpose of testing goodwill for impairment, as they (i) have similar economic characteristics, (ii) offer similar products and services (all of our dealerships offer new and used vehicles, service, parts and third-party finance and insurance products), (iii) have similar customers, (iv) have similar distribution and marketing practices (all of our dealerships distribute products and services through dealership facilities that market to customers in similar ways), and (v) operate under similar regulatory environments. Our dealership operating segments are aggregated into our Dealerships reportable segment. Goodwill associated with TCA is tested for impairment at the operating segment level which is the same as the reporting unit for this business. </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our manufacturer franchise rights are determined as of the acquisition date, by discounting the projected cash flows specific to each franchise. We have determined that manufacturer franchise rights have an indefinite life, as there are no economic, contractual or other factors that limit their useful lives, and they are expected to generate cash flows indefinitely due to the historically long lives of the manufacturers' brand names. Furthermore, to the extent that any agreements evidencing our manufacturer franchise rights would expire, we expect that we would be able to renew those agreements in the ordinary course of business. </w:t>
      </w:r>
    </w:p>
    <w:p>
      <w:pPr>
        <w:pStyle w:val="TextBody"/>
        <w:bidi w:val="0"/>
        <w:spacing w:lineRule="auto" w:line="288" w:before="180" w:after="180"/>
        <w:ind w:left="0" w:right="0" w:firstLine="315"/>
        <w:jc w:val="left"/>
        <w:rPr/>
      </w:pPr>
      <w:r>
        <w:rPr>
          <w:rFonts w:ascii="Times New Roman;sans-serif" w:hAnsi="Times New Roman;sans-serif"/>
          <w:b w:val="false"/>
          <w:color w:val="000000"/>
          <w:sz w:val="20"/>
        </w:rPr>
        <w:t>Goodwill and manufacturer franchise rights are deemed to have indefinite lives and therefore are not subject to amortization. We review goodwill and manufacturer franchise rights for impairment annually as of October 1</w:t>
      </w:r>
      <w:r>
        <w:rPr>
          <w:rFonts w:ascii="Times New Roman;sans-serif" w:hAnsi="Times New Roman;sans-serif"/>
          <w:b w:val="false"/>
          <w:color w:val="000000"/>
          <w:sz w:val="13"/>
        </w:rPr>
        <w:t>st</w:t>
      </w:r>
      <w:r>
        <w:rPr>
          <w:rFonts w:ascii="Times New Roman;sans-serif" w:hAnsi="Times New Roman;sans-serif"/>
          <w:b w:val="false"/>
          <w:color w:val="000000"/>
          <w:sz w:val="20"/>
        </w:rPr>
        <w:t xml:space="preserve">, or more often if events or circumstances indicate that impairment may have occurred. We are subject to financial statement risk to the extent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that goodwill becomes impaired due to decreases in the fair value of our automotive retail business or manufacturer franchise rights become impaired due to decreases in the fair value of our individual franchises.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Our identifiable intangible assets, other than goodwill, are our rights under franchise agreements with manufacturers, which are recorded at an individual franchise level, and the value of business acquired ("VOBA") which is recorded at the TCA segment level. We recorded VOBA of $5.6 million in connection with the acquisition of TCA in 2021. VOBA reflects the estimated fair value of the expected future profits in unearned premium for in-force service contracts acquired in the LHM acquisition. VOBA is reflected in other long-term assets within the consolidated balance sheets and is amortized over 5 years, which represents the approximate term of the underlying contracts.</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Debt Issuance Costs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 are presented as a contra-liability within current maturities of long-term debt or long-term debt on our consolidated balance sheets, except for debt issuance costs associated with our line-of-credit arrangements, which are presented as an asset within other current assets or other long-term assets on our consolidated balance sheets. Debt issuance costs are amortized to floor plan interest expense and other interest expense, net in the accompanying consolidated statements of income through maturity using the effective interest method or the straight-line method for our line-of-credit arrangements.</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Derivative Instruments and Hedging Activities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utilize derivative financial instruments to manage our interest rate risk. The types of risks hedged are those relating to the variability of cash flows caused by fluctuations in interest rates. We document our risk management strategy and assess hedge effectiveness at each interest rate swap's inception and during the term of each hedge. Derivatives are reported at fair value on the accompanying consolidated balance sheets.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fair value on our hedges is reported as a component of accumulated other comprehensive loss on the accompanying consolidated balance sheets, and reclassified to other interest expense, net in the accompanying consolidated statements of income in the period during which the hedged transaction affects earnings.</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Self-insurance Programs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are self-insured for most of our employee medical claims and maintain stop-loss insurance for large-dollar individual claims. We have high deductible insurance programs for workers compensation, property and general liability claims. We maintain and review our claim and loss history to assist in assessing our expected future liability for these claims. We also use professional service providers, such as account administrators and actuaries, to help us accumulate and assess this information. Provisions for retained losses and deductibles are made by charges to expense based upon periodic evaluations of the estimated ultimate liabilities on reported and unreported claims.</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w:t>
      </w:r>
    </w:p>
    <w:p>
      <w:pPr>
        <w:pStyle w:val="TextBody"/>
        <w:bidi w:val="0"/>
        <w:spacing w:lineRule="auto" w:line="288" w:before="180" w:after="180"/>
        <w:ind w:left="0" w:right="0" w:firstLine="315"/>
        <w:jc w:val="left"/>
        <w:rPr/>
      </w:pPr>
      <w:r>
        <w:rPr>
          <w:rFonts w:ascii="Times New Roman;sans-serif" w:hAnsi="Times New Roman;sans-serif"/>
          <w:b w:val="false"/>
          <w:color w:val="000000"/>
          <w:sz w:val="20"/>
        </w:rPr>
        <w:t xml:space="preserve">We recognize revenue in accordance with ASC 606, </w:t>
      </w:r>
      <w:r>
        <w:rPr>
          <w:rFonts w:ascii="Times New Roman;sans-serif" w:hAnsi="Times New Roman;sans-serif"/>
          <w:b w:val="false"/>
          <w:i/>
          <w:color w:val="000000"/>
          <w:sz w:val="20"/>
        </w:rPr>
        <w:t xml:space="preserve">Revenue from Contracts with Customers </w:t>
      </w:r>
      <w:r>
        <w:rPr>
          <w:rFonts w:ascii="Times New Roman;sans-serif" w:hAnsi="Times New Roman;sans-serif"/>
          <w:b w:val="false"/>
          <w:color w:val="000000"/>
          <w:sz w:val="20"/>
        </w:rPr>
        <w:t>("Topic 606"). Under that guidance, the transaction price is attributed to the underlying performance obligations in the contract and revenue is deferred and recognized as income as the Company satisfies the performance obligations in the contract. Incremental costs of obtaining a contract with a customer are capitalized and amortized to the extent that the Company expects to recover those costs. The Company satisfies performance obligations either over time or at a point in time as discussed in further detail below. Revenue is recognized at the time the related performance obligation is satisfied by transferring a promised good or performing a service. Sales and other taxes we collect, concurrent with revenue-producing activities, are excluded from revenue.</w:t>
      </w:r>
    </w:p>
    <w:p>
      <w:pPr>
        <w:pStyle w:val="TextBody"/>
        <w:bidi w:val="0"/>
        <w:spacing w:lineRule="auto" w:line="288" w:before="14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New vehicle and used vehicle retail</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the sale of new and used vehicles is recognized when the terms of the customer contract are satisfied which generally occurs with the signing of the sales contract and transfer of control of the vehicle to the customer. Payment is generally received at the time of sale or from a third-party financial institution within a short period of time following the sale of the vehicle. Amounts due from third-party financial institutions are reflected in contracts-in-transit or vehicle receivables within accounts receivable, net on our consolidated balance sheets. Costs associated with incidental items that are immaterial in the context of the contract are accrued at the time of sale.</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Used vehicle wholesale </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Proceeds from the sale of these vehicles are recognized in used vehicle revenue upon transfer of control to end-users at auction.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Sale of vehicle parts and accessories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revenue upon transfer of control to the customer which occurs at a point in time. Payment is typically received when control of the parts and accessories transfers to the customer or within 30 days of such time. When the Company performs shipping and handling activities after the transfer of control to the customer (e.g., when control transfers prior to delivery), they are considered as fulfillment activities, and accordingly, the costs are accrued when the related revenue is recognized. </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Vehicle repair and maintenance services </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provides vehicle repair and maintenance services to its customers pursuant to the terms and conditions included within the customer contract ("repair order"). Payment for services are typically received upon completion of the services or within 30 days following the completion of the services. Satisfaction of this performance obligation creates an asset with no alternative use for which an enforceable right to payment for performance to date exists within our contractual agreements. As such, the Company recognizes revenue over time as the Company satisfies its performance obligation. Additionally, the Company has determined that parts and labor are not individually distinct in the context of a repair order and therefore treated as a single performance obligation. Certain of these services are provided by the Dealerships segment to TCA customers in connection with claims related to TCA's vehicle protection products. Revenues recorded by the Dealerships segment and the associated claims expense recorded by the TCA segment are eliminated upon consolidation.</w:t>
      </w:r>
    </w:p>
    <w:p>
      <w:pPr>
        <w:pStyle w:val="TextBody"/>
        <w:bidi w:val="0"/>
        <w:spacing w:lineRule="auto" w:line="288" w:before="180" w:after="283"/>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Finance and Insurance, net </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Within the Dealerships segment, we receive commissions from third-party lending and insurance institutions for arranging customer financing and from the sale of vehicle service contracts, guaranteed asset protection debt cancellation, and other products, to end-users. In addition, we record commissions received from our TCA segment related to the sale of TCA's various vehicle protection F&amp;I products. TCA offers extended vehicle service contracts, prepaid maintenance contracts, key replacement contracts, guaranteed asset protection contracts, paintless dent repair contracts, appearance protection contracts, tire and wheel, and lease wear and tear contracts. In addition, TCA provides the required contractual liability insurance if needed. The majority of these service contracts are sold through affiliated automobile dealerships. Finance and insurance commission revenue is recognized at the point of sale since our performance obligation is to arrange financing or facilitating the sale of a third party's products or services to our customers. </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dealerships commission arrangements with TCA, third-party lenders and insurance administrators consists of fixed ("upfront") and variable consideration. Variable consideration includes commission chargebacks ("chargebacks") in the event a contract is prepaid, defaulted upon, or terminated by the end-user. The Company reserves for future chargebacks based on historical chargeback experience and the termination provisions of the applicable contract, and these reserves are established in the same period that the related revenue is recognized. Commissions revenue and related reserves for future chargebacks in connection with the sale of TCA F&amp;I products by our dealerships, are eliminated in consolidation. </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also participate in future profits pursuant to retrospective commission arrangements, which meet the definition of variable consideration, for certain insurance products associated with a third-party portfolio. The Company estimates the amount of variable consideration to be included in the transaction price based on historical payment trends and further constrains the variable consideration such that it is probable that a significant reversal of previously recognized revenue will not occur. In making these assessments the Company considers the likelihood and magnitude of a potential reversal of revenue and updates its assessment when uncertainties associated with the constraint are removed.</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Within our TCA segment, all revenue, other than investment and interest income, is the result of contracts with customers. Each contract is considered to have a single performance obligation which extends over the life of the contract. Revenue is recognized ratably over the contract term based on earnings factors that align with the performance obligation. We capitalize costs to obtain customer contracts, employee sales commissions, and amortize those costs over the estimated life of the contract. Amortization of costs to obtain customer contracts is included in selling, general and administrative expenses. The portion of commissions that are paid to affiliated dealerships are eliminated upon consolidation. Unearned premium reserves are established to cover the unexpired portion of premiums written.</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Deferred Revenue</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earn and recognize premium revenue related to the TCA segment over the period of the related service contract. Accordingly, we record deferred revenue and ratably recognize revenue over the service contract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Unpaid Losses and Loss Adjustment Expense Reserve</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 reserves represent management's best estimate of the ultimate net cost of all reported and unreported losses incurred through December 31, 2024. The Company does not discount liabilities for unpaid losses or unpaid loss adjustment expense reserves. The reserves for unpaid losses and loss adjustment expenses are estimated using individual case-basis valuation and statistical analysis. Those estimates are subject to the effects of trends in loss severity and frequency. Although considerable variability is inherent in such estimates, management believes the reserves for losses and loss adjustment expenses are adequate. The estimates are continually reviewed and adjusted as necessary as experience develops or new information becomes known; such adjustments are included in income from operations.</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Claims are counted when incidents that may result in a liability are reported and are based on policy coverage.</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Internal Profit</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Revenues and expenses associated with internal work performed by our parts and service departments on new and used vehicle inventory are eliminated in consolidation. The gross profit earned by our parts and service departments for internal work performed is included as a reduction of parts and service cost of sales on the accompanying consolidated statements of income upon the sale of the vehicle. The costs incurred by our new and used vehicle departments for work performed by our parts and service departments is included in either new vehicle cost of sales or used vehicle cost of sales on the accompanying consolidated statements of income, depending on the classification of the vehicle serviced. We eliminate the internal profit on vehicles that remain in inventory at period end.</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Intersegment Eliminations</w:t>
      </w:r>
    </w:p>
    <w:p>
      <w:pPr>
        <w:pStyle w:val="TextBody"/>
        <w:bidi w:val="0"/>
        <w:spacing w:lineRule="auto" w:line="288" w:before="180" w:after="180"/>
        <w:ind w:left="0" w:right="0" w:firstLine="315"/>
        <w:jc w:val="left"/>
        <w:rPr/>
      </w:pPr>
      <w:r>
        <w:rPr>
          <w:rFonts w:ascii="Times New Roman;sans-serif" w:hAnsi="Times New Roman;sans-serif"/>
          <w:b w:val="false"/>
          <w:color w:val="000000"/>
          <w:sz w:val="20"/>
        </w:rPr>
        <w:t>TCA's vehicle protection products are sold through affiliated dealerships and the revenue from the related commissions are included in finance and insurance, net revenues in the Dealerships segment before consolidation. The corresponding claims expense incurred and the amortization of deferred acquisition costs is recorded as a cost of sales in the TCA segment. The Dealerships segment also provides vehicle repair and maintenance services to TCA customers in connection with claims related to TCA's vehicle protection products. Revenues recorded by the Dealerships segment and the associated claims expense recorded by the TCA segment are eliminated upon consolidation. Intersegment revenues and profits from contracts and services are eliminated in consolidation. See Note 20 "Segment Information" for further details</w:t>
      </w:r>
      <w:r>
        <w:rPr>
          <w:rFonts w:ascii="Calibri;sans-serif" w:hAnsi="Calibri;sans-serif"/>
          <w:b w:val="false"/>
          <w:color w:val="000000"/>
          <w:sz w:val="22"/>
        </w:rPr>
        <w:t xml:space="preserve">. </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Share-Based Compensation</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 share-based compensation expense under the fair value method on a straight-line basis over the vesting period, unless the awards are subject to performance conditions, in which case we recognize the expense over the requisite service period of each separate vesting tranche. In addition, we account for the forfeiture of share-based awards as they occur. </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Share Repurchases </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 repurchases may be made from time-to-time in open market transactions or through privately negotiated transactions under the authorization approved by the Board of Directors. Periodically, the Company may retire repurchased shares of common stock previously held by the Company as treasury stock. In accordance with our accounting policy, we allocate any excess share repurchase price over par value between additional paid-in capital, which is limited to amounts initially recorded for the same issue, and retained earnings. </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2024, 2023 and 2022, the Company repurchased 830,297, 1,316,167 and 1,635,030 shares and retired 830,297, 1,370,371 and 1,580,826 shares of our common stock under our share repurchase program, respectively. On May 15, 2024, the Company announced that its Board of Directors approved an increase of $256.2 million in the Company's common share repurchase authorization to $400.0 million (the "New Share Repurchase Authorization"). As of December 31, 2024, the Company had $275.9 million remaining on its share repurchase authorization. The share repurchase authorization does not require the Company to repurchase any specific number of shares, and may be modified, suspended or terminated at any time without further notice.</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Earnings per Common Share</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 is computed by dividing net income by the weighted-average common shares outstanding during the period. Diluted earnings per common share is computed by dividing net income by the weighted-average common shares and common share equivalents outstanding during the period. For all periods presented, there were no adjustments to the numerator necessary to compute diluted earnings per share.</w:t>
      </w:r>
    </w:p>
    <w:p>
      <w:pPr>
        <w:pStyle w:val="TextBody"/>
        <w:bidi w:val="0"/>
        <w:spacing w:before="180" w:after="180"/>
        <w:ind w:left="0" w:right="0" w:firstLine="31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Advertising</w:t>
      </w:r>
    </w:p>
    <w:p>
      <w:pPr>
        <w:pStyle w:val="TextBody"/>
        <w:bidi w:val="0"/>
        <w:spacing w:lineRule="auto" w:line="288" w:before="180" w:after="180"/>
        <w:ind w:left="0" w:right="0" w:firstLine="270"/>
        <w:jc w:val="left"/>
        <w:rPr/>
      </w:pPr>
      <w:r>
        <w:rPr>
          <w:rFonts w:ascii="Times New Roman;sans-serif" w:hAnsi="Times New Roman;sans-serif"/>
          <w:b w:val="false"/>
          <w:color w:val="000000"/>
          <w:sz w:val="20"/>
        </w:rPr>
        <w:t xml:space="preserve">We expense costs of advertising as incurred and production costs when the advertising initially takes place, net of certain advertising credits and other discounts received from certain automobile manufacturers. Advertising expense totaled </w:t>
      </w:r>
      <w:r>
        <w:rPr>
          <w:rFonts w:ascii="Times New Roman;sans-serif" w:hAnsi="Times New Roman;sans-serif"/>
          <w:b w:val="false"/>
          <w:color w:val="000000"/>
          <w:sz w:val="20"/>
          <w:shd w:fill="FFFFFF" w:val="clear"/>
        </w:rPr>
        <w:t>$61.8 million</w:t>
      </w:r>
      <w:r>
        <w:rPr>
          <w:rFonts w:ascii="Times New Roman;sans-serif" w:hAnsi="Times New Roman;sans-serif"/>
          <w:b w:val="false"/>
          <w:color w:val="000000"/>
          <w:sz w:val="20"/>
        </w:rPr>
        <w:t xml:space="preserve">, $47.5 million and $50.1 million for the years ended December 31, 2024, 2023 and 2022, which was net of earned advertising credits of </w:t>
      </w:r>
      <w:r>
        <w:rPr>
          <w:rFonts w:ascii="Times New Roman;sans-serif" w:hAnsi="Times New Roman;sans-serif"/>
          <w:b w:val="false"/>
          <w:color w:val="000000"/>
          <w:sz w:val="20"/>
          <w:shd w:fill="FFFFFF" w:val="clear"/>
        </w:rPr>
        <w:t>$40.7 million</w:t>
      </w:r>
      <w:r>
        <w:rPr>
          <w:rFonts w:ascii="Times New Roman;sans-serif" w:hAnsi="Times New Roman;sans-serif"/>
          <w:b w:val="false"/>
          <w:color w:val="000000"/>
          <w:sz w:val="20"/>
        </w:rPr>
        <w:t>, $36.5 million and $35.5 million, respectively, and is included in selling, general and administrative expense in the accompanying consolidated statements of income.</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use the liability method to account for income taxes. Under this method, deferred tax assets and liabilities are recognized for the expected future tax consequences of differences between the carrying amounts of assets and liabilities and their respective tax basis using currently enacted tax rates. The effect on deferred tax assets and liabilities of a change in tax rates is recognized in income in the period when the change is enacted. Deferred tax assets are reduced by a valuation allowance when it is more likely than not that some portion or all the deferred tax assets will not be realized. </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Assets Held for Sale and Liabilities Associated with Assets Held for Sale</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Certain amounts have been classified as assets held for sale as of December 31, 2024 and 2023 in the accompanying consolidated balance sheets. Assets and liabilities classified as held for sale include assets and liabilities associated with pending dealership disposals, real estate we are actively marketing to sell, and any liabilities, if applicable. Classification as held for sale begins on the date that we have met all of the criteria for classification as held for sale.</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At the time of classifying assets as held for sale, we compare the carrying value of these assets to estimates of fair value to assess for impairment. We compare the carrying value to estimates of fair value utilizing the assistance of third-party broker opinions of value and third-party desktop appraisals to assist in our fair value estimates related to real estate properties.</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Statements of Cash Flows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Borrowings and repayments of floor plan notes payable through our senior secured credit agreement with Bank of America, as administrative agent, and the other agents and lenders party thereto (as amended, the "2023 Senior Credit Facility") and all floor plan notes payable relating to used vehicles (together referred to as "Floor Plan Notes Payable—Non-Trade"), are classified as financing activities in the accompanying consolidated statements of cash flows, with borrowings reflected separately from repayments. The net change in floor plan notes payable to a lender affiliated with the manufacturer from which we purchase a particular new vehicle (collectively referred to as "Floor Plan Notes Payable—Trade") is classified as an operating activity in the accompanying consolidated statements of cash flows. Borrowings of floor plan notes payable associated with inventory acquired in connection with all acquisitions and repayments made in connection with all divestitures are classified as a financing activity. Cash flows related to floor plan notes payable included in operating activities differ from cash flows related to floor plan notes payable included in financing activities only to the extent that the former are payable to a lender affiliated with the manufacturer from which we purchased the related inventory, while the latter are payable to our 2023 Senior Credit Facility that includes lenders affiliated with the manufacturers and lenders not affiliated with the manufacturers from which we purchased the related inventory. The majority of our floor plan notes are payable to our 2023 Senior Credit Facility, with the exception of floor plan notes payable relating to the financing of new Ford and Lincoln vehicles.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Loaner vehicles account for a significant portion of other current assets. We acquire loaner vehicles either with available cash or through borrowings from either our manufacturer affiliated lenders or through our 2023 Senior Credit Facility. Loaner vehicles are initially used by our service department for a short period of time (typically 6 to 12 months) before we seek to sell them. Therefore, we classify the acquisition of loaner vehicles in other current assets and the borrowings and repayments of loaner vehicle notes payable in accounts payable and accrued liabilities in the accompanying consolidated statements of cash flows. Loaner vehicles are depreciated over the service period to their estimated value. At the end of the loaner service period, loaner vehicles are transferred from other current assets to used vehicle inventory. </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Business and Credit Concentration Risk</w:t>
      </w:r>
    </w:p>
    <w:p>
      <w:pPr>
        <w:pStyle w:val="TextBody"/>
        <w:bidi w:val="0"/>
        <w:spacing w:lineRule="auto" w:line="288" w:before="180" w:after="180"/>
        <w:ind w:left="0" w:right="0" w:firstLine="315"/>
        <w:jc w:val="left"/>
        <w:rPr/>
      </w:pPr>
      <w:r>
        <w:rPr>
          <w:rFonts w:ascii="Times New Roman;sans-serif" w:hAnsi="Times New Roman;sans-serif"/>
          <w:b w:val="false"/>
          <w:color w:val="000000"/>
          <w:sz w:val="20"/>
        </w:rPr>
        <w:t xml:space="preserve">Financial instruments, which potentially subject us to a concentration of credit risk, consist principally of cash deposits and investments. We maintain cash balances at financial institutions with strong credit ratings. Generally, amounts maintained with these financial institutions are in excess of FDIC insurance limits. In addition, we limit our exposure through the kind, quality and concentration of these investments. As of December 31, 2024, the Company had total investments of </w:t>
      </w:r>
      <w:r>
        <w:rPr>
          <w:rFonts w:ascii="Times New Roman;sans-serif" w:hAnsi="Times New Roman;sans-serif"/>
          <w:b w:val="false"/>
          <w:color w:val="000000"/>
          <w:sz w:val="20"/>
          <w:shd w:fill="FFFFFF" w:val="clear"/>
        </w:rPr>
        <w:t>$348.6 million</w:t>
      </w:r>
      <w:r>
        <w:rPr>
          <w:rFonts w:ascii="Times New Roman;sans-serif" w:hAnsi="Times New Roman;sans-serif"/>
          <w:b w:val="false"/>
          <w:color w:val="000000"/>
          <w:sz w:val="20"/>
        </w:rPr>
        <w:t>.</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substantial debt service obligations. As of December 31, 2024, we had total debt of $3.16 billion, which excludes floor plan notes payable, debt issuance costs, and the debt premium on the 4.5% Senior Notes (the "4.5% Notes") and 4.75% Senior Notes (the "4.75% Notes") due 2028 and 2030, respectively. In addition, we and our subsidiaries have the ability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obtain additional debt from time to time to finance acquisitions, real property purchases, capital expenditures, share repurchases or for other purposes, although such borrowings are subject to the restrictions contained in the fourth amended and restated senior secured credit agreement with Bank of America, N.A. ("Bank of America"), as administrative agent, and the other lenders party thereto (the "2023 Senior Credit Facility"), the indentures governing our 4.5% Notes, 4.625% Notes, 4.75% Notes and 5.0% Notes (the "Indentures"), and our other debt instruments. We will have substantial debt service obligations, consisting of required cash payments of principal and interest, for the foreseeable future. </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operating and financial restrictions and covenants in certain of our leases and in our debt instruments, including the 2023 Senior Credit Facility, the Indentures, and the credit agreements covering our mortgage obligations. These agreements contain restrictions on, among other things, our ability to incur additional indebtedness, to create liens or other encumbrances, and to make certain payments (including dividends and repurchases of our shares and investments). These agreements may also require us to maintain compliance with certain financial and other ratios. Our failure to comply with any of these covenants in the future would constitute a default under the relevant agreement, which would, depending on the relevant agreement, (i) entitle the creditors under such agreement to terminate our ability to borrow under the relevant agreement and accelerate our obligations to repay outstanding borrowings; (ii) require us to apply our available cash to repay these borrowings; (iii) entitle the creditors under such agreement to foreclose on the property securing the relevant indebtedness; and/or (iv) prevent us from making debt service payments on certain of our other indebtedness, any of which would have a material adverse effect on our business, financial condition or results of operations. In many cases, a default under one of our debt or mortgage agreements could trigger cross-default provisions in one or more of our other debt or mortgages.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A number of our dealerships are located on properties that we lease. Each of the leases governing such properties has certain covenants with which we must comply. If we fail to comply with the covenants under our leases, the respective landlords could terminate the leases and seek damages from us.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Concentrations of credit risk with respect to contracts-in-transit and accounts receivable are limited primarily to automotive manufacturers and financial institutions. Credit risk arising from receivables with commercial customers is minimal due to the large number of customers comprising our customer base.</w:t>
      </w:r>
    </w:p>
    <w:p>
      <w:pPr>
        <w:pStyle w:val="TextBody"/>
        <w:bidi w:val="0"/>
        <w:spacing w:lineRule="auto" w:line="288" w:before="120" w:after="180"/>
        <w:ind w:left="0" w:right="0" w:firstLine="315"/>
        <w:jc w:val="left"/>
        <w:rPr/>
      </w:pPr>
      <w:r>
        <w:rPr>
          <w:rFonts w:ascii="Times New Roman;sans-serif" w:hAnsi="Times New Roman;sans-serif"/>
          <w:b w:val="false"/>
          <w:color w:val="000000"/>
          <w:sz w:val="20"/>
        </w:rPr>
        <w:t xml:space="preserve">A significant portion of our new vehicle sales are derived from a limited number of automotive manufacturers. For the year ended December 31, 2024, manufacturers representing </w:t>
      </w:r>
      <w:r>
        <w:rPr>
          <w:rFonts w:ascii="Times New Roman;sans-serif" w:hAnsi="Times New Roman;sans-serif"/>
          <w:b w:val="false"/>
          <w:color w:val="000000"/>
          <w:sz w:val="20"/>
          <w:shd w:fill="FFFFFF" w:val="clear"/>
        </w:rPr>
        <w:t>5%</w:t>
      </w:r>
      <w:r>
        <w:rPr>
          <w:color w:val="000000"/>
        </w:rPr>
        <w:t xml:space="preserve"> </w:t>
      </w:r>
      <w:r>
        <w:rPr>
          <w:rFonts w:ascii="Times New Roman;sans-serif" w:hAnsi="Times New Roman;sans-serif"/>
          <w:b w:val="false"/>
          <w:color w:val="000000"/>
          <w:sz w:val="20"/>
        </w:rPr>
        <w:t>or more of our revenues from new vehicle sales were as follows:</w:t>
      </w:r>
      <w:r>
        <w:rPr>
          <w:color w:val="000000"/>
        </w:rPr>
        <w:t> </w:t>
      </w:r>
    </w:p>
    <w:tbl>
      <w:tblPr>
        <w:tblW w:w="6253" w:type="dxa"/>
        <w:jc w:val="left"/>
        <w:tblInd w:w="0" w:type="dxa"/>
        <w:tblLayout w:type="fixed"/>
        <w:tblCellMar>
          <w:top w:w="28" w:type="dxa"/>
          <w:left w:w="28" w:type="dxa"/>
          <w:bottom w:w="28" w:type="dxa"/>
          <w:right w:w="28" w:type="dxa"/>
        </w:tblCellMar>
      </w:tblPr>
      <w:tblGrid>
        <w:gridCol w:w="1717"/>
        <w:gridCol w:w="1510"/>
        <w:gridCol w:w="1513"/>
        <w:gridCol w:w="109"/>
        <w:gridCol w:w="109"/>
        <w:gridCol w:w="109"/>
        <w:gridCol w:w="242"/>
        <w:gridCol w:w="242"/>
        <w:gridCol w:w="702"/>
      </w:tblGrid>
      <w:tr>
        <w:trPr/>
        <w:tc>
          <w:tcPr>
            <w:tcW w:w="1717"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Manufacturer (Vehicle Brands):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Total</w:t>
              <w:br/>
              <w:t>New Vehicle</w:t>
              <w:br/>
              <w:t>Revenues</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 xml:space="preserve">Toyota Motor Sales, U.S.A., Inc. </w:t>
            </w:r>
            <w:r>
              <w:rPr>
                <w:rFonts w:ascii="Times New Roman;sans-serif" w:hAnsi="Times New Roman;sans-serif"/>
                <w:b w:val="false"/>
                <w:i/>
                <w:color w:val="000000"/>
                <w:sz w:val="20"/>
              </w:rPr>
              <w:t>(Toyota and Lexus)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 xml:space="preserve">Ford Motor Company </w:t>
            </w:r>
            <w:r>
              <w:rPr>
                <w:rFonts w:ascii="Times New Roman;sans-serif" w:hAnsi="Times New Roman;sans-serif"/>
                <w:b w:val="false"/>
                <w:i/>
                <w:color w:val="000000"/>
                <w:sz w:val="20"/>
              </w:rPr>
              <w:t>(Ford and Lincoln)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 xml:space="preserve">American Honda Motor Co., Inc. </w:t>
            </w:r>
            <w:r>
              <w:rPr>
                <w:rFonts w:ascii="Times New Roman;sans-serif" w:hAnsi="Times New Roman;sans-serif"/>
                <w:b w:val="false"/>
                <w:i/>
                <w:color w:val="000000"/>
                <w:sz w:val="20"/>
              </w:rPr>
              <w:t>(Honda and Acura)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Stellantis N.V. (</w:t>
            </w:r>
            <w:r>
              <w:rPr>
                <w:rFonts w:ascii="Times New Roman;sans-serif" w:hAnsi="Times New Roman;sans-serif"/>
                <w:b w:val="false"/>
                <w:i/>
                <w:color w:val="000000"/>
                <w:sz w:val="20"/>
              </w:rPr>
              <w:t>Chrysler, Dodge, Jeep, Ram and Fiat</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Mercedes-Benz USA, LLC (</w:t>
            </w:r>
            <w:r>
              <w:rPr>
                <w:rFonts w:ascii="Times New Roman;sans-serif" w:hAnsi="Times New Roman;sans-serif"/>
                <w:b w:val="false"/>
                <w:i/>
                <w:color w:val="000000"/>
                <w:sz w:val="20"/>
              </w:rPr>
              <w:t>Mercedes-Benz and Sprinter</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General Motors Company (</w:t>
            </w:r>
            <w:r>
              <w:rPr>
                <w:rFonts w:ascii="Times New Roman;sans-serif" w:hAnsi="Times New Roman;sans-serif"/>
                <w:b w:val="false"/>
                <w:i/>
                <w:color w:val="000000"/>
                <w:sz w:val="20"/>
              </w:rPr>
              <w:t>Chevrolet, Buick and GMC)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Hyundai Motor North America (</w:t>
            </w:r>
            <w:r>
              <w:rPr>
                <w:rFonts w:ascii="Times New Roman;sans-serif" w:hAnsi="Times New Roman;sans-serif"/>
                <w:b w:val="false"/>
                <w:i/>
                <w:color w:val="000000"/>
                <w:sz w:val="20"/>
              </w:rPr>
              <w:t>Hyundai and Genesis</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ind w:left="0" w:right="0" w:firstLine="315"/>
        <w:jc w:val="left"/>
        <w:rPr/>
      </w:pPr>
      <w:r>
        <w:rPr>
          <w:rFonts w:ascii="Times New Roman;sans-serif" w:hAnsi="Times New Roman;sans-serif"/>
          <w:b w:val="false"/>
          <w:color w:val="000000"/>
          <w:sz w:val="20"/>
        </w:rPr>
        <w:t xml:space="preserve">No other manufacturers individually accounted for more than </w:t>
      </w:r>
      <w:r>
        <w:rPr>
          <w:rFonts w:ascii="Times New Roman;sans-serif" w:hAnsi="Times New Roman;sans-serif"/>
          <w:b w:val="false"/>
          <w:color w:val="000000"/>
          <w:sz w:val="20"/>
          <w:shd w:fill="FFFFFF" w:val="clear"/>
        </w:rPr>
        <w:t>5%</w:t>
      </w:r>
      <w:r>
        <w:rPr>
          <w:color w:val="000000"/>
        </w:rPr>
        <w:t xml:space="preserve"> </w:t>
      </w:r>
      <w:r>
        <w:rPr>
          <w:rFonts w:ascii="Times New Roman;sans-serif" w:hAnsi="Times New Roman;sans-serif"/>
          <w:b w:val="false"/>
          <w:color w:val="000000"/>
          <w:sz w:val="20"/>
        </w:rPr>
        <w:t>of our total new vehicle revenue for the year ended December 31, 2024.</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w:t>
      </w:r>
    </w:p>
    <w:p>
      <w:pPr>
        <w:pStyle w:val="TextBody"/>
        <w:bidi w:val="0"/>
        <w:spacing w:lineRule="auto" w:line="288" w:before="0" w:after="0"/>
        <w:ind w:left="0" w:right="0" w:firstLine="315"/>
        <w:jc w:val="left"/>
        <w:rPr/>
      </w:pPr>
      <w:r>
        <w:rPr>
          <w:rFonts w:ascii="Times New Roman;sans-serif" w:hAnsi="Times New Roman;sans-serif"/>
          <w:b w:val="false"/>
          <w:color w:val="000000"/>
          <w:sz w:val="20"/>
        </w:rPr>
        <w:t xml:space="preserve">The Financial Accounting Standards Board ("FASB") issued Accounting Standards Update ("ASU") 2024-03, </w:t>
      </w:r>
      <w:r>
        <w:rPr>
          <w:rFonts w:ascii="Times New Roman;sans-serif" w:hAnsi="Times New Roman;sans-serif"/>
          <w:b w:val="false"/>
          <w:i/>
          <w:color w:val="000000"/>
          <w:sz w:val="20"/>
        </w:rPr>
        <w:t xml:space="preserve">Disaggregation </w:t>
      </w:r>
      <w:r>
        <w:rPr>
          <w:color w:val="000000"/>
        </w:rPr>
        <w:t xml:space="preserve">– </w:t>
      </w:r>
      <w:r>
        <w:rPr>
          <w:rFonts w:ascii="Times New Roman;sans-serif" w:hAnsi="Times New Roman;sans-serif"/>
          <w:b w:val="false"/>
          <w:i/>
          <w:color w:val="000000"/>
          <w:sz w:val="20"/>
        </w:rPr>
        <w:t>Income Statement Expenses</w:t>
      </w:r>
      <w:r>
        <w:rPr>
          <w:rFonts w:ascii="Times New Roman;sans-serif" w:hAnsi="Times New Roman;sans-serif"/>
          <w:b w:val="false"/>
          <w:color w:val="000000"/>
          <w:sz w:val="20"/>
        </w:rPr>
        <w:t>, in November 2024, which requires additional disclosure of the nature of expenses included in the income statement. The new standard requires disclosures about specific types of expenses included in the expense captions presented on the face of the income statement as well as disclosures about selling expenses. The guidance is effective for annual periods beginning after December 15, 2026 and should be applied prospectively with the option of retrospective application. We are evaluating the impact of this new guidance on our consolidated financial statements.</w:t>
      </w:r>
    </w:p>
    <w:p>
      <w:pPr>
        <w:pStyle w:val="TextBody"/>
        <w:bidi w:val="0"/>
        <w:spacing w:lineRule="auto" w:line="288" w:before="180" w:after="180"/>
        <w:ind w:left="0" w:right="0" w:firstLine="315"/>
        <w:jc w:val="left"/>
        <w:rPr/>
      </w:pPr>
      <w:r>
        <w:rPr>
          <w:rFonts w:ascii="Times New Roman;sans-serif" w:hAnsi="Times New Roman;sans-serif"/>
          <w:b w:val="false"/>
          <w:color w:val="000000"/>
          <w:sz w:val="20"/>
        </w:rPr>
        <w:t xml:space="preserve">In December 2023, the FASB issued final guidance in ASU 2023-09, </w:t>
      </w:r>
      <w:r>
        <w:rPr>
          <w:rFonts w:ascii="Times New Roman;sans-serif" w:hAnsi="Times New Roman;sans-serif"/>
          <w:b w:val="false"/>
          <w:i/>
          <w:color w:val="000000"/>
          <w:sz w:val="20"/>
        </w:rPr>
        <w:t>Improvements to Income Tax Disclosures</w:t>
      </w:r>
      <w:r>
        <w:rPr>
          <w:rFonts w:ascii="Times New Roman;sans-serif" w:hAnsi="Times New Roman;sans-serif"/>
          <w:b w:val="false"/>
          <w:color w:val="000000"/>
          <w:sz w:val="20"/>
        </w:rPr>
        <w:t xml:space="preserve">, which primarily expands the disclosures related to the effective tax rate reconciliation and income taxes paid. The guidance is effective for annual periods beginning after December 15, 2024 and should be applied prospectively with the option of retrospective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8"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application. We do not expect the adoption of this accounting standard to have a significant impact on our consolidated financial statements, but it will require certain additional disclosures.</w:t>
      </w:r>
    </w:p>
    <w:p>
      <w:pPr>
        <w:pStyle w:val="TextBody"/>
        <w:bidi w:val="0"/>
        <w:spacing w:lineRule="auto" w:line="288" w:before="180" w:after="180"/>
        <w:ind w:left="0" w:right="0" w:firstLine="315"/>
        <w:jc w:val="left"/>
        <w:rPr/>
      </w:pPr>
      <w:r>
        <w:rPr>
          <w:rFonts w:ascii="Arial;sans-serif" w:hAnsi="Arial;sans-serif"/>
          <w:b w:val="false"/>
          <w:color w:val="000000"/>
          <w:sz w:val="20"/>
        </w:rPr>
        <w:t>I</w:t>
      </w:r>
      <w:r>
        <w:rPr>
          <w:rFonts w:ascii="Times New Roman;sans-serif" w:hAnsi="Times New Roman;sans-serif"/>
          <w:b w:val="false"/>
          <w:color w:val="000000"/>
          <w:sz w:val="20"/>
        </w:rPr>
        <w:t xml:space="preserve">n November 2023, the FASB issued ASU 2023-07, </w:t>
      </w:r>
      <w:r>
        <w:rPr>
          <w:rFonts w:ascii="Times New Roman;sans-serif" w:hAnsi="Times New Roman;sans-serif"/>
          <w:b w:val="false"/>
          <w:i/>
          <w:color w:val="000000"/>
          <w:sz w:val="20"/>
        </w:rPr>
        <w:t xml:space="preserve">Segment Reporting: Improvements to Reportable Segment Disclosures </w:t>
      </w:r>
      <w:r>
        <w:rPr>
          <w:rFonts w:ascii="Times New Roman;sans-serif" w:hAnsi="Times New Roman;sans-serif"/>
          <w:b w:val="false"/>
          <w:color w:val="000000"/>
          <w:sz w:val="20"/>
        </w:rPr>
        <w:t>("ASU 2023-07"), which enhances the disclosures primarily around segment expenses. In addition, the amendments expand the scope of quarterly financial reporting by requiring disclosure of both existing annual segment reporting disclosures and the expanded disclosures outlined in ASU 2023-07. The guidance should be applied retrospectively and is effective for fiscal years beginning after December 15, 2023, and for interim periods beginning after December 15, 2024. We adopted this new guidance for the year ended December 31, 2024. See Note 20, "Segment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 REVENUE RECOGNITION</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Disaggregation of Revenue</w:t>
      </w:r>
    </w:p>
    <w:p>
      <w:pPr>
        <w:pStyle w:val="TextBody"/>
        <w:bidi w:val="0"/>
        <w:spacing w:lineRule="auto" w:line="288" w:before="180" w:after="283"/>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contracts with customers consists of the following: </w:t>
      </w:r>
    </w:p>
    <w:tbl>
      <w:tblPr>
        <w:tblW w:w="7766" w:type="dxa"/>
        <w:jc w:val="left"/>
        <w:tblInd w:w="0" w:type="dxa"/>
        <w:tblLayout w:type="fixed"/>
        <w:tblCellMar>
          <w:top w:w="28" w:type="dxa"/>
          <w:left w:w="28" w:type="dxa"/>
          <w:bottom w:w="28" w:type="dxa"/>
          <w:right w:w="28" w:type="dxa"/>
        </w:tblCellMar>
      </w:tblPr>
      <w:tblGrid>
        <w:gridCol w:w="1261"/>
        <w:gridCol w:w="1115"/>
        <w:gridCol w:w="1118"/>
        <w:gridCol w:w="211"/>
        <w:gridCol w:w="871"/>
        <w:gridCol w:w="109"/>
        <w:gridCol w:w="109"/>
        <w:gridCol w:w="109"/>
        <w:gridCol w:w="109"/>
        <w:gridCol w:w="211"/>
        <w:gridCol w:w="871"/>
        <w:gridCol w:w="109"/>
        <w:gridCol w:w="109"/>
        <w:gridCol w:w="109"/>
        <w:gridCol w:w="109"/>
        <w:gridCol w:w="211"/>
        <w:gridCol w:w="871"/>
        <w:gridCol w:w="154"/>
      </w:tblGrid>
      <w:tr>
        <w:trPr/>
        <w:tc>
          <w:tcPr>
            <w:tcW w:w="1261"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millions)</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New vehicle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Used vehicle retail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Used vehicle wholesale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and used vehicle</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Sale of vehicle parts and accessories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Vehicle repair and maintenance services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15,433.8 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 Assets</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contract assets during the period are reflected in the table below. Contract assets related to vehicle repair and maintenance services are transferred to receivables when a repair order is completed and invoiced to the customer. Certain incremental sales commissions payable to obtain an F&amp;I revenue contract with a customer have been capitalized and are amortized using the same pattern of recognition applicable to the associated F&amp;I revenue contract.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9"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425"/>
        <w:gridCol w:w="1036"/>
        <w:gridCol w:w="1040"/>
        <w:gridCol w:w="466"/>
        <w:gridCol w:w="1129"/>
        <w:gridCol w:w="243"/>
        <w:gridCol w:w="109"/>
        <w:gridCol w:w="109"/>
        <w:gridCol w:w="109"/>
        <w:gridCol w:w="346"/>
        <w:gridCol w:w="839"/>
        <w:gridCol w:w="180"/>
        <w:gridCol w:w="109"/>
        <w:gridCol w:w="109"/>
        <w:gridCol w:w="109"/>
        <w:gridCol w:w="388"/>
        <w:gridCol w:w="943"/>
        <w:gridCol w:w="202"/>
        <w:gridCol w:w="109"/>
        <w:gridCol w:w="109"/>
        <w:gridCol w:w="109"/>
        <w:gridCol w:w="211"/>
        <w:gridCol w:w="616"/>
        <w:gridCol w:w="160"/>
      </w:tblGrid>
      <w:tr>
        <w:trPr/>
        <w:tc>
          <w:tcPr>
            <w:tcW w:w="142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Vehicle Repair and Maintenance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Finance and Insurance,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Deferred Sales Commissions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December 31, 2022</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Transferred to receivables from contract assets recognized at the beginning of the period</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costs incurred to obtain a contract with a customer</w:t>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incurred to obtain a contract with a customer</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w:t>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related to revenue recognized, inclusive of adjustments to constraint, during the period</w:t>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December 31, 2023</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Transferred to receivables from contract assets recognized at the beginning of the period</w:t>
            </w:r>
          </w:p>
        </w:tc>
        <w:tc>
          <w:tcPr>
            <w:tcW w:w="159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24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18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w:t>
            </w:r>
          </w:p>
        </w:tc>
        <w:tc>
          <w:tcPr>
            <w:tcW w:w="16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costs incurred to obtain a contract with a customer</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incurred to obtain a contract with a customer</w:t>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w:t>
            </w:r>
          </w:p>
        </w:tc>
      </w:tr>
      <w:tr>
        <w:trPr/>
        <w:tc>
          <w:tcPr>
            <w:tcW w:w="3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related to revenue recognized, inclusive of adjustments to constraint, during the period</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December 31, 2024</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(current), December 31, 2024</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(long-term), December 31, 2024</w:t>
            </w:r>
          </w:p>
        </w:tc>
        <w:tc>
          <w:tcPr>
            <w:tcW w:w="4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20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16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Deferred Revenue</w:t>
      </w:r>
    </w:p>
    <w:p>
      <w:pPr>
        <w:pStyle w:val="TextBody"/>
        <w:bidi w:val="0"/>
        <w:spacing w:lineRule="auto" w:line="288" w:before="180" w:after="6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consolidated balance sheet reflects $766.0 million and $736.7 million in deferred revenue as of December 31, 2024 and 2023, respectively. Approximately $239.3 million and $227.9 million of deferred revenue at December 31, 2023 and 2022, was recorded in finance and insurance, net revenue in the consolidated statements of income for the years ended December 31,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3. ACQUISITIONS AND DIVESTITURES</w:t>
      </w: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Koons Acquisition</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11, 2023, we completed the acquisition of the Jim Koons Dealerships. The results of the Jim Koons Dealerships have been included in our consolidated financial statements since that date. The Koons acquisition diversifies Asbury's geographic mix, with expansion in the greater Washington-Baltimore region of the United States.</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Koons acquisition, we acquired 20 new vehicle dealerships, six collision centers and the real property related thereto, for a total purchase price of approximately $1.50 billion, which includes $256.1 million of new vehicle floor plan financing and $100.9 million of assets held for sale related to Koons Lexus of Wilmington. The purchase price was paid in cash.</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sources of the purchase consideration are as follows:</w:t>
      </w:r>
    </w:p>
    <w:tbl>
      <w:tblPr>
        <w:tblW w:w="3770" w:type="dxa"/>
        <w:jc w:val="left"/>
        <w:tblInd w:w="0" w:type="dxa"/>
        <w:tblLayout w:type="fixed"/>
        <w:tblCellMar>
          <w:top w:w="28" w:type="dxa"/>
          <w:left w:w="28" w:type="dxa"/>
          <w:bottom w:w="28" w:type="dxa"/>
          <w:right w:w="28" w:type="dxa"/>
        </w:tblCellMar>
      </w:tblPr>
      <w:tblGrid>
        <w:gridCol w:w="952"/>
        <w:gridCol w:w="834"/>
        <w:gridCol w:w="853"/>
        <w:gridCol w:w="211"/>
        <w:gridCol w:w="766"/>
        <w:gridCol w:w="154"/>
      </w:tblGrid>
      <w:tr>
        <w:trPr/>
        <w:tc>
          <w:tcPr>
            <w:tcW w:w="95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 floor plan facility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 floor plan facility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price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Under the acquisition method of accounting, the tangible and intangible assets acquired and liabilities assumed are recorded at their estimated fair value based on information currently available. The following table summarizes the amounts recorded based on final estimates of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0"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tbl>
      <w:tblPr>
        <w:tblW w:w="5751" w:type="dxa"/>
        <w:jc w:val="left"/>
        <w:tblInd w:w="0" w:type="dxa"/>
        <w:tblLayout w:type="fixed"/>
        <w:tblCellMar>
          <w:top w:w="28" w:type="dxa"/>
          <w:left w:w="28" w:type="dxa"/>
          <w:bottom w:w="28" w:type="dxa"/>
          <w:right w:w="28" w:type="dxa"/>
        </w:tblCellMar>
      </w:tblPr>
      <w:tblGrid>
        <w:gridCol w:w="1674"/>
        <w:gridCol w:w="1468"/>
        <w:gridCol w:w="1478"/>
        <w:gridCol w:w="211"/>
        <w:gridCol w:w="766"/>
        <w:gridCol w:w="154"/>
      </w:tblGrid>
      <w:tr>
        <w:trPr/>
        <w:tc>
          <w:tcPr>
            <w:tcW w:w="1674"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Summary of Assets Acquired and Liabilities Assumed</w:t>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held for sale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franchise rights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assets acquired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acquisition accounting is based upon the Company’s estimates of fair value. The estimated fair values of the assets acquired and liabilities assumed and the related acquisition accounting are based on management’s estimates and assumptions, as well as other information compiled by management, including the books and records of Koons. Measurement period adjustments recorded during the year ended December 31, 2024 and their related effects on our consolidated statements of income were not material. Furthermore, we recorded a $26.7 million measurement period adjustment to reflect the fair value of franchise rights acquired, with a corresponding increase to goodwill, within our consolidated balance sheet during the year ended December 31, 2024.</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Approximately $401.0 million of the purchase price was assigned to the indefinite lived franchise rights intangible assets related to the dealer agreements applicable to each new vehicle dealership. In addition, goodwill of $272.4 million was recognized and is attributable to the anticipated synergies that Asbury expects to derive from the Koons acquisition as well as the acquired assembled workforce of the Koons dealerships.</w:t>
      </w:r>
    </w:p>
    <w:p>
      <w:pPr>
        <w:pStyle w:val="TextBody"/>
        <w:bidi w:val="0"/>
        <w:spacing w:lineRule="auto" w:line="288" w:before="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$4.1 million of acquisition related costs during the year ended December 31, 2023. These costs are included in selling, general and administrative in the consolidated statements of income. The Company did not incur acquisition related costs during the year ended December 31, 2024.</w:t>
      </w:r>
    </w:p>
    <w:p>
      <w:pPr>
        <w:pStyle w:val="TextBody"/>
        <w:bidi w:val="0"/>
        <w:spacing w:lineRule="auto" w:line="288" w:before="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manufacturer franchise rights associated with our Dealerships segment acquisitions are deductible for federal and state income tax purposes ratably over a 15-year period.</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consolidated statements of income for the year ended December 31, 2024 included revenue and net income attributable to the Jim Koons Dealerships of $2,805.5 million and $86.9 million, respectively.</w:t>
      </w:r>
    </w:p>
    <w:p>
      <w:pPr>
        <w:pStyle w:val="TextBody"/>
        <w:bidi w:val="0"/>
        <w:spacing w:lineRule="auto" w:line="288" w:before="18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represents the unaudited pro forma information as if the Koons acquisition had been included in the consolidated results of the Company since January 1, 2022:</w:t>
      </w:r>
    </w:p>
    <w:tbl>
      <w:tblPr>
        <w:tblW w:w="4602" w:type="dxa"/>
        <w:jc w:val="left"/>
        <w:tblInd w:w="0" w:type="dxa"/>
        <w:tblLayout w:type="fixed"/>
        <w:tblCellMar>
          <w:top w:w="28" w:type="dxa"/>
          <w:left w:w="28" w:type="dxa"/>
          <w:bottom w:w="28" w:type="dxa"/>
          <w:right w:w="28" w:type="dxa"/>
        </w:tblCellMar>
      </w:tblPr>
      <w:tblGrid>
        <w:gridCol w:w="667"/>
        <w:gridCol w:w="587"/>
        <w:gridCol w:w="590"/>
        <w:gridCol w:w="211"/>
        <w:gridCol w:w="873"/>
        <w:gridCol w:w="109"/>
        <w:gridCol w:w="109"/>
        <w:gridCol w:w="109"/>
        <w:gridCol w:w="109"/>
        <w:gridCol w:w="211"/>
        <w:gridCol w:w="873"/>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565" w:type="dxa"/>
            <w:gridSpan w:val="6"/>
            <w:tcBorders/>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above pro forma financial information adjusts the revenue and net income related to the Koons acquisition primarily for (1) depreciation and interest expense assuming that the fair value adjustments and indebtedness incurred in connection with the Koons acquisition had occurred on January 1, 2022 and (2) the exclusion of Koons Lexus of Wilmington, which is classified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1"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assets held for sale as of December 31, 2023. The pro forma net income for the year ended December 31, 2023 includes $117.2 million of asset impairments recorded by the Company during the fourth quarter of 2023.</w:t>
      </w:r>
    </w:p>
    <w:p>
      <w:pPr>
        <w:pStyle w:val="TextBody"/>
        <w:bidi w:val="0"/>
        <w:spacing w:lineRule="auto" w:line="288" w:before="180" w:after="180"/>
        <w:jc w:val="left"/>
        <w:rPr/>
      </w:pPr>
      <w:r>
        <w:rPr>
          <w:rFonts w:ascii="Times New Roman;sans-serif" w:hAnsi="Times New Roman;sans-serif"/>
          <w:b/>
          <w:color w:val="000000"/>
          <w:sz w:val="20"/>
        </w:rPr>
        <w:t>Other Acquisitions and Divestitures</w:t>
      </w:r>
      <w:r>
        <w:rPr>
          <w:color w:val="000000"/>
        </w:rPr>
        <w:t xml:space="preserve"> </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14, 2025, the Company, through one of its subsidiaries, entered into a Transaction Agreement with various entities that comprise the Herb Chambers Dealerships. See Note 23 "Subsequent Event” for more information.</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other acquisitions during the years ended December 31, 2024, 2023 and 2022.</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we sold one Lexus franchise (one dealership location) in Wilmington, Delaware due to OEM requirements in connection with the Koons acquisition, one Nissan franchise (one dealership location) in Denver, Colorado, one Nissan franchise (one dealership location) in Atlanta, Georgia, one Chevrolet franchise (one dealership location) in Atlanta, Georgia and one Honda franchise (one dealership location) in Spokane, Washington. The Company recorded a pre-tax gain totaling $8.6 million, which is presented in our accompanying consolidated statements of income as a gain on dealership divestitures, net.</w:t>
      </w:r>
    </w:p>
    <w:p>
      <w:pPr>
        <w:pStyle w:val="TextBody"/>
        <w:bidi w:val="0"/>
        <w:spacing w:lineRule="auto" w:line="288" w:before="0" w:after="18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we sold one franchise (one dealership location) in Austin, Texas. The Company recorded a pre-tax gain totaling $13.5 million. </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we sold one franchise (one dealership location) in St. Louis, Missouri, three franchises (three dealership locations) and one collision center in Denver, Colorado, two franchises (two dealership locations) in Spokane, Washington, one franchise (one dealership location) in Albuquerque, New Mexico and 11 franchises (nine dealership locations) and two collision centers in North Carolina. The Company recorded a pre-tax gain totaling $207.1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4. ACCOUNTS RECEIVABLE</w:t>
      </w:r>
    </w:p>
    <w:p>
      <w:pPr>
        <w:pStyle w:val="TextBody"/>
        <w:bidi w:val="0"/>
        <w:spacing w:lineRule="auto" w:line="288" w:before="100" w:after="283"/>
        <w:ind w:left="0" w:right="0" w:firstLine="315"/>
        <w:jc w:val="left"/>
        <w:rPr/>
      </w:pPr>
      <w:r>
        <w:rPr>
          <w:rFonts w:ascii="Times New Roman;sans-serif" w:hAnsi="Times New Roman;sans-serif"/>
          <w:b w:val="false"/>
          <w:color w:val="000000"/>
          <w:sz w:val="20"/>
        </w:rPr>
        <w:t>Accounts receivable consisted of the following:</w:t>
      </w:r>
      <w:r>
        <w:rPr>
          <w:color w:val="000000"/>
        </w:rPr>
        <w:t> </w:t>
      </w:r>
    </w:p>
    <w:tbl>
      <w:tblPr>
        <w:tblW w:w="5093" w:type="dxa"/>
        <w:jc w:val="center"/>
        <w:tblInd w:w="0" w:type="dxa"/>
        <w:tblLayout w:type="fixed"/>
        <w:tblCellMar>
          <w:top w:w="28" w:type="dxa"/>
          <w:left w:w="28" w:type="dxa"/>
          <w:bottom w:w="28" w:type="dxa"/>
          <w:right w:w="28" w:type="dxa"/>
        </w:tblCellMar>
      </w:tblPr>
      <w:tblGrid>
        <w:gridCol w:w="1031"/>
        <w:gridCol w:w="908"/>
        <w:gridCol w:w="910"/>
        <w:gridCol w:w="211"/>
        <w:gridCol w:w="616"/>
        <w:gridCol w:w="109"/>
        <w:gridCol w:w="109"/>
        <w:gridCol w:w="109"/>
        <w:gridCol w:w="109"/>
        <w:gridCol w:w="211"/>
        <w:gridCol w:w="616"/>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 receivables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Manufacturer receivables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accounts receivable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Less—Allowance for credit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5. INVENTORIES</w:t>
      </w:r>
    </w:p>
    <w:p>
      <w:pPr>
        <w:pStyle w:val="TextBody"/>
        <w:bidi w:val="0"/>
        <w:spacing w:lineRule="auto" w:line="288" w:before="10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consisted of the following:</w:t>
      </w:r>
    </w:p>
    <w:tbl>
      <w:tblPr>
        <w:tblW w:w="4659" w:type="dxa"/>
        <w:jc w:val="left"/>
        <w:tblInd w:w="0" w:type="dxa"/>
        <w:tblLayout w:type="fixed"/>
        <w:tblCellMar>
          <w:top w:w="28" w:type="dxa"/>
          <w:left w:w="28" w:type="dxa"/>
          <w:bottom w:w="28" w:type="dxa"/>
          <w:right w:w="28" w:type="dxa"/>
        </w:tblCellMar>
      </w:tblPr>
      <w:tblGrid>
        <w:gridCol w:w="766"/>
        <w:gridCol w:w="671"/>
        <w:gridCol w:w="678"/>
        <w:gridCol w:w="211"/>
        <w:gridCol w:w="766"/>
        <w:gridCol w:w="109"/>
        <w:gridCol w:w="109"/>
        <w:gridCol w:w="109"/>
        <w:gridCol w:w="109"/>
        <w:gridCol w:w="211"/>
        <w:gridCol w:w="766"/>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accessories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 net (a)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Inventories, net as of December 31, 2024 and December 31, 2023, excluded $58.7 million and $84.5 million classified as assets held for sale, respectively.</w:t>
      </w:r>
    </w:p>
    <w:p>
      <w:pPr>
        <w:pStyle w:val="TextBody"/>
        <w:bidi w:val="0"/>
        <w:spacing w:lineRule="auto" w:line="288" w:before="14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lower of cost and net realizable value reserves reduced total inventory cost by $9.7 million and $8.8 million, respectively as of December 31, 2024 and 2023. As of December 31, 2024 and 2023, certain automobile manufacturer incentives reduced new vehicle inventory cost by $13.8 million and $8.3 million, respectively, and reduced new vehicle cost of sales for the years ended December 31, 2024, 2023 and 2022 by $113.4 million, $94.1 million and $91.5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2"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6. ASSETS HELD FOR SALE</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Assets and liabilities classified as held for sale include assets and liabilities associated with pending dealership disposals, and real estate not currently used in our operations that we are actively marketing to sell.</w:t>
      </w:r>
    </w:p>
    <w:p>
      <w:pPr>
        <w:pStyle w:val="TextBody"/>
        <w:bidi w:val="0"/>
        <w:spacing w:lineRule="auto" w:line="288" w:before="0" w:after="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assets held for sale and liabilities associated with assets held for sale is as follows:</w:t>
      </w:r>
    </w:p>
    <w:tbl>
      <w:tblPr>
        <w:tblW w:w="6459" w:type="dxa"/>
        <w:jc w:val="left"/>
        <w:tblInd w:w="0" w:type="dxa"/>
        <w:tblLayout w:type="fixed"/>
        <w:tblCellMar>
          <w:top w:w="28" w:type="dxa"/>
          <w:left w:w="28" w:type="dxa"/>
          <w:bottom w:w="28" w:type="dxa"/>
          <w:right w:w="28" w:type="dxa"/>
        </w:tblCellMar>
      </w:tblPr>
      <w:tblGrid>
        <w:gridCol w:w="1520"/>
        <w:gridCol w:w="1338"/>
        <w:gridCol w:w="1357"/>
        <w:gridCol w:w="211"/>
        <w:gridCol w:w="616"/>
        <w:gridCol w:w="109"/>
        <w:gridCol w:w="109"/>
        <w:gridCol w:w="109"/>
        <w:gridCol w:w="109"/>
        <w:gridCol w:w="211"/>
        <w:gridCol w:w="616"/>
        <w:gridCol w:w="154"/>
      </w:tblGrid>
      <w:tr>
        <w:trPr/>
        <w:tc>
          <w:tcPr>
            <w:tcW w:w="152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Loaners,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Franchise rights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held for sale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operating leases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liabilities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associated with assets held for sale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held for sale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80"/>
        <w:ind w:left="0" w:right="0" w:firstLine="315"/>
        <w:jc w:val="left"/>
        <w:rPr/>
      </w:pPr>
      <w:r>
        <w:rPr>
          <w:rFonts w:ascii="Times New Roman;sans-serif" w:hAnsi="Times New Roman;sans-serif"/>
          <w:b w:val="false"/>
          <w:color w:val="000000"/>
          <w:sz w:val="20"/>
        </w:rPr>
        <w:t>As of December 31, 2024, assets held for sale consisted of seven franchises (six dealership locations) in a</w:t>
      </w:r>
      <w:r>
        <w:rPr>
          <w:rFonts w:ascii="Times New Roman;sans-serif" w:hAnsi="Times New Roman;sans-serif"/>
          <w:b w:val="false"/>
          <w:color w:val="000000"/>
          <w:sz w:val="20"/>
          <w:shd w:fill="FFFFFF" w:val="clear"/>
        </w:rPr>
        <w:t>ddit</w:t>
      </w:r>
      <w:r>
        <w:rPr>
          <w:rFonts w:ascii="Times New Roman;sans-serif" w:hAnsi="Times New Roman;sans-serif"/>
          <w:b w:val="false"/>
          <w:color w:val="000000"/>
          <w:sz w:val="20"/>
        </w:rPr>
        <w:t xml:space="preserve">ion to one real </w:t>
      </w:r>
      <w:r>
        <w:rPr>
          <w:rFonts w:ascii="Times New Roman;sans-serif" w:hAnsi="Times New Roman;sans-serif"/>
          <w:b w:val="false"/>
          <w:color w:val="000000"/>
          <w:sz w:val="20"/>
          <w:shd w:fill="FFFFFF" w:val="clear"/>
        </w:rPr>
        <w:t>estate property not currently used in our operations.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assets held for sale consisted of 11 franchises (11 dealership locations) in addition to one real estate property not currently used in our operations.</w:t>
      </w:r>
    </w:p>
    <w:p>
      <w:pPr>
        <w:pStyle w:val="TextBody"/>
        <w:bidi w:val="0"/>
        <w:spacing w:lineRule="auto" w:line="288" w:before="180" w:after="180"/>
        <w:ind w:left="0" w:right="0" w:firstLine="315"/>
        <w:jc w:val="left"/>
        <w:rPr/>
      </w:pPr>
      <w:r>
        <w:rPr>
          <w:rFonts w:ascii="Times New Roman;sans-serif" w:hAnsi="Times New Roman;sans-serif"/>
          <w:b w:val="false"/>
          <w:color w:val="000000"/>
          <w:sz w:val="20"/>
        </w:rPr>
        <w:t xml:space="preserve">During the year ended December 31, 2024, </w:t>
      </w:r>
      <w:r>
        <w:rPr>
          <w:rFonts w:ascii="Times New Roman;sans-serif" w:hAnsi="Times New Roman;sans-serif"/>
          <w:b w:val="false"/>
          <w:color w:val="000000"/>
          <w:sz w:val="20"/>
          <w:shd w:fill="FFFFFF" w:val="clear"/>
        </w:rPr>
        <w:t>the Company sold five franchises (five dealership locations) for a pre-tax gain totaling $8.6 million.</w:t>
      </w:r>
    </w:p>
    <w:p>
      <w:pPr>
        <w:pStyle w:val="TextBody"/>
        <w:bidi w:val="0"/>
        <w:spacing w:lineRule="auto" w:line="288" w:before="180" w:after="180"/>
        <w:ind w:left="0" w:right="0" w:firstLine="315"/>
        <w:jc w:val="left"/>
        <w:rPr/>
      </w:pPr>
      <w:r>
        <w:rPr>
          <w:rFonts w:ascii="Times New Roman;sans-serif" w:hAnsi="Times New Roman;sans-serif"/>
          <w:b w:val="false"/>
          <w:color w:val="000000"/>
          <w:sz w:val="20"/>
        </w:rPr>
        <w:t xml:space="preserve">During the year ended December 31, 2023, </w:t>
      </w:r>
      <w:r>
        <w:rPr>
          <w:rFonts w:ascii="Times New Roman;sans-serif" w:hAnsi="Times New Roman;sans-serif"/>
          <w:b w:val="false"/>
          <w:color w:val="000000"/>
          <w:sz w:val="20"/>
          <w:shd w:fill="FFFFFF" w:val="clear"/>
        </w:rPr>
        <w:t>the Company sold one franchise (one dealership location) for a pre-tax gain totaling $13.5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7. OTHER CURRENT ASSETS</w:t>
      </w:r>
    </w:p>
    <w:p>
      <w:pPr>
        <w:pStyle w:val="TextBody"/>
        <w:bidi w:val="0"/>
        <w:spacing w:lineRule="auto" w:line="288" w:before="100" w:after="283"/>
        <w:ind w:left="0" w:right="0" w:firstLine="315"/>
        <w:jc w:val="left"/>
        <w:rPr/>
      </w:pPr>
      <w:r>
        <w:rPr>
          <w:rFonts w:ascii="Times New Roman;sans-serif" w:hAnsi="Times New Roman;sans-serif"/>
          <w:b w:val="false"/>
          <w:color w:val="000000"/>
          <w:sz w:val="20"/>
        </w:rPr>
        <w:t>Other current assets consisted of the following:</w:t>
      </w:r>
      <w:r>
        <w:rPr>
          <w:color w:val="000000"/>
        </w:rPr>
        <w:t> </w:t>
      </w:r>
    </w:p>
    <w:tbl>
      <w:tblPr>
        <w:tblW w:w="4629" w:type="dxa"/>
        <w:jc w:val="left"/>
        <w:tblInd w:w="0" w:type="dxa"/>
        <w:tblLayout w:type="fixed"/>
        <w:tblCellMar>
          <w:top w:w="28" w:type="dxa"/>
          <w:left w:w="28" w:type="dxa"/>
          <w:bottom w:w="28" w:type="dxa"/>
          <w:right w:w="28" w:type="dxa"/>
        </w:tblCellMar>
      </w:tblPr>
      <w:tblGrid>
        <w:gridCol w:w="863"/>
        <w:gridCol w:w="758"/>
        <w:gridCol w:w="764"/>
        <w:gridCol w:w="211"/>
        <w:gridCol w:w="616"/>
        <w:gridCol w:w="109"/>
        <w:gridCol w:w="109"/>
        <w:gridCol w:w="109"/>
        <w:gridCol w:w="109"/>
        <w:gridCol w:w="211"/>
        <w:gridCol w:w="616"/>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Loaner vehicles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assets (see Note 2)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3"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18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8. INVESTMENTS</w:t>
      </w:r>
    </w:p>
    <w:p>
      <w:pPr>
        <w:pStyle w:val="TextBody"/>
        <w:bidi w:val="0"/>
        <w:spacing w:lineRule="auto" w:line="288" w:before="0" w:after="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Our investment portfolio is primarily funded by product premiums from the sale of our TCA F&amp;I products. The amortized cost, gross unrealized gains and losses and estimated fair values of debt securities available-for-sale and other investments measured at net asset value are as follows:</w:t>
      </w:r>
    </w:p>
    <w:p>
      <w:pPr>
        <w:pStyle w:val="TextBody"/>
        <w:bidi w:val="0"/>
        <w:spacing w:before="0" w:after="0"/>
        <w:ind w:left="0" w:right="0" w:firstLine="315"/>
        <w:jc w:val="left"/>
        <w:rPr/>
      </w:pPr>
      <w:r>
        <w:rPr/>
      </w:r>
    </w:p>
    <w:tbl>
      <w:tblPr>
        <w:tblW w:w="10205" w:type="dxa"/>
        <w:jc w:val="left"/>
        <w:tblInd w:w="0" w:type="dxa"/>
        <w:tblLayout w:type="fixed"/>
        <w:tblCellMar>
          <w:top w:w="28" w:type="dxa"/>
          <w:left w:w="28" w:type="dxa"/>
          <w:bottom w:w="28" w:type="dxa"/>
          <w:right w:w="28" w:type="dxa"/>
        </w:tblCellMar>
      </w:tblPr>
      <w:tblGrid>
        <w:gridCol w:w="1169"/>
        <w:gridCol w:w="1017"/>
        <w:gridCol w:w="1021"/>
        <w:gridCol w:w="282"/>
        <w:gridCol w:w="827"/>
        <w:gridCol w:w="145"/>
        <w:gridCol w:w="109"/>
        <w:gridCol w:w="109"/>
        <w:gridCol w:w="109"/>
        <w:gridCol w:w="109"/>
        <w:gridCol w:w="109"/>
        <w:gridCol w:w="509"/>
        <w:gridCol w:w="980"/>
        <w:gridCol w:w="265"/>
        <w:gridCol w:w="109"/>
        <w:gridCol w:w="109"/>
        <w:gridCol w:w="109"/>
        <w:gridCol w:w="513"/>
        <w:gridCol w:w="1024"/>
        <w:gridCol w:w="267"/>
        <w:gridCol w:w="109"/>
        <w:gridCol w:w="109"/>
        <w:gridCol w:w="109"/>
        <w:gridCol w:w="211"/>
        <w:gridCol w:w="616"/>
        <w:gridCol w:w="160"/>
      </w:tblGrid>
      <w:tr>
        <w:trPr/>
        <w:tc>
          <w:tcPr>
            <w:tcW w:w="116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2024</w:t>
            </w:r>
          </w:p>
        </w:tc>
        <w:tc>
          <w:tcPr>
            <w:tcW w:w="1314" w:type="dxa"/>
            <w:gridSpan w:val="6"/>
            <w:tcBorders/>
          </w:tcPr>
          <w:p>
            <w:pPr>
              <w:pStyle w:val="TableContents"/>
              <w:bidi w:val="0"/>
              <w:spacing w:before="0" w:after="283"/>
              <w:jc w:val="left"/>
              <w:rPr>
                <w:sz w:val="4"/>
                <w:szCs w:val="4"/>
              </w:rPr>
            </w:pPr>
            <w:r>
              <w:rPr>
                <w:sz w:val="4"/>
                <w:szCs w:val="4"/>
              </w:rPr>
            </w:r>
          </w:p>
        </w:tc>
      </w:tr>
      <w:tr>
        <w:trPr/>
        <w:tc>
          <w:tcPr>
            <w:tcW w:w="3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3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1314" w:type="dxa"/>
            <w:gridSpan w:val="6"/>
            <w:tcBorders/>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and other asset-backed securities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349.8 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15"/>
        <w:jc w:val="left"/>
        <w:rPr/>
      </w:pPr>
      <w:r>
        <w:rPr/>
      </w:r>
    </w:p>
    <w:p>
      <w:pPr>
        <w:pStyle w:val="TextBody"/>
        <w:bidi w:val="0"/>
        <w:spacing w:before="0" w:after="0"/>
        <w:ind w:left="0" w:right="0" w:firstLine="315"/>
        <w:jc w:val="left"/>
        <w:rPr/>
      </w:pPr>
      <w:r>
        <w:rPr/>
      </w:r>
    </w:p>
    <w:tbl>
      <w:tblPr>
        <w:tblW w:w="10205" w:type="dxa"/>
        <w:jc w:val="left"/>
        <w:tblInd w:w="0" w:type="dxa"/>
        <w:tblLayout w:type="fixed"/>
        <w:tblCellMar>
          <w:top w:w="28" w:type="dxa"/>
          <w:left w:w="28" w:type="dxa"/>
          <w:bottom w:w="28" w:type="dxa"/>
          <w:right w:w="28" w:type="dxa"/>
        </w:tblCellMar>
      </w:tblPr>
      <w:tblGrid>
        <w:gridCol w:w="1169"/>
        <w:gridCol w:w="1017"/>
        <w:gridCol w:w="1021"/>
        <w:gridCol w:w="282"/>
        <w:gridCol w:w="827"/>
        <w:gridCol w:w="145"/>
        <w:gridCol w:w="109"/>
        <w:gridCol w:w="109"/>
        <w:gridCol w:w="109"/>
        <w:gridCol w:w="109"/>
        <w:gridCol w:w="109"/>
        <w:gridCol w:w="509"/>
        <w:gridCol w:w="980"/>
        <w:gridCol w:w="265"/>
        <w:gridCol w:w="109"/>
        <w:gridCol w:w="109"/>
        <w:gridCol w:w="109"/>
        <w:gridCol w:w="513"/>
        <w:gridCol w:w="1024"/>
        <w:gridCol w:w="267"/>
        <w:gridCol w:w="109"/>
        <w:gridCol w:w="109"/>
        <w:gridCol w:w="109"/>
        <w:gridCol w:w="211"/>
        <w:gridCol w:w="616"/>
        <w:gridCol w:w="160"/>
      </w:tblGrid>
      <w:tr>
        <w:trPr/>
        <w:tc>
          <w:tcPr>
            <w:tcW w:w="116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2023</w:t>
            </w:r>
          </w:p>
        </w:tc>
        <w:tc>
          <w:tcPr>
            <w:tcW w:w="1314" w:type="dxa"/>
            <w:gridSpan w:val="6"/>
            <w:tcBorders/>
          </w:tcPr>
          <w:p>
            <w:pPr>
              <w:pStyle w:val="TableContents"/>
              <w:bidi w:val="0"/>
              <w:spacing w:before="0" w:after="283"/>
              <w:jc w:val="left"/>
              <w:rPr>
                <w:sz w:val="4"/>
                <w:szCs w:val="4"/>
              </w:rPr>
            </w:pPr>
            <w:r>
              <w:rPr>
                <w:sz w:val="4"/>
                <w:szCs w:val="4"/>
              </w:rPr>
            </w:r>
          </w:p>
        </w:tc>
      </w:tr>
      <w:tr>
        <w:trPr/>
        <w:tc>
          <w:tcPr>
            <w:tcW w:w="3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3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1314" w:type="dxa"/>
            <w:gridSpan w:val="6"/>
            <w:tcBorders/>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and other asset-backed securities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332.9 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the Company had $2.8 million and $2.5 million of accrued interest receivable, respectively, which is included in other current assets on the consolidated balance sheets. The Company does not consider accrued interest receivable in the carrying amount of financial assets held at amortized cost basis or in the allowance for credit losses.</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amortized costs and fair value of investments by time to maturity, is as follows:</w:t>
      </w:r>
    </w:p>
    <w:tbl>
      <w:tblPr>
        <w:tblW w:w="6317" w:type="dxa"/>
        <w:jc w:val="left"/>
        <w:tblInd w:w="0" w:type="dxa"/>
        <w:tblLayout w:type="fixed"/>
        <w:tblCellMar>
          <w:top w:w="28" w:type="dxa"/>
          <w:left w:w="28" w:type="dxa"/>
          <w:bottom w:w="28" w:type="dxa"/>
          <w:right w:w="28" w:type="dxa"/>
        </w:tblCellMar>
      </w:tblPr>
      <w:tblGrid>
        <w:gridCol w:w="1304"/>
        <w:gridCol w:w="1147"/>
        <w:gridCol w:w="1164"/>
        <w:gridCol w:w="314"/>
        <w:gridCol w:w="918"/>
        <w:gridCol w:w="162"/>
        <w:gridCol w:w="109"/>
        <w:gridCol w:w="109"/>
        <w:gridCol w:w="109"/>
        <w:gridCol w:w="211"/>
        <w:gridCol w:w="616"/>
        <w:gridCol w:w="154"/>
      </w:tblGrid>
      <w:tr>
        <w:trPr/>
        <w:tc>
          <w:tcPr>
            <w:tcW w:w="130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2024</w:t>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1 year or less</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1-5 years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6-10 years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10 years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by maturity</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and other asset-backed securities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 securities</w:t>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349.8 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2024, we recorded $1.2 million gross gains and $0.6 million gross losses realized related to the sales of available-for-sale debt securities carried at fair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4"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we recorded $0.5 million gross gains and $1.5 million gross losses realized related to the sales of available-for-sale debt securities carried at fair value. During the year ended December 31, 2023, we recorded $3.7 million gross gains and $0.9 million gross losses realized related to the sales of equity securities carried at fair value.</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we recorded $0.1 million gross gains and $2.0 million gross losses realized related to the sales of available-for-sale debt securities carried at fair value. During the year ended December 31, 2022, we recorded $10.1 million gross gains and $3.6 million gross losses realized related to the sales of equity securities carried at fair value.</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amount of unrealized losses, defined as the amount by which the amortized cost exceeds fair value, and the related fair value of investments with unrealized losses. The investments were segregated into two categories: those that have been in a continuous unrealized loss position for less than 12 months and those that have been in a continuous unrealized loss position of 12 or more months. The reference point for determining how long an investment was in an unrealized loss position was December 31, 2024.</w:t>
      </w:r>
    </w:p>
    <w:tbl>
      <w:tblPr>
        <w:tblW w:w="10205" w:type="dxa"/>
        <w:jc w:val="left"/>
        <w:tblInd w:w="0" w:type="dxa"/>
        <w:tblLayout w:type="fixed"/>
        <w:tblCellMar>
          <w:top w:w="28" w:type="dxa"/>
          <w:left w:w="28" w:type="dxa"/>
          <w:bottom w:w="28" w:type="dxa"/>
          <w:right w:w="28" w:type="dxa"/>
        </w:tblCellMar>
      </w:tblPr>
      <w:tblGrid>
        <w:gridCol w:w="837"/>
        <w:gridCol w:w="706"/>
        <w:gridCol w:w="708"/>
        <w:gridCol w:w="211"/>
        <w:gridCol w:w="616"/>
        <w:gridCol w:w="109"/>
        <w:gridCol w:w="109"/>
        <w:gridCol w:w="109"/>
        <w:gridCol w:w="109"/>
        <w:gridCol w:w="334"/>
        <w:gridCol w:w="667"/>
        <w:gridCol w:w="174"/>
        <w:gridCol w:w="109"/>
        <w:gridCol w:w="109"/>
        <w:gridCol w:w="109"/>
        <w:gridCol w:w="220"/>
        <w:gridCol w:w="534"/>
        <w:gridCol w:w="113"/>
        <w:gridCol w:w="109"/>
        <w:gridCol w:w="109"/>
        <w:gridCol w:w="109"/>
        <w:gridCol w:w="334"/>
        <w:gridCol w:w="667"/>
        <w:gridCol w:w="174"/>
        <w:gridCol w:w="109"/>
        <w:gridCol w:w="109"/>
        <w:gridCol w:w="109"/>
        <w:gridCol w:w="211"/>
        <w:gridCol w:w="616"/>
        <w:gridCol w:w="109"/>
        <w:gridCol w:w="109"/>
        <w:gridCol w:w="109"/>
        <w:gridCol w:w="109"/>
        <w:gridCol w:w="327"/>
        <w:gridCol w:w="653"/>
        <w:gridCol w:w="250"/>
      </w:tblGrid>
      <w:tr>
        <w:trPr/>
        <w:tc>
          <w:tcPr>
            <w:tcW w:w="837"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2024</w:t>
            </w:r>
          </w:p>
        </w:tc>
      </w:tr>
      <w:tr>
        <w:trPr/>
        <w:tc>
          <w:tcPr>
            <w:tcW w:w="22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2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r>
      <w:tr>
        <w:trPr/>
        <w:tc>
          <w:tcPr>
            <w:tcW w:w="22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54"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and other asset-backed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837"/>
        <w:gridCol w:w="706"/>
        <w:gridCol w:w="708"/>
        <w:gridCol w:w="220"/>
        <w:gridCol w:w="534"/>
        <w:gridCol w:w="113"/>
        <w:gridCol w:w="109"/>
        <w:gridCol w:w="109"/>
        <w:gridCol w:w="109"/>
        <w:gridCol w:w="334"/>
        <w:gridCol w:w="667"/>
        <w:gridCol w:w="174"/>
        <w:gridCol w:w="109"/>
        <w:gridCol w:w="109"/>
        <w:gridCol w:w="109"/>
        <w:gridCol w:w="211"/>
        <w:gridCol w:w="616"/>
        <w:gridCol w:w="109"/>
        <w:gridCol w:w="109"/>
        <w:gridCol w:w="109"/>
        <w:gridCol w:w="109"/>
        <w:gridCol w:w="334"/>
        <w:gridCol w:w="667"/>
        <w:gridCol w:w="174"/>
        <w:gridCol w:w="109"/>
        <w:gridCol w:w="109"/>
        <w:gridCol w:w="109"/>
        <w:gridCol w:w="211"/>
        <w:gridCol w:w="616"/>
        <w:gridCol w:w="109"/>
        <w:gridCol w:w="109"/>
        <w:gridCol w:w="109"/>
        <w:gridCol w:w="109"/>
        <w:gridCol w:w="327"/>
        <w:gridCol w:w="653"/>
        <w:gridCol w:w="250"/>
      </w:tblGrid>
      <w:tr>
        <w:trPr/>
        <w:tc>
          <w:tcPr>
            <w:tcW w:w="837"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2023</w:t>
            </w:r>
          </w:p>
        </w:tc>
      </w:tr>
      <w:tr>
        <w:trPr/>
        <w:tc>
          <w:tcPr>
            <w:tcW w:w="22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2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r>
      <w:tr>
        <w:trPr/>
        <w:tc>
          <w:tcPr>
            <w:tcW w:w="22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54"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w:t>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w:t>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and other asset-backed securities</w:t>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securities</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credit loss model applicable to the available-for-sale debt securities, requires the recognition of credit losses through an allowance account, which are recognized once securities become impaired. The Company reviews the investment securities portfolio at the security level on a quarterly basis for potential credit losses, which takes into consideration numerous factors as described in Note 1. The decline in fair value identified in the tables above are a result of widening market spreads and not a result of credit quality. Additionally, the Company has determined it has both the intent and ability to hold these investments until the market price recovers or until maturity and does not believe it will be required to sell the securities before maturity. Accordingly, no credit losses were recognized on these securities during the years ended December 31, 2024,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283"/>
        <w:ind w:left="0" w:right="0" w:hanging="14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5"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9. PROPERTY AND EQUIPMENT, NET</w:t>
      </w:r>
    </w:p>
    <w:p>
      <w:pPr>
        <w:pStyle w:val="TextBody"/>
        <w:bidi w:val="0"/>
        <w:spacing w:lineRule="auto" w:line="288" w:before="10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w:t>
      </w:r>
    </w:p>
    <w:tbl>
      <w:tblPr>
        <w:tblW w:w="5844" w:type="dxa"/>
        <w:jc w:val="left"/>
        <w:tblInd w:w="0" w:type="dxa"/>
        <w:tblLayout w:type="fixed"/>
        <w:tblCellMar>
          <w:top w:w="28" w:type="dxa"/>
          <w:left w:w="28" w:type="dxa"/>
          <w:bottom w:w="28" w:type="dxa"/>
          <w:right w:w="28" w:type="dxa"/>
        </w:tblCellMar>
      </w:tblPr>
      <w:tblGrid>
        <w:gridCol w:w="1195"/>
        <w:gridCol w:w="1047"/>
        <w:gridCol w:w="1058"/>
        <w:gridCol w:w="211"/>
        <w:gridCol w:w="766"/>
        <w:gridCol w:w="109"/>
        <w:gridCol w:w="109"/>
        <w:gridCol w:w="109"/>
        <w:gridCol w:w="109"/>
        <w:gridCol w:w="211"/>
        <w:gridCol w:w="766"/>
        <w:gridCol w:w="154"/>
      </w:tblGrid>
      <w:tr>
        <w:trPr/>
        <w:tc>
          <w:tcPr>
            <w:tcW w:w="1195"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leasehold improvements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vehicles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property and equipment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Less—Accumulated depreciation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w:t>
      </w:r>
    </w:p>
    <w:p>
      <w:pPr>
        <w:pStyle w:val="TextBody"/>
        <w:bidi w:val="0"/>
        <w:spacing w:lineRule="auto" w:line="288" w:before="60" w:after="283"/>
        <w:jc w:val="left"/>
        <w:rPr/>
      </w:pPr>
      <w:r>
        <w:rPr>
          <w:rFonts w:ascii="Times New Roman;sans-serif" w:hAnsi="Times New Roman;sans-serif"/>
          <w:b w:val="false"/>
          <w:color w:val="000000"/>
          <w:sz w:val="20"/>
        </w:rPr>
        <w:t xml:space="preserve">(a) Property and equipment, net as of December 31, 2024 and 2023, excluded </w:t>
      </w:r>
      <w:r>
        <w:rPr>
          <w:rFonts w:ascii="Times New Roman;sans-serif" w:hAnsi="Times New Roman;sans-serif"/>
          <w:b w:val="false"/>
          <w:color w:val="000000"/>
          <w:sz w:val="20"/>
          <w:shd w:fill="FFFFFF" w:val="clear"/>
        </w:rPr>
        <w:t>$89.1 million</w:t>
      </w:r>
      <w:r>
        <w:rPr>
          <w:color w:val="000000"/>
        </w:rPr>
        <w:t xml:space="preserve"> </w:t>
      </w:r>
      <w:r>
        <w:rPr>
          <w:rFonts w:ascii="Times New Roman;sans-serif" w:hAnsi="Times New Roman;sans-serif"/>
          <w:b w:val="false"/>
          <w:color w:val="000000"/>
          <w:sz w:val="20"/>
        </w:rPr>
        <w:t xml:space="preserve">and $136.6 million, respectively classified as assets held for sale. In addition, property and equipment, net as of December 31, 2024 and 2023 included finance leases of $8.4 million and $8.4 million, respectively. </w:t>
      </w:r>
    </w:p>
    <w:p>
      <w:pPr>
        <w:pStyle w:val="TextBody"/>
        <w:bidi w:val="0"/>
        <w:spacing w:lineRule="auto" w:line="288" w:before="180" w:after="180"/>
        <w:ind w:left="0" w:right="0" w:firstLine="315"/>
        <w:jc w:val="left"/>
        <w:rPr/>
      </w:pPr>
      <w:r>
        <w:rPr>
          <w:rFonts w:ascii="Times New Roman;sans-serif" w:hAnsi="Times New Roman;sans-serif"/>
          <w:b w:val="false"/>
          <w:color w:val="000000"/>
          <w:sz w:val="20"/>
        </w:rPr>
        <w:t xml:space="preserve">Depreciation expense was </w:t>
      </w:r>
      <w:r>
        <w:rPr>
          <w:rFonts w:ascii="Times New Roman;sans-serif" w:hAnsi="Times New Roman;sans-serif"/>
          <w:b w:val="false"/>
          <w:color w:val="000000"/>
          <w:sz w:val="20"/>
          <w:shd w:fill="FFFFFF" w:val="clear"/>
        </w:rPr>
        <w:t>$75.0 million</w:t>
      </w:r>
      <w:r>
        <w:rPr>
          <w:rFonts w:ascii="Times New Roman;sans-serif" w:hAnsi="Times New Roman;sans-serif"/>
          <w:b w:val="false"/>
          <w:color w:val="000000"/>
          <w:sz w:val="20"/>
        </w:rPr>
        <w:t>, $67.7 million, and $69.0 million for the years ended December 31, 2024,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10. GOODWILL AND INTANGIBLE FRANCHISE RIGHTS</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acquisitions have resulted in the recording of goodwill and intangible franchise rights. Goodwill is an asset representing operational synergies and future economic benefits arising from other assets acquired in a business combination that are not individually identified and separately recognized. Intangible franchise rights is an asset representing our rights under franchise agreements with vehicle manufacturers. </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Koons acquisition, we recorded goodwill of $272.4 million and franchise rights of $401.0 million. Goodwill related to the Koons acquisition was allocated to the Dealerships segment.</w:t>
      </w:r>
    </w:p>
    <w:p>
      <w:pPr>
        <w:pStyle w:val="TextBody"/>
        <w:bidi w:val="0"/>
        <w:spacing w:lineRule="auto" w:line="288" w:before="18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goodwill and intangible franchise rights for the years ended December 31, 2024 and 2023 are as follows:</w:t>
      </w:r>
    </w:p>
    <w:tbl>
      <w:tblPr>
        <w:tblW w:w="6882" w:type="dxa"/>
        <w:jc w:val="left"/>
        <w:tblInd w:w="0" w:type="dxa"/>
        <w:tblLayout w:type="fixed"/>
        <w:tblCellMar>
          <w:top w:w="28" w:type="dxa"/>
          <w:left w:w="28" w:type="dxa"/>
          <w:bottom w:w="28" w:type="dxa"/>
          <w:right w:w="28" w:type="dxa"/>
        </w:tblCellMar>
      </w:tblPr>
      <w:tblGrid>
        <w:gridCol w:w="1114"/>
        <w:gridCol w:w="979"/>
        <w:gridCol w:w="982"/>
        <w:gridCol w:w="211"/>
        <w:gridCol w:w="766"/>
        <w:gridCol w:w="109"/>
        <w:gridCol w:w="109"/>
        <w:gridCol w:w="109"/>
        <w:gridCol w:w="109"/>
        <w:gridCol w:w="211"/>
        <w:gridCol w:w="616"/>
        <w:gridCol w:w="109"/>
        <w:gridCol w:w="109"/>
        <w:gridCol w:w="109"/>
        <w:gridCol w:w="109"/>
        <w:gridCol w:w="211"/>
        <w:gridCol w:w="766"/>
        <w:gridCol w:w="154"/>
      </w:tblGrid>
      <w:tr>
        <w:trPr/>
        <w:tc>
          <w:tcPr>
            <w:tcW w:w="111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Goodwill</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Dealerships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TCA</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 (a)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Reclassified from assets held for sale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Divestitures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Reclassified to assets held for sale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 (a)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Reclassified from assets held for sale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w:t>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Divestitures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Reclassified to assets held for sale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2024 (a)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w:t>
      </w:r>
    </w:p>
    <w:p>
      <w:pPr>
        <w:pStyle w:val="TextBody"/>
        <w:bidi w:val="0"/>
        <w:spacing w:lineRule="auto" w:line="288" w:before="0" w:after="0"/>
        <w:ind w:left="0" w:right="0" w:hanging="270"/>
        <w:jc w:val="left"/>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Net of accumulated impairment losses of $537.7 million recorded prior to the year ended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6"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tbl>
      <w:tblPr>
        <w:tblW w:w="6269" w:type="dxa"/>
        <w:jc w:val="left"/>
        <w:tblInd w:w="0" w:type="dxa"/>
        <w:tblLayout w:type="fixed"/>
        <w:tblCellMar>
          <w:top w:w="28" w:type="dxa"/>
          <w:left w:w="28" w:type="dxa"/>
          <w:bottom w:w="28" w:type="dxa"/>
          <w:right w:w="28" w:type="dxa"/>
        </w:tblCellMar>
      </w:tblPr>
      <w:tblGrid>
        <w:gridCol w:w="1440"/>
        <w:gridCol w:w="1266"/>
        <w:gridCol w:w="1268"/>
        <w:gridCol w:w="428"/>
        <w:gridCol w:w="1555"/>
        <w:gridCol w:w="312"/>
      </w:tblGrid>
      <w:tr>
        <w:trPr/>
        <w:tc>
          <w:tcPr>
            <w:tcW w:w="1440"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Intangible Franchise Rights</w:t>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1,800.1 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 measurement-period adjustments</w:t>
            </w:r>
          </w:p>
        </w:tc>
        <w:tc>
          <w:tcPr>
            <w:tcW w:w="1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Impairments</w:t>
            </w:r>
          </w:p>
        </w:tc>
        <w:tc>
          <w:tcPr>
            <w:tcW w:w="1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Reclassified to assets held for sale</w:t>
            </w:r>
          </w:p>
        </w:tc>
        <w:tc>
          <w:tcPr>
            <w:tcW w:w="1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2,095.8 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Reclassified from assets held for sale</w:t>
            </w:r>
          </w:p>
        </w:tc>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 measurement-period adjustments</w:t>
            </w:r>
          </w:p>
        </w:tc>
        <w:tc>
          <w:tcPr>
            <w:tcW w:w="1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Divestitures</w:t>
            </w:r>
          </w:p>
        </w:tc>
        <w:tc>
          <w:tcPr>
            <w:tcW w:w="1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Impairments</w:t>
            </w:r>
          </w:p>
        </w:tc>
        <w:tc>
          <w:tcPr>
            <w:tcW w:w="1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Reclassified to assets held for sale</w:t>
            </w:r>
          </w:p>
        </w:tc>
        <w:tc>
          <w:tcPr>
            <w:tcW w:w="1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2024</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1,911.7 </w:t>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quantitative impairment tests for franchise rights include a comparison of the estimated fair value to the carrying value of each franchise right asset. The Company estimates fair value by using a discounted cash flow model (income approach) based on market participant assumptions related to the cash flows directly attributable to the franchise. These assumptions include year-over-year and terminal growth rates, weighted average cost of capital, future gross margins, and future selling, general and administrative expenses. </w:t>
      </w:r>
    </w:p>
    <w:p>
      <w:pPr>
        <w:pStyle w:val="TextBody"/>
        <w:bidi w:val="0"/>
        <w:spacing w:lineRule="auto" w:line="268" w:before="0" w:after="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underperformance of certain stores, we performed quantitative impairment tests in the second quarter of 2024 and as of our annual impairment testing date, October 1, 2024. The results of the quantitative impairment testing identified that the carrying values of certain of our franchise rights intangible assets exceeded their fair value by $134.1 million and $14.1 million and the related impairment charges were recorded during the three months ended June 30, 2024 and December 31, 2024, respectively. In total, we recognized a $148.2 million pre-tax non-cash impairment charge related to our franchise rights intangible assets during the year ended December 31, 2024.</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underperformance of certain stores, limited primarily to two brands, along with an increase in discount rates, we performed quantitative impairment tests of franchise rights for certain stores in our Dealerships segment as of October 1, 2023. The results of the quantitative impairment testing identified that the carrying values of certain of our franchise rights intangible assets exceeded their fair value. As a result, we recognized a $73.1 million pre-tax non-cash impairment charge related to our franchise rights intangible assets during the year ended December 31, 2023. </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also performed qualitative impairment assessments on the remaining franchise rights as of October 1, 2024 and 2023, respectively. The results of our qualitative impairment assessments on the remaining franchise rights indicated that the fair values of the franchise rights related to those dealerships more likely than not exceeded their carrying values.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in connection with changes in reporting units in our Dealerships segment, we performed qualitative and quantitative impairment tests of goodwill for the affected reporting units as of October 1, 2024 and 2023, both before and after the change in reporting units. Lastly, we performed an interim quantitative impairment test of goodwill for two reporting units in the second quarter of 2024. </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quantitative impairment tests of goodwill included a comparison of the estimated fair value to the carrying value of the reporting unit. The Company estimates fair value by using a discounted cash flow model (income approach) based on market participant assumptions. These assumptions include year-over-year and terminal growth rates, weighted average cost of capital, future gross margins, and future selling, general and administrative expenses. The results of our quantitative goodwill impairment tests during the second quarter of 2024 and as of October 1, 2024 and 2023 related to certain reporting units indicated that the fair value of these reporting units exceeded their carrying values. </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performed qualitative impairment assessments on the remaining reporting units as of October 1, 2024 and 2023, respectively. The results of our qualitative impairment assessments of goodwill related to the remaining reporting units indicated that the fair values of the reporting units more likely than not exceeded their carrying values. </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also recorded a goodwill impairment charge of $1.3 million during the year ended December 31, 2024 related to one dealership that met the assets held for sale criteria in June 2024. The quantitative impairment test of the disposal group included a comparison of the estimated fair value to the carrying value of the disposal group less cost to sell.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7"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2023, certain dealerships met the held for sale criteria and the assets and liabilities associated with these dealerships were reclassified as assets held for sale and liabilities associated with assets held for sale in our consolidated balance sheets. As a result, we evaluated the disposal groups to ensure their recording at the lower of their carrying value or fair value less costs to sell. The quantitative impairment tests of each disposal group included a comparison of the estimated fair value to the carrying value of the disposal group less costs to sell. The Company determined the estimated fair value of each disposal group based on the estimated sales proceeds less cost to sell. As a result of this analysis, we recorded asset impairment charges of $44.1 million in 2023. These asset impairment charges are reflected in asset impairments in our consolidated statements of income. Since the resulting impairment charges and the decision to dispose of these dealerships represented a triggering event for goodwill, we performed quantitative impairment tests of goodwill for the affected reporting units in December 2023. The results of our quantitative goodwill impairment tests for the affected reporting units indicated that the fair value of these reporting units exceeded their carrying values. </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In total, we recognized asset impairments of $149.5 million and $117.2 million during the years ended December 31, 2024 and 2023, respectively. These asset impairment charges are reflected in asset impairments in our consolidated statements of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11. FLOOR PLAN NOTES PAYABLE—TRADE</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consider floor plan notes payable to a party that is affiliated with the entity from which we purchase our new vehicle inventory as floor plan notes payable—trade on our consolidated balance sheets. Floor plan notes payable—trade, net consisted of the following:</w:t>
      </w:r>
    </w:p>
    <w:tbl>
      <w:tblPr>
        <w:tblW w:w="5754" w:type="dxa"/>
        <w:jc w:val="left"/>
        <w:tblInd w:w="0" w:type="dxa"/>
        <w:tblLayout w:type="fixed"/>
        <w:tblCellMar>
          <w:top w:w="28" w:type="dxa"/>
          <w:left w:w="28" w:type="dxa"/>
          <w:bottom w:w="28" w:type="dxa"/>
          <w:right w:w="28" w:type="dxa"/>
        </w:tblCellMar>
      </w:tblPr>
      <w:tblGrid>
        <w:gridCol w:w="1272"/>
        <w:gridCol w:w="1117"/>
        <w:gridCol w:w="1121"/>
        <w:gridCol w:w="211"/>
        <w:gridCol w:w="616"/>
        <w:gridCol w:w="109"/>
        <w:gridCol w:w="109"/>
        <w:gridCol w:w="109"/>
        <w:gridCol w:w="109"/>
        <w:gridCol w:w="211"/>
        <w:gridCol w:w="616"/>
        <w:gridCol w:w="154"/>
      </w:tblGrid>
      <w:tr>
        <w:trPr/>
        <w:tc>
          <w:tcPr>
            <w:tcW w:w="127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Floor plan notes payable—trade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Floor plan notes payable offset account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floor plan notes payable—trade,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floor plan facility with Ford Motor Credit Company ("Ford Credit") to purchase new Ford and Lincoln vehicle inventory. Our floor plan facility with Ford Credit was amended in July 2020 and can be terminated by either the Company or Ford Credit with a 30-day notice period. </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have established a floor plan notes payable offset account with Ford Credit that allows us to transfer cash to the account as an offset to our outstanding floor plan notes payable—trade. These transfers reduce the amount of outstanding new vehicle floor plan notes payable that would otherwise accrue interest, while retaining the ability to transfer amounts from the offset account into our operating cash accounts within one to two days. As a result of using our floor plan offset account, we experienced a reduction in floor plan interest expense in our consolidated statements of income. The representations and covenants contained in the agreement governing our floor plan facility with Ford Credit are customary for financing transactions of this nature. Further, the agreement governing our floor plan facility with Ford Credit also provides for events of default that are customary for financing transactions of this nature, including cross-defaults to other material indebtedness. Upon the occurrence of an event of default, the Company could be required to immediately repay all outstanding amounts under our floor plan facility with Ford Credit.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12. FLOOR PLAN NOTES PAYABLE—NON-TRADE</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consider floor plan notes payable to a party that is not affiliated with the entity from which we purchase our new vehicle inventory as floor plan notes payable—non-trade on our consolidated balance sheets. Floor plan notes payable—non-trade, net consisted of the following:</w:t>
      </w:r>
    </w:p>
    <w:tbl>
      <w:tblPr>
        <w:tblW w:w="6429" w:type="dxa"/>
        <w:jc w:val="left"/>
        <w:tblInd w:w="0" w:type="dxa"/>
        <w:tblLayout w:type="fixed"/>
        <w:tblCellMar>
          <w:top w:w="28" w:type="dxa"/>
          <w:left w:w="28" w:type="dxa"/>
          <w:bottom w:w="28" w:type="dxa"/>
          <w:right w:w="28" w:type="dxa"/>
        </w:tblCellMar>
      </w:tblPr>
      <w:tblGrid>
        <w:gridCol w:w="1407"/>
        <w:gridCol w:w="1237"/>
        <w:gridCol w:w="1241"/>
        <w:gridCol w:w="211"/>
        <w:gridCol w:w="766"/>
        <w:gridCol w:w="109"/>
        <w:gridCol w:w="109"/>
        <w:gridCol w:w="109"/>
        <w:gridCol w:w="109"/>
        <w:gridCol w:w="211"/>
        <w:gridCol w:w="766"/>
        <w:gridCol w:w="154"/>
      </w:tblGrid>
      <w:tr>
        <w:trPr/>
        <w:tc>
          <w:tcPr>
            <w:tcW w:w="1407"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Floor plan notes payable—new non-trade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Floor plan notes payable—used non-trade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Floor plan notes payable offset account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floor plan notes payable—non-trade,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firstLine="315"/>
        <w:jc w:val="left"/>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8"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2023 Senior Credit Facility</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On October 20, 2023, the Company and certain of its subsidiaries entered into a fourth amended and restated credit agreement with Bank of America, N.A. ("Bank of America"), as administrative agent, and the other lenders party thereto (the "2023 Senior Credit Facility"). The 2023 Senior Credit Facility amended and restated the Company’s pre-existing third amended and restated credit agreement, dated as of September 25, 2019, among the Company, certain of its subsidiaries, Bank of America, as administrative agent, and the other lenders party thereto.</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2023 Senior Credit Facility provides for the following, in each case subject to limitations on availability as set forth therein:</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$500.0 million revolving credit facility (the "Revolving Credit Facility");</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$1.93 billion new vehicle revolving floorplan facility (the "New Vehicle Floorplan Facility");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$375.0 million used vehicle revolving floorplan facility (the "Used Vehicle Floorplan Facility").</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borrowings under the 2023 Senior Credit Facility will be used, among other things, (i) to finance the purchase of new and used vehicles by the Company and certain of its subsidiaries, (ii) for working capital needs of the Company and certain of its subsidiaries, and (iii) for other general corporate purposes of the Company and certain of its subsidiaries.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compliance with certain conditions, the 2023 Senior Credit Facility provides that we have the ability, at our option and subject to the receipt of additional commitments from existing or new lenders, to increase the size of the facilities by up to $750.0 million in the aggregate. </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have the ability to convert a portion of our availability under the Revolving Credit Facility to the New Vehicle Floor Plan Facility or the Used Vehicle Floor Plan Facility. The maximum amount we are allowed to convert is determined based on our aggregate revolving commitment under the Revolving Credit Facility, less $50.0 million. In addition, we are able to convert any amounts moved to the New Vehicle Floor Plan Facility or Used Vehicle Floor Plan Facility back to the Revolving Credit Facility.</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New Vehicle Floor Plan Facility, we continue to maintain an offset account with Bank of America that allows us to transfer cash as an offset to floor plan notes payable. These transfers reduce the amount of outstanding new vehicle floor plan notes payable that would otherwise accrue interest, while retaining the ability to transfer amounts from the offset account into our operating cash accounts within one to two days. As a result of the use of our floor plan offset account, we experienced a reduction in floor plan interest expense in our consolidated statements of income.</w:t>
      </w:r>
    </w:p>
    <w:p>
      <w:pPr>
        <w:pStyle w:val="TextBody"/>
        <w:bidi w:val="0"/>
        <w:spacing w:lineRule="auto" w:line="288" w:before="180" w:after="180"/>
        <w:ind w:left="0" w:right="0" w:firstLine="255"/>
        <w:jc w:val="left"/>
        <w:rPr>
          <w:rFonts w:ascii="Times New Roman;sans-serif" w:hAnsi="Times New Roman;sans-serif"/>
          <w:b w:val="false"/>
          <w:color w:val="000000"/>
          <w:sz w:val="20"/>
        </w:rPr>
      </w:pPr>
      <w:r>
        <w:rPr>
          <w:rFonts w:ascii="Times New Roman;sans-serif" w:hAnsi="Times New Roman;sans-serif"/>
          <w:b w:val="false"/>
          <w:color w:val="000000"/>
          <w:sz w:val="20"/>
        </w:rPr>
        <w:t>Borrowings outstanding under the 2023 Senior Credit Facility bear interest, at the option of the Company, based on Daily Simple SOFR (as defined in the 2023 Senior Credit Facility) or the Base Rate, in each case plus an Applicable Rate. The Base Rate is the highest of (i) the Federal Funds Rate (as defined in the 2023 Senior Credit Agreement) plus 0.50%, (ii) the Bank of America prime rate, and (iii) Daily Simple SOFR plus 1.00% and (iv) 1.00%. Applicable Rate means with respect to the Revolving Credit Facility, a range from 1.00% to 2.00% for Daily Simple SOFR loans and 0.15% to 1.00% for Base Rate loans, in each case based on the Company's consolidated total lease adjusted leverage ratio. Borrowings under the New Vehicle Floorplan Facility bear interest, at the option of the Company, based on Daily Simple SOFR plus 1.10%, or the Base Rate plus 0.10%. Borrowings under the Used Vehicle Floorplan Facility bear interest, at the option of the Company, based on Daily Simple SOFR plus 1.40% or the Base Rate plus 0.40%.</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payment of interest on borrowings outstanding under the 2023 Senior Credit Facility, we are required to pay a quarterly commitment fee on total unused commitments thereunder. The fee for unused commitments under the Revolving Credit Facility is between 0.15% and 0.40% per year, based on the Company's total lease adjusted leverage ratio, and the fee for unused commitments under the New Vehicle Facility Floor Plan and the Used Vehicle Facility Floor Plan Facility is 0.15% per year.</w:t>
      </w:r>
    </w:p>
    <w:p>
      <w:pPr>
        <w:pStyle w:val="TextBody"/>
        <w:bidi w:val="0"/>
        <w:spacing w:lineRule="auto" w:line="288" w:before="0" w:after="180"/>
        <w:ind w:left="0" w:right="0" w:firstLine="255"/>
        <w:jc w:val="left"/>
        <w:rPr>
          <w:rFonts w:ascii="Times New Roman;sans-serif" w:hAnsi="Times New Roman;sans-serif"/>
          <w:b w:val="false"/>
          <w:color w:val="000000"/>
          <w:sz w:val="20"/>
        </w:rPr>
      </w:pPr>
      <w:r>
        <w:rPr>
          <w:rFonts w:ascii="Times New Roman;sans-serif" w:hAnsi="Times New Roman;sans-serif"/>
          <w:b w:val="false"/>
          <w:color w:val="000000"/>
          <w:sz w:val="20"/>
        </w:rPr>
        <w:t>The 2023 Senior Credit Facility matures, and all amounts outstanding thereunder will be due and payable, on October 20, 2028.</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representations and covenants contained in the 2023 Senior Credit Agreement are customary for financing transactions of this nature, including, among others, a requirement to comply with a minimum consolidated fixed charge coverage ratio and maximum consolidated total lease adjusted leverage ratio, in each case as set out in the 2023 Senior Credit Agreement. In addition, certain other covenants could restrict the Company's ability to incur additional debt, pay dividends or acquire or dispose of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99"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2023 Senior Credit Agreement also provides for events of default that are customary for financing transactions of this nature, including cross-defaults to other material indebtedness. In certain instances, an event of default under either the Revolving Credit Facility or the Used Vehicle Floorplan Facility could be, or result in, an event of default under the New Vehicle Floorplan Facility, and vice versa. Upon the occurrence of an event of default, the Company could be required to immediately repay all amounts outstanding under the applicable facility.</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See the "Representations and Covenants" section below under our "Long-Term Debt" footnote for a description of the representations, covenants and events of default contained in the 2023 Senior Credit Facility.</w:t>
      </w:r>
    </w:p>
    <w:p>
      <w:pPr>
        <w:pStyle w:val="TextBody"/>
        <w:bidi w:val="0"/>
        <w:spacing w:lineRule="auto" w:line="288" w:before="180" w:after="180"/>
        <w:ind w:left="0" w:right="0" w:firstLine="315"/>
        <w:jc w:val="left"/>
        <w:rPr/>
      </w:pPr>
      <w:r>
        <w:rPr>
          <w:rFonts w:ascii="Times New Roman;sans-serif" w:hAnsi="Times New Roman;sans-serif"/>
          <w:b w:val="false"/>
          <w:color w:val="000000"/>
          <w:sz w:val="20"/>
        </w:rPr>
        <w:t xml:space="preserve">In addition to our new and used vehicle floor plan facilities, we have loaner vehicle floor plan facilities with Bank of America and certain original equipment manufacturers ("OEMs"). Loaner vehicles notes payable related to Bank of America was </w:t>
      </w:r>
      <w:r>
        <w:rPr>
          <w:rFonts w:ascii="Times New Roman;sans-serif" w:hAnsi="Times New Roman;sans-serif"/>
          <w:b w:val="false"/>
          <w:color w:val="000000"/>
          <w:sz w:val="20"/>
          <w:shd w:fill="FFFFFF" w:val="clear"/>
        </w:rPr>
        <w:t>$56.7 million</w:t>
      </w:r>
      <w:r>
        <w:rPr>
          <w:color w:val="000000"/>
        </w:rPr>
        <w:t xml:space="preserve"> </w:t>
      </w:r>
      <w:r>
        <w:rPr>
          <w:rFonts w:ascii="Times New Roman;sans-serif" w:hAnsi="Times New Roman;sans-serif"/>
          <w:b w:val="false"/>
          <w:color w:val="000000"/>
          <w:sz w:val="20"/>
        </w:rPr>
        <w:t>as of December 31, 2024 and $127.2 million as of December 31, 2023. Loaner vehicles notes payable related to OEMs as of December 31, 2024 and 2023 were $161.5 million and $111.9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13. ACCOUNTS PAYABLE AND ACCRUED LIABILITIES</w:t>
      </w:r>
    </w:p>
    <w:p>
      <w:pPr>
        <w:pStyle w:val="TextBody"/>
        <w:bidi w:val="0"/>
        <w:spacing w:lineRule="auto" w:line="288" w:before="180" w:after="283"/>
        <w:ind w:left="0" w:right="0" w:firstLine="315"/>
        <w:jc w:val="left"/>
        <w:rPr/>
      </w:pPr>
      <w:r>
        <w:rPr>
          <w:rFonts w:ascii="Times New Roman;sans-serif" w:hAnsi="Times New Roman;sans-serif"/>
          <w:b w:val="false"/>
          <w:color w:val="000000"/>
          <w:sz w:val="20"/>
        </w:rPr>
        <w:t>Accounts payable and accrued liabilities consisted of the following:</w:t>
      </w:r>
      <w:r>
        <w:rPr>
          <w:color w:val="000000"/>
        </w:rPr>
        <w:t> </w:t>
      </w:r>
    </w:p>
    <w:tbl>
      <w:tblPr>
        <w:tblW w:w="5904" w:type="dxa"/>
        <w:jc w:val="center"/>
        <w:tblInd w:w="0" w:type="dxa"/>
        <w:tblLayout w:type="fixed"/>
        <w:tblCellMar>
          <w:top w:w="28" w:type="dxa"/>
          <w:left w:w="28" w:type="dxa"/>
          <w:bottom w:w="28" w:type="dxa"/>
          <w:right w:w="28" w:type="dxa"/>
        </w:tblCellMar>
      </w:tblPr>
      <w:tblGrid>
        <w:gridCol w:w="1325"/>
        <w:gridCol w:w="1163"/>
        <w:gridCol w:w="1172"/>
        <w:gridCol w:w="211"/>
        <w:gridCol w:w="616"/>
        <w:gridCol w:w="109"/>
        <w:gridCol w:w="109"/>
        <w:gridCol w:w="109"/>
        <w:gridCol w:w="109"/>
        <w:gridCol w:w="211"/>
        <w:gridCol w:w="616"/>
        <w:gridCol w:w="154"/>
      </w:tblGrid>
      <w:tr>
        <w:trPr/>
        <w:tc>
          <w:tcPr>
            <w:tcW w:w="1325"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Loaner vehicles notes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payable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insurance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deposits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finance and insurance chargebacks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licenses and regulatory fees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premium</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we owe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advertising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related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1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0"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18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14. DEBT</w:t>
      </w:r>
    </w:p>
    <w:p>
      <w:pPr>
        <w:pStyle w:val="TextBody"/>
        <w:bidi w:val="0"/>
        <w:spacing w:lineRule="auto" w:line="288" w:before="0" w:after="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consisted of the following:</w:t>
      </w:r>
    </w:p>
    <w:tbl>
      <w:tblPr>
        <w:tblW w:w="7704" w:type="dxa"/>
        <w:jc w:val="left"/>
        <w:tblInd w:w="0" w:type="dxa"/>
        <w:tblLayout w:type="fixed"/>
        <w:tblCellMar>
          <w:top w:w="28" w:type="dxa"/>
          <w:left w:w="28" w:type="dxa"/>
          <w:bottom w:w="28" w:type="dxa"/>
          <w:right w:w="28" w:type="dxa"/>
        </w:tblCellMar>
      </w:tblPr>
      <w:tblGrid>
        <w:gridCol w:w="1869"/>
        <w:gridCol w:w="1637"/>
        <w:gridCol w:w="1654"/>
        <w:gridCol w:w="211"/>
        <w:gridCol w:w="766"/>
        <w:gridCol w:w="109"/>
        <w:gridCol w:w="109"/>
        <w:gridCol w:w="109"/>
        <w:gridCol w:w="109"/>
        <w:gridCol w:w="211"/>
        <w:gridCol w:w="766"/>
        <w:gridCol w:w="154"/>
      </w:tblGrid>
      <w:tr>
        <w:trPr/>
        <w:tc>
          <w:tcPr>
            <w:tcW w:w="1869"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5160"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160" w:type="dxa"/>
            <w:gridSpan w:val="3"/>
            <w:vMerge w:val="continue"/>
            <w:tcBorders/>
            <w:tcMar>
              <w:top w:w="0" w:type="dxa"/>
              <w:left w:w="0" w:type="dxa"/>
              <w:bottom w:w="0" w:type="dxa"/>
              <w:right w:w="0" w:type="dxa"/>
            </w:tcMar>
            <w:vAlign w:val="center"/>
          </w:tcPr>
          <w:p>
            <w:pPr>
              <w:pStyle w:val="Normal"/>
              <w:bidi w:val="0"/>
              <w:jc w:val="left"/>
              <w:rPr/>
            </w:pPr>
            <w:r>
              <w:rPr/>
            </w:r>
          </w:p>
        </w:tc>
        <w:tc>
          <w:tcPr>
            <w:tcW w:w="25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4.50% Senior Notes due 2028</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4.625% Senior Notes due 2029</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4.75% Senior Notes due 2030</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5.00% Senior Notes due 2032</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notes payable bearing interest at fixed rates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 Real Estate Facility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 BofA Real Estate Facility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2018 Bank of America Facility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2018 Wells Fargo Master Loan Facility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2015 Wells Fargo Master Loan Facility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outstanding</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Add—unamortized premium on 4.50% Senior Notes due 2028</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Add—unamortized premium on 4.75% Senior Notes due 2030</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Less—debt issuance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including current portion</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Less—current portion, net of debt issuance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15"/>
        <w:jc w:val="left"/>
        <w:rPr/>
      </w:pPr>
      <w:r>
        <w:rPr/>
      </w:r>
    </w:p>
    <w:p>
      <w:pPr>
        <w:pStyle w:val="TextBody"/>
        <w:bidi w:val="0"/>
        <w:spacing w:lineRule="auto" w:line="288" w:before="0" w:after="60"/>
        <w:ind w:left="0" w:right="0" w:firstLine="270"/>
        <w:jc w:val="left"/>
        <w:rPr/>
      </w:pPr>
      <w:r>
        <w:rPr>
          <w:rFonts w:ascii="Times New Roman;sans-serif" w:hAnsi="Times New Roman;sans-serif"/>
          <w:b w:val="false"/>
          <w:color w:val="000000"/>
          <w:sz w:val="20"/>
        </w:rPr>
        <w:t>The aggregate maturities of long-term debt as of December 31, 2024 are as follows (in millions):</w:t>
      </w:r>
      <w:r>
        <w:rPr>
          <w:color w:val="000000"/>
        </w:rPr>
        <w:t> </w:t>
      </w:r>
    </w:p>
    <w:tbl>
      <w:tblPr>
        <w:tblW w:w="3995" w:type="dxa"/>
        <w:jc w:val="center"/>
        <w:tblInd w:w="0" w:type="dxa"/>
        <w:tblLayout w:type="fixed"/>
        <w:tblCellMar>
          <w:top w:w="28" w:type="dxa"/>
          <w:left w:w="28" w:type="dxa"/>
          <w:bottom w:w="28" w:type="dxa"/>
          <w:right w:w="28" w:type="dxa"/>
        </w:tblCellMar>
      </w:tblPr>
      <w:tblGrid>
        <w:gridCol w:w="1036"/>
        <w:gridCol w:w="908"/>
        <w:gridCol w:w="920"/>
        <w:gridCol w:w="211"/>
        <w:gridCol w:w="766"/>
        <w:gridCol w:w="154"/>
      </w:tblGrid>
      <w:tr>
        <w:trPr/>
        <w:tc>
          <w:tcPr>
            <w:tcW w:w="103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maturities of 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Notes issued in 2021</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LHM acquisition, on November 19, 2021, the Company completed its offering of $800 million aggregate principal amount of 4.625% senior notes due 2029 (the "2029 Notes") and $600 million aggregate principal amount of 5.000% senior notes due 2032 (the "2032 Notes"). </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paid lender fees of $17.5 million in conjunction with the offering of the 2029 Notes and 2032 Notes and incurred additional debt issuance costs of $4.0 million.</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lender fees and other debt issuance costs incurred are being amortized over the terms of the 2029 and 2032 Notes using the effective interest method.</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2029 Notes will mature on November 15, 2029. If we sell certain of our assets or experience specific kinds of changes of control, we must offer to repurchase the 2029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1"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2032 Notes mature on February 15, 2032. We may redeem some or all of the 2032 Notes at any time on and after November 15, 2026 at redemption prices specified in the 2032 Notes Indenture. Prior to November 15, 2026, we may also redeem up to 40% of the aggregate principal amount of the 2032 Notes using the proceeds from certain equity offerings at a redemption price of 105.000% of their principal amount plus accrued and unpaid interest to, if any, but not including the redemption date. In addition, we may redeem some or all of the 2032 Notes at any time prior to November 15, 2026 at a price equal to 100% of the principal amount thereof plus a make-whole premium set forth in the 2032 Notes Indenture, and accrued and unpaid interest, if any. If we sell certain of our assets or experience specific kinds of changes of control, we must offer to repurchase the 2032 Notes. </w:t>
      </w:r>
    </w:p>
    <w:p>
      <w:pPr>
        <w:pStyle w:val="TextBody"/>
        <w:bidi w:val="0"/>
        <w:spacing w:lineRule="auto" w:line="288" w:before="0" w:after="180"/>
        <w:ind w:left="0" w:right="0" w:firstLine="315"/>
        <w:jc w:val="left"/>
        <w:rPr/>
      </w:pPr>
      <w:r>
        <w:rPr>
          <w:rFonts w:ascii="Times New Roman;sans-serif" w:hAnsi="Times New Roman;sans-serif"/>
          <w:b w:val="false"/>
          <w:color w:val="000000"/>
          <w:sz w:val="20"/>
        </w:rPr>
        <w:t xml:space="preserve">We are a holding company with </w:t>
      </w:r>
      <w:r>
        <w:rPr>
          <w:rFonts w:ascii="Times New Roman;sans-serif" w:hAnsi="Times New Roman;sans-serif"/>
          <w:b w:val="false"/>
          <w:color w:val="000000"/>
          <w:sz w:val="20"/>
          <w:shd w:fill="FFFFFF" w:val="clear"/>
        </w:rPr>
        <w:t>no</w:t>
      </w:r>
      <w:r>
        <w:rPr>
          <w:color w:val="000000"/>
        </w:rPr>
        <w:t xml:space="preserve"> </w:t>
      </w:r>
      <w:r>
        <w:rPr>
          <w:rFonts w:ascii="Times New Roman;sans-serif" w:hAnsi="Times New Roman;sans-serif"/>
          <w:b w:val="false"/>
          <w:color w:val="000000"/>
          <w:sz w:val="20"/>
        </w:rPr>
        <w:t>independent assets or operations. For all relevant periods presented, our 2029 Notes and 2032 Notes have been fully and unconditionally guaranteed, on a joint and several basis, by substantially all of our subsidiaries other than Landcar Administration Company, Landcar Agency, Inc., and Landcar Casualty Company (collectively, the "TCA Non-Guarantor Subsidiaries").</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Notes issued in 2020</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proposed acquisition of the Park Place dealerships announced in December 2019 ("2019 Acquisition"), on February 19, 2020, the Company completed its offering of senior unsecured notes (the "February 2020 Offering"), consisting of $525.0 million aggregate principal amount of 4.50% Senior Notes due 2028 (the "Existing 2028 Notes") and together with the Additional 2028 Notes ((as defined below), the "2028 Notes") and $600.0 million aggregate principal amount of 4.75% Senior Notes due 2030 (the "Existing 2030 Notes" and, together with the Existing 2028 Notes, the "Existing Notes") and together with the Additional 2030 Notes ((as defined below), the "2030 Notes"). The Company paid lender fees of $6.8 million in conjunction with the February 2020 Offering and incurred additional debt issuance costs of $3.1 million. </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termination of the 2019 Acquisition, the Company delivered a notice of special mandatory redemption to holders of its Existing 2028 Notes and Existing 2030 Notes pursuant to which it would redeem on a pro rata basis (1) $245.0 million of the Existing 2028 Notes and (2) $280.0 million of the 2030 Existing Notes, in each case, at 100% of the respective principal amount plus accrued and unpaid interest to but excluding, the special mandatory redemption date. On March 30, 2020, the Company completed the redemption.</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2020, following the consummation of the Park Place acquisition, the Company completed an issuance of $250.0 million aggregate principal amount of additional senior unsecured notes (the "September 2020 Offering") consisting of $125.0 million aggregate principal amount of additional 4.50% Senior Notes due 2028 (the "Additional 2028 Notes") at a price of 101.00% of par, plus accrued interest from September 1, 2020, and $125.0 million aggregate principal amount of additional 4.75% Senior Notes due 2030 (the "Additional 2030 Notes" and together with the Additional 2028 Notes, the "Additional Notes") at a price of 101.75% of par, plus accrued interest from September 1, 2020. After deducting the initial purchasers' discounts of $2.8 million, we received net proceeds of approximately $250.6 million from the September 2020 Offering. The $3.5 million premium paid by the initial purchasers of the Additional Notes was recorded as a component of long-term debt on our consolidated balance sheet and is being amortized as a reduction of interest expense over the remaining term of the Additional Notes. The proceeds of the September 2020 Offering were used to redeem certain seller notes issued in connection with the Park Place acquisition and repay approximately $50.0 million in aggregate principal amount outstanding under our Revolving Credit Facility.</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lender fees and other debt issuance costs incurred are being amortized over the terms of the Notes using the effective interest method.</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2028 Notes and 2030 Notes mature on March 1, 2028 and March 1, 2030, respectively. Interest is payable semiannually, on March 1 and September 1 of each year. The February 2020 Offering, together with additional borrowings and cash on hand, was incurred to (i) fund the acquisition of substantially all of the assets of Park Place, (ii) redeem all of our outstanding $600.0 million aggregate principal amount of the 6.0% Notes (the "6.0% Notes") and (iii) pay fees and expenses in connection with the foregoing.</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remaining outstanding 2028 Notes and 2030 Notes are subject to customary covenants, events of default and optional redemption provisions. In addition, the remaining outstanding 2028 Notes and 2030 Notes were required to be registered under the Securities Act of 1933 within 270 days of the closing date for the offering. The Company completed the registration of the 2028 Notes and 2030 Notes in October 2020.</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are a holding company with no independent assets or operations. For all relevant periods presented, our 2028 Notes and 2030 Notes have been fully and unconditionally guaranteed, on a joint and several basis, by substantially all of our subsidiaries other than the TCA Non-Guarantor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2"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Mortgage Financings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have multiple mortgage agreements with finance companies affiliated with our vehicle manufacturers ("captive mortgages"). During the year ended December 31, 2024, we modified the captive mortgages to extend the payment term and maturity of the captive mortgages to August 2034. In addition, the interest rate was amended to 5.8% over the revised term. As of December 31, 2024, and 2023, we had total mortgage notes payable outstanding of $29.6 million and $31.9 million, respectively, that are collateralized by the associated real estate, which excludes amounts classified as liabilities associated with assets held for sale.</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2021 Real Estate Facility</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17, 2021, we entered into a real estate term loan credit agreement with Bank of America, N.A., as administrative agent and the various financial institutions party thereto, as lenders, which provides for term loans in an aggregate amount equal to $689.7 million (the "2021 Real Estate Facility"). The Company used the proceeds from these borrowings to finance the purchase of the real property in connection with the LHM acquisition as well as other acquisitions and unencumbered real property.</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Term loans under the 2021 Real Estate Facility bear interest, at our option, based on (1) Daily Simple SOFR plus 1.55% - 1.95% per annum (as determined by the consolidated total lease adjusted leverage ratio), or (2) the Base Rate (as described below) plus 0.55% - 0.95% per annum (as determined by the consolidated total lease adjusted leverage ratio). The Base Rate is the highest of (i) the Federal Funds rate plus 0.50%, (ii) the Bank of America prime rate, (iii) the Daily Simple SOFR plus 1.0% and (iv) 1.00%. We will be required to make 20 consecutive quarterly principal payments of 1.25% of the initial amount of each loan, with a balloon repayment of the outstanding principal amount of loans due on the maturity date. The 2021 Real Estate Facility matures five years from the initial funding date. Borrowings under the 2021 Real Estate Facility are guaranteed by us, and are collateralized by first priority liens, subject to certain permitted exceptions, on all of the real property financed thereunder.</w:t>
      </w:r>
    </w:p>
    <w:p>
      <w:pPr>
        <w:pStyle w:val="TextBody"/>
        <w:bidi w:val="0"/>
        <w:spacing w:lineRule="auto" w:line="288" w:before="0" w:after="180"/>
        <w:ind w:left="0" w:right="0" w:firstLine="315"/>
        <w:jc w:val="left"/>
        <w:rPr/>
      </w:pPr>
      <w:r>
        <w:rPr>
          <w:rFonts w:ascii="Times New Roman;sans-serif" w:hAnsi="Times New Roman;sans-serif"/>
          <w:b w:val="false"/>
          <w:color w:val="000000"/>
          <w:sz w:val="20"/>
        </w:rPr>
        <w:t xml:space="preserve">As of December 31, 2024 and 2023, we had </w:t>
      </w:r>
      <w:r>
        <w:rPr>
          <w:rFonts w:ascii="Times New Roman;sans-serif" w:hAnsi="Times New Roman;sans-serif"/>
          <w:b w:val="false"/>
          <w:color w:val="000000"/>
          <w:sz w:val="20"/>
          <w:shd w:fill="FFFFFF" w:val="clear"/>
        </w:rPr>
        <w:t>$579.9 million</w:t>
      </w:r>
      <w:r>
        <w:rPr>
          <w:color w:val="000000"/>
        </w:rPr>
        <w:t xml:space="preserve"> </w:t>
      </w:r>
      <w:r>
        <w:rPr>
          <w:rFonts w:ascii="Times New Roman;sans-serif" w:hAnsi="Times New Roman;sans-serif"/>
          <w:b w:val="false"/>
          <w:color w:val="000000"/>
          <w:sz w:val="20"/>
        </w:rPr>
        <w:t xml:space="preserve">and $614.4 million, respectively, in term loans outstanding under the 2021 Real Estate Facility. </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2021 BofA Real Estate Facility</w:t>
      </w:r>
    </w:p>
    <w:p>
      <w:pPr>
        <w:pStyle w:val="TextBody"/>
        <w:bidi w:val="0"/>
        <w:spacing w:lineRule="auto" w:line="288" w:before="18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25, 2022, we entered into the second amendment to the credit agreement to, among other things, revise the benchmark interest rate payable on term loans under our 2021 BofA Real Estate Facility. Interest is payable, at our option, based on (1) SOFR plus 0.10%, plus 1.65% per annum or (2) the Base Rate plus 0.65% per annum. The Base Rate is the highest of (i) the Federal Funds rate plus 0.50%, (ii) the Bank of America prime rate, (iii) SOFR plus 0.10%, plus 1.00%, and (iv) 1.00%. </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20, 2021, the Company and certain of its subsidiaries borrowed $184.4 million under a real estate term loan credit agreement, dated as of May 10, 2021 (the "2021 BofA Real Estate Credit Agreement"), by and among the Company and certain of its subsidiaries, Bank of America, N.A., as administrative agent and the various financial institutions party thereto, as lenders, which provides for term loans in an aggregate amount equal to $184.4 million, subject to customary terms and conditions (the "2021 BofA Real Estate Facility"). The Company used the proceeds from these borrowings to finance the exercise of its option to purchase certain of the leased real property under the definitive agreements entered into in connection with the acquisition of the Park Place Dealerships. The Company completed the purchase of the leased real property on May 20, 2021. </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are required to make 39 consecutive quarterly principal payments of 1.00% of the initial amount of each loan, with a balloon repayment of the outstanding principal amount of loans due on the maturity date. The 2021 BofA Real Estate Facility matures ten years from the initial funding date. Borrowings under the 2021 BofA Real Estate Facility are guaranteed by us and each of our operating dealership subsidiaries that leased the real estate now financed under the 2021 BofA Real Estate Facility, and are collateralized by first priority liens, subject to certain permitted exceptions, on all of the real property financed thereunder.</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representations and covenants in the 2021 BofA Real Estate Facility are customary for financing transactions of this nature, including, among others, a requirement to comply with a minimum consolidated fixed charge coverage ratio and maximum consolidated total lease adjusted leverage ratio, in each case as set out in the 2021 BofA Real Estate Facility. In addition, certain other covenants could restrict our ability to incur additional debt, pay dividends or acquire or dispose of assets. The 2021 BofA Real Estate Facility also provides for events of default that are customary for financing transactions of this nature, including cross-defaults to other material indebtedness. Upon the occurrence of an event of default, we could be required by the 2021 BofA Real Estate Facility to immediately repay all amounts outstanding thereunder.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3"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ind w:left="0" w:right="0" w:firstLine="270"/>
        <w:jc w:val="left"/>
        <w:rPr/>
      </w:pPr>
      <w:r>
        <w:rPr>
          <w:rFonts w:ascii="Times New Roman;sans-serif" w:hAnsi="Times New Roman;sans-serif"/>
          <w:b w:val="false"/>
          <w:color w:val="000000"/>
          <w:sz w:val="20"/>
        </w:rPr>
        <w:t xml:space="preserve">As of December 31, 2024 and 2023, we had </w:t>
      </w:r>
      <w:r>
        <w:rPr>
          <w:rFonts w:ascii="Times New Roman;sans-serif" w:hAnsi="Times New Roman;sans-serif"/>
          <w:b w:val="false"/>
          <w:color w:val="000000"/>
          <w:sz w:val="20"/>
          <w:shd w:fill="FFFFFF" w:val="clear"/>
        </w:rPr>
        <w:t>$158.6 million</w:t>
      </w:r>
      <w:r>
        <w:rPr>
          <w:color w:val="000000"/>
        </w:rPr>
        <w:t xml:space="preserve"> </w:t>
      </w:r>
      <w:r>
        <w:rPr>
          <w:rFonts w:ascii="Times New Roman;sans-serif" w:hAnsi="Times New Roman;sans-serif"/>
          <w:b w:val="false"/>
          <w:color w:val="000000"/>
          <w:sz w:val="20"/>
        </w:rPr>
        <w:t>and $165.9 million, respectively, in term loans outstanding under the 2021 BofA Real Estate Facility.</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2018 BofA Real Estate Facility</w:t>
      </w:r>
    </w:p>
    <w:p>
      <w:pPr>
        <w:pStyle w:val="TextBody"/>
        <w:bidi w:val="0"/>
        <w:spacing w:lineRule="auto" w:line="288" w:before="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On May 25, 2022, we entered into the third amendment to the credit agreement to revise the benchmark interest rate payable on term loans under our 2018 BofA Real Estate Facility. Interest is payable, at our option, based on SOFR plus 0.10%, plus 1.50% or the Base Rate plus 0.50%. The Base Rate is the highest of (i) the Federal Funds rate plus 0.50%, (ii) the Bank of America prime rate, (iii) SOFR plus 0.10%, plus 1.00%, and (iv) 1.00%.</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13, 2018, we entered into a real estate term loan credit agreement (as amended, restated or supplemented from time to time, the "2018 BofA Real Estate Credit Agreement") with Bank of America, as lender, providing for term loans in an aggregate amount not to exceed $128.1 million, subject to customary terms and conditions (the "2018 BofA Real Estate Facility"). Our right to make draws under the 2018 BofA Real Estate Facility terminated on November 13, 2019. We are required to make quarterly principal payments of 1.25% of the initial amount of each loan on a twenty-year repayment schedule, with a balloon repayment of the outstanding principal amount of loans due on November 13, 2025. Borrowings under the 2018 BofA Real Estate Facility are guaranteed by each of our operating dealership subsidiaries whose real estate is financed under the 2018 BofA Real Estate Facility, and are collateralized by first priority liens, subject to certain permitted exceptions, on all of the real property financed thereunder.</w:t>
      </w:r>
    </w:p>
    <w:p>
      <w:pPr>
        <w:pStyle w:val="TextBody"/>
        <w:bidi w:val="0"/>
        <w:spacing w:lineRule="auto" w:line="288" w:before="180" w:after="180"/>
        <w:ind w:left="0" w:right="0" w:firstLine="315"/>
        <w:jc w:val="left"/>
        <w:rPr/>
      </w:pPr>
      <w:r>
        <w:rPr>
          <w:rFonts w:ascii="Times New Roman;sans-serif" w:hAnsi="Times New Roman;sans-serif"/>
          <w:b w:val="false"/>
          <w:color w:val="000000"/>
          <w:sz w:val="20"/>
        </w:rPr>
        <w:t xml:space="preserve">As of December 31, 2024 and 2023, we had </w:t>
      </w:r>
      <w:r>
        <w:rPr>
          <w:rFonts w:ascii="Times New Roman;sans-serif" w:hAnsi="Times New Roman;sans-serif"/>
          <w:b w:val="false"/>
          <w:color w:val="000000"/>
          <w:sz w:val="20"/>
          <w:shd w:fill="FFFFFF" w:val="clear"/>
        </w:rPr>
        <w:t>$37.9 million</w:t>
      </w:r>
      <w:r>
        <w:rPr>
          <w:color w:val="000000"/>
        </w:rPr>
        <w:t xml:space="preserve"> </w:t>
      </w:r>
      <w:r>
        <w:rPr>
          <w:rFonts w:ascii="Times New Roman;sans-serif" w:hAnsi="Times New Roman;sans-serif"/>
          <w:b w:val="false"/>
          <w:color w:val="000000"/>
          <w:sz w:val="20"/>
        </w:rPr>
        <w:t>and $50.3 million, respectively, in term loans outstanding under the 2018 BofA Real Estate Facility, which excludes amounts classified as liabilities associated with assets held for sale.</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2018 Wells Fargo Master Loan Facility</w:t>
      </w:r>
    </w:p>
    <w:p>
      <w:pPr>
        <w:pStyle w:val="TextBody"/>
        <w:bidi w:val="0"/>
        <w:spacing w:lineRule="auto" w:line="288" w:before="18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 2022, certain of our subsidiaries entered into the second amendment to the master loan agreement that revised interest payable from a LIBOR reference rate to SOFR plus 0.10%, plus an applicable margin based on a pricing grid ranging from 1.50% to 1.85% per annum based on our consolidated total lease adjusted leverage ratio. </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16, 2018, certain of our subsidiaries entered into a master loan agreement (the "2018 Wells Fargo Master Loan Agreement" and, together with the 2013 BofA Real Estate Credit Agreement, the 2015 Wells Fargo Master Loan Agreement and the 2018 BofA Real Estate Agreement, the "Existing Real Estate Credit Agreements") with Wells Fargo Bank, National Association, as lender, which provides for term loans to certain of our subsidiaries that are borrowers under the Wells Fargo Master Loan Agreement in an aggregate amount not to exceed $100.0 million (the "Wells Fargo Master Loan Facility"), subject to customary terms and conditions (the "2018 Wells Fargo Master Loan Facility"). Our right to make draws under the 2018 Wells Fargo Master Loan Facility terminated on June 30, 2020. We are required to make quarterly principal payments with respect to the initial amount of each loan in 108 equal monthly principal payments based on a hypothetical nineteen-year amortization schedule, with a balloon repayment of the outstanding principal amount of loans due on December 1, 2028. Borrowings under the 2018 Wells Fargo Master Loan Facility can be voluntarily prepaid in whole or in part any time without premium or penalty. Borrowings under the 2018 Wells Fargo Master Loan Facility are guaranteed by us pursuant to an unconditional guaranty, and all of the real property financed by any of our operating dealership subsidiaries under the 2018 Wells Fargo Master Loan Facility is collateralized by first priority liens, subject to certain permitted exceptions.</w:t>
      </w:r>
    </w:p>
    <w:p>
      <w:pPr>
        <w:pStyle w:val="TextBody"/>
        <w:bidi w:val="0"/>
        <w:spacing w:lineRule="auto" w:line="288" w:before="180" w:after="180"/>
        <w:ind w:left="0" w:right="0" w:firstLine="315"/>
        <w:jc w:val="left"/>
        <w:rPr/>
      </w:pPr>
      <w:r>
        <w:rPr>
          <w:rFonts w:ascii="Times New Roman;sans-serif" w:hAnsi="Times New Roman;sans-serif"/>
          <w:b w:val="false"/>
          <w:color w:val="000000"/>
          <w:sz w:val="20"/>
        </w:rPr>
        <w:t xml:space="preserve">As of December 31, 2024 and 2023, we had </w:t>
      </w:r>
      <w:r>
        <w:rPr>
          <w:rFonts w:ascii="Times New Roman;sans-serif" w:hAnsi="Times New Roman;sans-serif"/>
          <w:b w:val="false"/>
          <w:color w:val="000000"/>
          <w:sz w:val="20"/>
          <w:shd w:fill="FFFFFF" w:val="clear"/>
        </w:rPr>
        <w:t>$62.2 million</w:t>
      </w:r>
      <w:r>
        <w:rPr>
          <w:color w:val="000000"/>
        </w:rPr>
        <w:t xml:space="preserve"> </w:t>
      </w:r>
      <w:r>
        <w:rPr>
          <w:rFonts w:ascii="Times New Roman;sans-serif" w:hAnsi="Times New Roman;sans-serif"/>
          <w:b w:val="false"/>
          <w:color w:val="000000"/>
          <w:sz w:val="20"/>
        </w:rPr>
        <w:t xml:space="preserve">and $72.0 million, respectively, outstanding borrowings under the 2018 Wells Fargo Master Loan Facility. </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2015 Wells Fargo Master Loan Facility</w:t>
      </w:r>
    </w:p>
    <w:p>
      <w:pPr>
        <w:pStyle w:val="TextBody"/>
        <w:bidi w:val="0"/>
        <w:spacing w:lineRule="auto" w:line="288" w:before="18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 2022, certain of our subsidiaries entered into the second amendment to the master loan agreement that revised interest payable from a LIBOR reference rate to SOFR plus 0.10%, plus 1.85% per annum. </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3, 2015, certain of our subsidiaries entered into an amended and restated master loan agreement (as amended, restated or supplemented from time to time, the "2015 Wells Fargo Master Loan Agreement") with Wells Fargo Bank, National Association ("Wells Fargo"), as lender, which provides form term loans to certain of our subsidiaries that are borrowers under the 2015 Wells Fargo Master Loan Agreement in an aggregate amount not to exceed $100.0 million (the "2015 Wells Fargo Master Loan Facility"). Our right to make draws under the 2015 Wells Fargo Master Loan Facility terminated on February 1, 2016. We are required to make quarterly principal payments with respect to the initial amount of each loan in 108 equal monthly principal payments based on a hypothetical nineteen-year amortization schedule, with a balloon repayment of the outstanding principal amount of loans due on February 1, 2025. On February 21, 2025, the agreement was modified and the maturity date was extended to June 1, 2025. Borrowings under the 2015 Wells Fargo Master Loan Facility can be voluntarily prepaid in whole or in part any time without premium or penalty. Borrowings under the 2015 Wells Fargo Master Loan Facility are guaranteed by us pursuant to an unconditional guaranty, and all of the real property financed by any of our operating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4"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dealership subsidiaries under the 2015 Wells Fargo Master Loan Facility is collateralized by first priority liens, subject to certain permitted exceptions.</w:t>
      </w:r>
    </w:p>
    <w:p>
      <w:pPr>
        <w:pStyle w:val="TextBody"/>
        <w:bidi w:val="0"/>
        <w:spacing w:lineRule="auto" w:line="288" w:before="180" w:after="180"/>
        <w:ind w:left="0" w:right="0" w:firstLine="315"/>
        <w:jc w:val="left"/>
        <w:rPr/>
      </w:pPr>
      <w:r>
        <w:rPr>
          <w:rFonts w:ascii="Times New Roman;sans-serif" w:hAnsi="Times New Roman;sans-serif"/>
          <w:b w:val="false"/>
          <w:color w:val="000000"/>
          <w:sz w:val="20"/>
        </w:rPr>
        <w:t xml:space="preserve">As of December 31, 2024 and 2023, we had </w:t>
      </w:r>
      <w:r>
        <w:rPr>
          <w:rFonts w:ascii="Times New Roman;sans-serif" w:hAnsi="Times New Roman;sans-serif"/>
          <w:b w:val="false"/>
          <w:color w:val="000000"/>
          <w:sz w:val="20"/>
          <w:shd w:fill="FFFFFF" w:val="clear"/>
        </w:rPr>
        <w:t>$32.0 million</w:t>
      </w:r>
      <w:r>
        <w:rPr>
          <w:color w:val="000000"/>
        </w:rPr>
        <w:t xml:space="preserve"> </w:t>
      </w:r>
      <w:r>
        <w:rPr>
          <w:rFonts w:ascii="Times New Roman;sans-serif" w:hAnsi="Times New Roman;sans-serif"/>
          <w:b w:val="false"/>
          <w:color w:val="000000"/>
          <w:sz w:val="20"/>
        </w:rPr>
        <w:t>and $37.2 million, respectively, outstanding under the 2015 Wells Fargo Master Loan Facility.</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2013 BofA Real Estate Facility</w:t>
      </w:r>
    </w:p>
    <w:p>
      <w:pPr>
        <w:pStyle w:val="TextBody"/>
        <w:bidi w:val="0"/>
        <w:spacing w:lineRule="auto" w:line="288" w:before="18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On May 25, 2022, we entered into the third amendment to the credit agreement to revise the benchmark interest rate payable on term loans under our 2013 BofA Real Estate Facility. Interest is payable, at our option, based on SOFR plus 0.10%, plus 1.50% or the Base Rate plus 0.50%. The Base Rate is the highest of (i) the Federal Funds rate plus 0.50%, (ii) the Bank of America prime rate, (iii) SOFR plus 0.10%, plus 1.00%, and (iv) 1.00%. Our right to make draws under the 2013 BofA Real Estate Facility terminated on December 26, 2013.</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26, 2013, we entered into a real estate term loan credit agreement (the "2013 BofA Real Estate Credit Agreement") with Bank of America, N.A. ("Bank of America"), as lender, providing for term loans in an aggregate amount not to exceed $75.0 million, subject to customary terms and conditions (the "2013 BofA Real Estate Facility"). Our right to make draws under the 2013 BofA Real Estate Facility terminated on December 26, 2013. In June 2023, the Company prepaid the aggregate principal amounts remaining under the 2013 BofA Real Estate Facility for an aggregate amount of approximately $23.9 million with cash on hand.</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Summary of Mortgages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outstanding mortgage notes payable, the carrying values of the related collateralized real estate, and year of maturity as of December 31, 2024 and 2023:</w:t>
      </w:r>
    </w:p>
    <w:tbl>
      <w:tblPr>
        <w:tblW w:w="10205" w:type="dxa"/>
        <w:jc w:val="left"/>
        <w:tblInd w:w="0" w:type="dxa"/>
        <w:tblLayout w:type="fixed"/>
        <w:tblCellMar>
          <w:top w:w="28" w:type="dxa"/>
          <w:left w:w="28" w:type="dxa"/>
          <w:bottom w:w="28" w:type="dxa"/>
          <w:right w:w="28" w:type="dxa"/>
        </w:tblCellMar>
      </w:tblPr>
      <w:tblGrid>
        <w:gridCol w:w="410"/>
        <w:gridCol w:w="359"/>
        <w:gridCol w:w="361"/>
        <w:gridCol w:w="109"/>
        <w:gridCol w:w="109"/>
        <w:gridCol w:w="109"/>
        <w:gridCol w:w="271"/>
        <w:gridCol w:w="791"/>
        <w:gridCol w:w="141"/>
        <w:gridCol w:w="109"/>
        <w:gridCol w:w="109"/>
        <w:gridCol w:w="109"/>
        <w:gridCol w:w="278"/>
        <w:gridCol w:w="1014"/>
        <w:gridCol w:w="145"/>
        <w:gridCol w:w="109"/>
        <w:gridCol w:w="109"/>
        <w:gridCol w:w="109"/>
        <w:gridCol w:w="296"/>
        <w:gridCol w:w="296"/>
        <w:gridCol w:w="297"/>
        <w:gridCol w:w="109"/>
        <w:gridCol w:w="109"/>
        <w:gridCol w:w="109"/>
        <w:gridCol w:w="271"/>
        <w:gridCol w:w="791"/>
        <w:gridCol w:w="141"/>
        <w:gridCol w:w="109"/>
        <w:gridCol w:w="109"/>
        <w:gridCol w:w="109"/>
        <w:gridCol w:w="278"/>
        <w:gridCol w:w="1014"/>
        <w:gridCol w:w="145"/>
        <w:gridCol w:w="109"/>
        <w:gridCol w:w="109"/>
        <w:gridCol w:w="109"/>
        <w:gridCol w:w="273"/>
        <w:gridCol w:w="273"/>
        <w:gridCol w:w="398"/>
      </w:tblGrid>
      <w:tr>
        <w:trPr/>
        <w:tc>
          <w:tcPr>
            <w:tcW w:w="41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r>
      <w:tr>
        <w:trPr/>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Mortgage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 Principal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 of Collateralized Related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Maturity Dates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Aggregate Principal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 of Collateralized Related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Maturity Dates</w:t>
            </w:r>
          </w:p>
        </w:tc>
      </w:tr>
      <w:tr>
        <w:trPr/>
        <w:tc>
          <w:tcPr>
            <w:tcW w:w="11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Captive mortgages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r>
      <w:tr>
        <w:trPr/>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 Real Estate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r>
      <w:tr>
        <w:trPr/>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 BofA Real Estate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2031</w:t>
            </w:r>
          </w:p>
        </w:tc>
      </w:tr>
      <w:tr>
        <w:trPr/>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2018 BofA Real Estate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r>
      <w:tr>
        <w:trPr/>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2018 Wells Fargo Master Loan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2028</w:t>
            </w:r>
          </w:p>
        </w:tc>
      </w:tr>
      <w:tr>
        <w:trPr/>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2015 Wells Fargo Master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r>
      <w:tr>
        <w:trPr/>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r>
      <w:tr>
        <w:trPr/>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mortgage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971.7 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1,396.5 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Revolving Credit Facility</w:t>
      </w:r>
    </w:p>
    <w:p>
      <w:pPr>
        <w:pStyle w:val="TextBody"/>
        <w:bidi w:val="0"/>
        <w:spacing w:lineRule="auto" w:line="288" w:before="180" w:after="180"/>
        <w:ind w:left="0" w:right="0" w:firstLine="315"/>
        <w:jc w:val="left"/>
        <w:rPr/>
      </w:pPr>
      <w:r>
        <w:rPr>
          <w:rFonts w:ascii="Times New Roman;sans-serif" w:hAnsi="Times New Roman;sans-serif"/>
          <w:b w:val="false"/>
          <w:color w:val="000000"/>
          <w:sz w:val="20"/>
        </w:rPr>
        <w:t xml:space="preserve">As discussed above under our "Floor Plan Notes Payable—Non-Trade" footnote, the 2023 Senior Credit Facility includes a $500.0 million Revolving Credit Facility. We may request Bank of America to issue letters of credit on our behalf thereunder up to $50.0 million. Availability under the Revolving Credit Facility is limited by borrowing base calculations and is reduced on a dollar-for-dollar basis by the aggregate face amount of any outstanding letters of credit. As of December 31, 2024, we had </w:t>
      </w:r>
      <w:r>
        <w:rPr>
          <w:rFonts w:ascii="Times New Roman;sans-serif" w:hAnsi="Times New Roman;sans-serif"/>
          <w:b w:val="false"/>
          <w:color w:val="000000"/>
          <w:sz w:val="20"/>
          <w:shd w:fill="FFFFFF" w:val="clear"/>
        </w:rPr>
        <w:t>$14.0 million</w:t>
      </w:r>
      <w:r>
        <w:rPr>
          <w:color w:val="000000"/>
        </w:rPr>
        <w:t xml:space="preserve"> </w:t>
      </w:r>
      <w:r>
        <w:rPr>
          <w:rFonts w:ascii="Times New Roman;sans-serif" w:hAnsi="Times New Roman;sans-serif"/>
          <w:b w:val="false"/>
          <w:color w:val="000000"/>
          <w:sz w:val="20"/>
        </w:rPr>
        <w:t>in outstanding letters of credit, nothing drawn on our Revolving Credit Facility and $486.0 million of borrowing availability. As of December 31, 2023, we had $14.0 million in outstanding letters of credit, nothing drawn on our Revolving Credit Facility and $332.1 million of borrowing availability, with an additional $389.0 million available to convert from our new vehicle floorplan facility. Proceeds from borrowings from time to time under the revolving credit facility may be used for among other things, acquisitions, working capital and capital expenditures.</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 Repurchase and Dividend Restrictions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2023 Senior Credit Facility and the Indentures currently allow for restricted payments without limit so long as our Consolidated Total Leverage Ratio (as defined in the 2023 Senior Credit Facility and the Indentures) is not greater than 3.0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5"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1.0 after giving effect to such proposed restricted payments. Restricted payments generally include items such as dividends, share repurchases, unscheduled repayments of subordinated debt, or purchases of certain investments. Subject to our continued compliance with a consolidated fixed charge coverage ratio and a maximum consolidated total lease adjusted leverage ratio, in each case as set out in the Indentures, restricted payments capacity additions (or subtractions if negative) equal to a base level plus the cumulative amount of (i) 50% of our net income (as defined in the 2023 Senior Credit Facility) plus (ii) 100% of any cash proceeds we receive from the sale of equity interests minus (iii) the dollar amount of share purchases made and dividends paid during the defined measurement periods, subject to certain exceptions. In the event that our Consolidated Total Leverage Ratio does (or would) exceed 3.0 to 1.0, the 2023 Senior Credit Facility and the Indentures would then also allow for restricted payments under mutually exclusive parameters, subject to certain exclusions. The Company may otherwise make restricted payments only up to the aforementioned cumulative capacity. Our restricted payment capacity balance as of December 31, 2024 and 2023 was $1.22 billion and $1.18 billion, respectively.</w:t>
      </w:r>
    </w:p>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Representations and Covenants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a number of covenants in our various debt and lease agreements, including those described below. We were in compliance with all of our covenants throughout 2024. Failure to comply with any of our debt covenants would constitute a default under the relevant debt agreements, which would entitle the lenders under such agreements to terminate our ability to borrow under the relevant agreements and accelerate our obligations to repay outstanding borrowings, if any, unless compliance with the covenants is waived. In many cases, defaults under one of our agreements could trigger cross-default provisions in our other agreements. If we are unable to remain in compliance with our financial or other covenants, we would be required to seek waivers or modifications of our covenants from our lenders, or we would need to raise debt and/or equity financing or sell assets to generate proceeds sufficient to repay such debt. We cannot give any assurance that we would be able to successfully take any of these actions on terms, or at times, that may be necessary or desirable.</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representations and covenants contained in the agreement governing the 2023 Senior Credit Facility are customary for financing transactions of this nature including, among others, a requirement to comply with a minimum consolidated fixed charge coverage ratio and maximum consolidated total lease adjusted leverage ratio, in each case as set out in the agreement governing the 2023 Senior Credit Facility. In addition, certain other covenants could restrict the Company's ability to incur additional debt, pay dividends or acquire or dispose of assets.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agreement governing the 2023 Senior Credit Facility also provides for events of default that are customary for financing transactions of this nature, including cross-defaults to other material indebtedness. In certain instances, an event of default under either the Revolving Credit Facility or the Used Vehicle Floor Plan Facility could be, or result in, an event of default under the New Vehicle Floor Plan Facility, and vice versa. Upon the occurrence of an event of default, the Company could be required to immediately repay all amounts outstanding under the applicable facility.</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representations and covenants contained in the 2021 BofA Real Estate Facility are customary for financing transactions of this nature, including, among others, a requirement to comply with a minimum consolidated fixed charge coverage ratio and maximum consolidated total lease adjusted leverage ratio, in each case as set out in the 2021 BofA Real Estate Facility. In addition, certain other covenants could restrict our ability to incur additional debt, pay dividends or acquire or dispose of assets. The 2021 BofA Real Estate Facility also provides for events of default that are customary for financing transactions of this nature, including cross-defaults to other material indebtedness. Upon the occurrence of an event of default, we could be required to immediately repay all amounts outstanding thereunder.</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representations and covenants contained in the 2021 Real Estate Facility are customary for financing transactions of this nature, including, among others, a requirement to comply with a minimum consolidated fixed charge coverage ratio and maximum consolidated total lease adjusted leverage ratio, in each case as set out in the 2021 Real Estate Facility. In addition, certain other covenants could restrict our ability to incur additional debt, pay dividends or acquire or dispose of assets. The 2021 Real Estate Facility also provides for events of default that are customary for financing transactions of this nature, including cross-defaults to other material indebtedness. Upon the occurrence of an event of default, we could be required to immediately repay all amounts outstanding thereunder.</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representations and covenants contained in the 2018 BofA Real Estate Credit Agreement are customary for financing transactions of this nature, including, among others, a requirement to comply with a minimum consolidated fixed charge coverage ratio and maximum consolidated total lease adjusted leverage ratio, in each case as set out in the 2018 BofA Real Estate Credit Agreement. In addition, certain other covenants could restrict our ability to incur additional debt, pay dividends or acquire or dispose of assets. The 2018 BofA Real Estate Credit Agreement also provides for events of default that are customary for financing transactions of this nature, including cross-defaults to other material indebtedness. Upon the occurrence of an event of default, we could be required by the 2018 BofA Real Estate Credit Agreement to immediately repay all amounts outstanding thereunder.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6"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representations, warranties and covenants contained in the 2018 Wells Fargo Master Loan Agreement and the related documents are customary for financing transactions of this nature, including, among others, a requirement to comply with a minimum consolidated fixed charge coverage ratio and maximum consolidated total lease adjusted leverage ratio. In addition, certain other covenants could restrict our ability to incur additional debt, pay dividends or acquire or dispose of assets. The 2018 Wells Fargo Master Loan Agreement also provides for events of default that are customary for financing transactions of this nature, including cross-defaults to other material indebtedness. Upon the occurrence of an event of default, we could be required by the 2018 Wells Fargo Master Loan Facility to immediately repay all amounts outstanding thereunder.</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representations, warranties and covenants contained in the 2015 Wells Fargo Master Loan Agreement and the related documents are customary for financing transactions of this nature, including, among others, a requirement to comply with a minimum consolidated fixed charge coverage ratio and maximum consolidated total lease adjusted leverage ratio. In addition, certain other covenants could restrict our ability to incur additional debt, pay dividends or acquire or dispose of assets. The 2015 Wells Fargo Master Loan Agreement also provides for events of default that are customary for financing transactions of this nature, including cross-defaults to other material indebtedness. Upon the occurrence of an event of default, we could be required by the 2015 Wells Fargo Master Loan Facility to immediately repay all amounts outstanding thereunder.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15. FINANCIAL INSTRUMENTS AND FAIR VALUE</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In determining fair value, we use various valuation approaches, including market and income approaches. Accounting standards establish a hierarchy for inputs used in measuring fair value that maximizes the use of observable inputs and minimizes the use of unobservable inputs by requiring that the most observable inputs be used when available. Observable inputs are inputs that market participants would use in pricing the asset or liability developed based on market data obtained from independent sources. Unobservable inputs are inputs that reflect our assumptions about the assumptions market participants would use in pricing the asset or liability, developed based on the best information available in the circumstances. The hierarchy is broken down into three levels based on the reliability of inputs as follows: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Level 1-Valuations based on quoted prices in active markets for identical assets or liabilities that we have the ability to access. </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Level 2-Valuations based on quoted prices in markets that are not active or for which all significant inputs are observable, either directly or indirectly. Assets and liabilities utilizing Level 2 inputs include interest rate swap instruments, exchange-traded debt securities that are not actively traded or do not have a high trading volume, and certain real estate properties on a non-recurring basis.</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Level 3-Valuations based on inputs that are unobservable and significant to the overall fair value measurement. Asset and liability measurements utilizing Level 3 inputs include those used in estimating the fair value of certain non-financial assets and non-financial liabilities in purchase acquisitions and those used in the assessment of impairment for goodwill and intangible franchise rights.</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availability of observable inputs can vary and is affected by a wide variety of factors. To the extent that valuation is based on models or inputs that are less observable or unobservable in the market, the determination of fair value requires more judgment. Accordingly, the degree of judgment required to determine fair value is greatest for instruments categorized in Level 3. In certain cases, the inputs used to measure fair value may fall into different levels of the fair value hierarchy. In such cases, for disclosure purposes, the level in the fair value hierarchy within which the fair value measurement is disclosed is determined based on the lowest level input that is significant to the fair value measurement.</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a market-based exit price measure considered from the perspective of a market participant who holds the asset or owes the liability rather than an entity-specific measure. Therefore, even when market assumptions are not readily available, our assumptions are set to reflect those that market participants would use in pricing the asset or liability at the measurement date. We use inputs that are current as of the measurement date, including during periods of significant market fluctuations.</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instruments consist primarily of cash and cash equivalents, investments, contracts-in-transit, accounts receivable, cash surrender value of corporate-owned life insurance policies, accounts payable, floor plan notes payable, subordinated long-term debt, mortgage notes payable, and interest rate swap instruments. The carrying values of our financial instruments, with the exception of subordinated long-term debt and mortgage notes payable, approximate fair value primarily due to (i) their short-term nature, (ii) recently completed market transactions, or (iii) existence of variable interest rates, which approximate market rates. The fair value of our subordinated long-term debt is based on reported market prices in an inactive market that reflects Level 2 inputs. We estimate the fair value of our mortgage notes payable using a present value technique based on current market interest rates for similar types of financial instruments that reflect Level 2 inputs.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7"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ind w:left="0" w:right="0" w:firstLine="315"/>
        <w:jc w:val="left"/>
        <w:rPr/>
      </w:pPr>
      <w:r>
        <w:rPr>
          <w:rFonts w:ascii="Times New Roman;sans-serif" w:hAnsi="Times New Roman;sans-serif"/>
          <w:b w:val="false"/>
          <w:color w:val="000000"/>
          <w:sz w:val="20"/>
        </w:rPr>
        <w:t>A summary of the carrying values and fair values of our Notes and our mortgage notes payable is as follows:</w:t>
      </w:r>
      <w:r>
        <w:rPr>
          <w:color w:val="000000"/>
        </w:rPr>
        <w:t> </w:t>
      </w:r>
    </w:p>
    <w:tbl>
      <w:tblPr>
        <w:tblW w:w="5183" w:type="dxa"/>
        <w:jc w:val="left"/>
        <w:tblInd w:w="0" w:type="dxa"/>
        <w:tblLayout w:type="fixed"/>
        <w:tblCellMar>
          <w:top w:w="28" w:type="dxa"/>
          <w:left w:w="28" w:type="dxa"/>
          <w:bottom w:w="28" w:type="dxa"/>
          <w:right w:w="28" w:type="dxa"/>
        </w:tblCellMar>
      </w:tblPr>
      <w:tblGrid>
        <w:gridCol w:w="957"/>
        <w:gridCol w:w="838"/>
        <w:gridCol w:w="844"/>
        <w:gridCol w:w="211"/>
        <w:gridCol w:w="766"/>
        <w:gridCol w:w="109"/>
        <w:gridCol w:w="109"/>
        <w:gridCol w:w="109"/>
        <w:gridCol w:w="109"/>
        <w:gridCol w:w="211"/>
        <w:gridCol w:w="766"/>
        <w:gridCol w:w="154"/>
      </w:tblGrid>
      <w:tr>
        <w:trPr/>
        <w:tc>
          <w:tcPr>
            <w:tcW w:w="95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Carrying Value: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4.50% Senior Notes due 2028</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4.625% Senior Notes due 2029</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4.75% Senior Notes due 2030</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5.00% Senior Notes due 2032</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notes payable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carrying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Fair Value: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4.50% Senior Notes due 2028</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4.625% Senior Notes due 2029</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4.75% Senior Notes due 2030</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5.00% Senior Notes due 2032</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notes payable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Swap Agreements</w:t>
      </w:r>
    </w:p>
    <w:p>
      <w:pPr>
        <w:pStyle w:val="TextBody"/>
        <w:bidi w:val="0"/>
        <w:spacing w:lineRule="auto" w:line="288" w:before="180" w:after="283"/>
        <w:ind w:left="0" w:right="0" w:firstLine="315"/>
        <w:jc w:val="left"/>
        <w:rPr/>
      </w:pPr>
      <w:r>
        <w:rPr>
          <w:rFonts w:ascii="Times New Roman;sans-serif" w:hAnsi="Times New Roman;sans-serif"/>
          <w:b w:val="false"/>
          <w:color w:val="000000"/>
          <w:sz w:val="20"/>
        </w:rPr>
        <w:t xml:space="preserve">We currently have six interest rate swap agreements. These swaps are designed to provide a hedge against changes in variable rate cash flows regarding fluctuations in the SOFR rate. All interest rate swap agreements with an inception date of 2021 and prior were amended on June 1, 2022 to provide a hedge against changes in variable rate cash flows regarding fluctuations in SOFR as compared to the previous benchmark rate of one-month LIBOR. The revisions to the interest rate swap agreements did not impact our hedge accounting because we applied the accounting expedients outlined in ASU 2020-04 and ASU 2021-01 of ASC Topic 848, </w:t>
      </w:r>
      <w:r>
        <w:rPr>
          <w:rFonts w:ascii="Times New Roman;sans-serif" w:hAnsi="Times New Roman;sans-serif"/>
          <w:b w:val="false"/>
          <w:i/>
          <w:color w:val="000000"/>
          <w:sz w:val="20"/>
        </w:rPr>
        <w:t>Reference Rate Reform</w:t>
      </w:r>
      <w:r>
        <w:rPr>
          <w:rFonts w:ascii="Times New Roman;sans-serif" w:hAnsi="Times New Roman;sans-serif"/>
          <w:b w:val="false"/>
          <w:color w:val="000000"/>
          <w:sz w:val="20"/>
        </w:rPr>
        <w:t>. The following table provides information on the attributes of each swap as of December 31, 2024:</w:t>
      </w:r>
    </w:p>
    <w:tbl>
      <w:tblPr>
        <w:tblW w:w="10205" w:type="dxa"/>
        <w:jc w:val="left"/>
        <w:tblInd w:w="0" w:type="dxa"/>
        <w:tblLayout w:type="fixed"/>
        <w:tblCellMar>
          <w:top w:w="28" w:type="dxa"/>
          <w:left w:w="28" w:type="dxa"/>
          <w:bottom w:w="28" w:type="dxa"/>
          <w:right w:w="28" w:type="dxa"/>
        </w:tblCellMar>
      </w:tblPr>
      <w:tblGrid>
        <w:gridCol w:w="409"/>
        <w:gridCol w:w="359"/>
        <w:gridCol w:w="362"/>
        <w:gridCol w:w="109"/>
        <w:gridCol w:w="109"/>
        <w:gridCol w:w="109"/>
        <w:gridCol w:w="448"/>
        <w:gridCol w:w="1308"/>
        <w:gridCol w:w="231"/>
        <w:gridCol w:w="109"/>
        <w:gridCol w:w="109"/>
        <w:gridCol w:w="109"/>
        <w:gridCol w:w="565"/>
        <w:gridCol w:w="1652"/>
        <w:gridCol w:w="295"/>
        <w:gridCol w:w="109"/>
        <w:gridCol w:w="109"/>
        <w:gridCol w:w="109"/>
        <w:gridCol w:w="441"/>
        <w:gridCol w:w="1287"/>
        <w:gridCol w:w="227"/>
        <w:gridCol w:w="109"/>
        <w:gridCol w:w="109"/>
        <w:gridCol w:w="109"/>
        <w:gridCol w:w="415"/>
        <w:gridCol w:w="368"/>
        <w:gridCol w:w="530"/>
      </w:tblGrid>
      <w:tr>
        <w:trPr/>
        <w:tc>
          <w:tcPr>
            <w:tcW w:w="4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Inception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 Principal at Inception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Notional Value 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 Principal at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 Date</w:t>
            </w:r>
          </w:p>
        </w:tc>
      </w:tr>
      <w:tr>
        <w:trPr/>
        <w:tc>
          <w:tcPr>
            <w:tcW w:w="1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258.8 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2026</w:t>
            </w:r>
          </w:p>
        </w:tc>
      </w:tr>
      <w:tr>
        <w:trPr/>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2031</w:t>
            </w:r>
          </w:p>
        </w:tc>
      </w:tr>
      <w:tr>
        <w:trPr/>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2031</w:t>
            </w:r>
          </w:p>
        </w:tc>
      </w:tr>
      <w:tr>
        <w:trPr/>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2028</w:t>
            </w:r>
          </w:p>
        </w:tc>
      </w:tr>
      <w:tr>
        <w:trPr/>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2025</w:t>
            </w:r>
          </w:p>
        </w:tc>
      </w:tr>
      <w:tr>
        <w:trPr/>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2025</w:t>
            </w:r>
          </w:p>
        </w:tc>
      </w:tr>
    </w:tbl>
    <w:p>
      <w:pPr>
        <w:pStyle w:val="TextBody"/>
        <w:bidi w:val="0"/>
        <w:spacing w:lineRule="auto" w:line="288" w:before="140" w:after="283"/>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cash flow swaps is calculated as the present value of expected future cash flows, determined on the basis of forward interest rates and present value factors. Fair value estimates reflect a credit adjustment to the discount rate applied to all expected cash flows under the swaps. Other than this input, all other inputs used in the valuation for these swaps are designated to be Level 2 fair values. The fair value of our swaps for the years ended December 31, 2024 and 2023, reflect a net asset of $76.6 million and $79.8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8"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regarding the fair value of our interest rate swap agreements and the impact on the consolidated balance sheets:</w:t>
      </w:r>
    </w:p>
    <w:tbl>
      <w:tblPr>
        <w:tblW w:w="3954" w:type="dxa"/>
        <w:jc w:val="left"/>
        <w:tblInd w:w="0" w:type="dxa"/>
        <w:tblLayout w:type="fixed"/>
        <w:tblCellMar>
          <w:top w:w="28" w:type="dxa"/>
          <w:left w:w="28" w:type="dxa"/>
          <w:bottom w:w="28" w:type="dxa"/>
          <w:right w:w="28" w:type="dxa"/>
        </w:tblCellMar>
      </w:tblPr>
      <w:tblGrid>
        <w:gridCol w:w="695"/>
        <w:gridCol w:w="611"/>
        <w:gridCol w:w="614"/>
        <w:gridCol w:w="211"/>
        <w:gridCol w:w="511"/>
        <w:gridCol w:w="109"/>
        <w:gridCol w:w="109"/>
        <w:gridCol w:w="109"/>
        <w:gridCol w:w="109"/>
        <w:gridCol w:w="211"/>
        <w:gridCol w:w="511"/>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315"/>
        <w:jc w:val="left"/>
        <w:rPr/>
      </w:pPr>
      <w:r>
        <w:rPr>
          <w:rFonts w:ascii="Times New Roman;sans-serif" w:hAnsi="Times New Roman;sans-serif"/>
          <w:b w:val="false"/>
          <w:color w:val="000000"/>
          <w:sz w:val="20"/>
        </w:rPr>
        <w:t>Our interest rate swaps qualify for cash flow hedge accounting treatment. These interest rate swaps are marked to market at each reporting date and</w:t>
      </w:r>
      <w:r>
        <w:rPr>
          <w:color w:val="000000"/>
        </w:rPr>
        <w:t xml:space="preserve"> </w:t>
      </w:r>
      <w:r>
        <w:rPr>
          <w:rFonts w:ascii="Times New Roman;sans-serif" w:hAnsi="Times New Roman;sans-serif"/>
          <w:b w:val="false"/>
          <w:color w:val="000000"/>
          <w:sz w:val="20"/>
        </w:rPr>
        <w:t>any unrealized gains or losses are included in accumulated other comprehensive income and reclassified to interest expense in the same period or periods during which the hedged transactions affect earnings. Information about the effect of our interest rate swap agreements in the accompanying consolidated statements of income and consolidated statements of comprehensive income, is as follows (in millions):</w:t>
      </w:r>
    </w:p>
    <w:tbl>
      <w:tblPr>
        <w:tblW w:w="10205" w:type="dxa"/>
        <w:jc w:val="left"/>
        <w:tblInd w:w="0" w:type="dxa"/>
        <w:tblLayout w:type="fixed"/>
        <w:tblCellMar>
          <w:top w:w="28" w:type="dxa"/>
          <w:left w:w="28" w:type="dxa"/>
          <w:bottom w:w="28" w:type="dxa"/>
          <w:right w:w="28" w:type="dxa"/>
        </w:tblCellMar>
      </w:tblPr>
      <w:tblGrid>
        <w:gridCol w:w="505"/>
        <w:gridCol w:w="444"/>
        <w:gridCol w:w="446"/>
        <w:gridCol w:w="109"/>
        <w:gridCol w:w="109"/>
        <w:gridCol w:w="109"/>
        <w:gridCol w:w="569"/>
        <w:gridCol w:w="1664"/>
        <w:gridCol w:w="296"/>
        <w:gridCol w:w="109"/>
        <w:gridCol w:w="109"/>
        <w:gridCol w:w="109"/>
        <w:gridCol w:w="882"/>
        <w:gridCol w:w="882"/>
        <w:gridCol w:w="884"/>
        <w:gridCol w:w="109"/>
        <w:gridCol w:w="109"/>
        <w:gridCol w:w="109"/>
        <w:gridCol w:w="624"/>
        <w:gridCol w:w="1560"/>
        <w:gridCol w:w="468"/>
      </w:tblGrid>
      <w:tr>
        <w:trPr/>
        <w:tc>
          <w:tcPr>
            <w:tcW w:w="5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Results Recognized in Accumulated Other Comprehensive Income (Loss)</w:t>
              <w:br/>
              <w:t>(Effective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Location of Results Reclassified from Accumulated Other Comprehensive Loss</w:t>
            </w:r>
          </w:p>
          <w:p>
            <w:pPr>
              <w:pStyle w:val="TableContents"/>
              <w:bidi w:val="0"/>
              <w:spacing w:lineRule="auto" w:line="240" w:before="0" w:after="20"/>
              <w:jc w:val="center"/>
              <w:rPr>
                <w:color w:val="000000"/>
              </w:rPr>
            </w:pPr>
            <w:r>
              <w:rPr>
                <w:color w:val="000000"/>
              </w:rPr>
              <w:t> </w:t>
            </w:r>
            <w:r>
              <w:rPr>
                <w:rFonts w:ascii="Times New Roman;sans-serif" w:hAnsi="Times New Roman;sans-serif"/>
                <w:b/>
                <w:color w:val="000000"/>
                <w:sz w:val="18"/>
              </w:rPr>
              <w:t>to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Results Reclassified from Accumulated Other Comprehensive Income (Loss)</w:t>
              <w:br/>
              <w:t> to Earnings</w:t>
            </w:r>
          </w:p>
        </w:tc>
      </w:tr>
      <w:tr>
        <w:trPr/>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left"/>
        <w:rPr/>
      </w:pPr>
      <w:r>
        <w:rPr/>
      </w:r>
    </w:p>
    <w:p>
      <w:pPr>
        <w:pStyle w:val="TextBody"/>
        <w:bidi w:val="0"/>
        <w:spacing w:lineRule="auto" w:line="288" w:before="0" w:after="0"/>
        <w:ind w:left="0" w:right="0" w:firstLine="315"/>
        <w:jc w:val="left"/>
        <w:rPr/>
      </w:pPr>
      <w:r>
        <w:rPr>
          <w:color w:val="000000"/>
        </w:rPr>
        <w:t> </w:t>
      </w:r>
      <w:r>
        <w:rPr>
          <w:rFonts w:ascii="Times New Roman;sans-serif" w:hAnsi="Times New Roman;sans-serif"/>
          <w:b w:val="false"/>
          <w:color w:val="000000"/>
          <w:sz w:val="20"/>
        </w:rPr>
        <w:t xml:space="preserve">On the basis of yield curve conditions as of December 31, 2024 and including assumptions about future changes in fair value, we expect the amount to be reclassified out of accumulated other comprehensive income into earnings within the next 12 months will be gains of $20.3 million. </w:t>
      </w:r>
    </w:p>
    <w:p>
      <w:pPr>
        <w:pStyle w:val="TextBody"/>
        <w:bidi w:val="0"/>
        <w:spacing w:before="0" w:after="0"/>
        <w:ind w:left="0" w:right="0" w:firstLine="270"/>
        <w:jc w:val="left"/>
        <w:rPr/>
      </w:pPr>
      <w:r>
        <w:rPr/>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Investments</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Company’s investment securities that are measured at fair value on a recurring basis aggregated by the level in the fair value hierarchy within which those measurements fall:</w:t>
      </w:r>
    </w:p>
    <w:tbl>
      <w:tblPr>
        <w:tblW w:w="8055" w:type="dxa"/>
        <w:jc w:val="left"/>
        <w:tblInd w:w="0" w:type="dxa"/>
        <w:tblLayout w:type="fixed"/>
        <w:tblCellMar>
          <w:top w:w="28" w:type="dxa"/>
          <w:left w:w="28" w:type="dxa"/>
          <w:bottom w:w="28" w:type="dxa"/>
          <w:right w:w="28" w:type="dxa"/>
        </w:tblCellMar>
      </w:tblPr>
      <w:tblGrid>
        <w:gridCol w:w="1303"/>
        <w:gridCol w:w="1146"/>
        <w:gridCol w:w="1151"/>
        <w:gridCol w:w="211"/>
        <w:gridCol w:w="511"/>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2024</w:t>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5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7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w:t>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and other asset backed securities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069" w:type="dxa"/>
        <w:jc w:val="left"/>
        <w:tblInd w:w="0" w:type="dxa"/>
        <w:tblLayout w:type="fixed"/>
        <w:tblCellMar>
          <w:top w:w="28" w:type="dxa"/>
          <w:left w:w="28" w:type="dxa"/>
          <w:bottom w:w="28" w:type="dxa"/>
          <w:right w:w="28" w:type="dxa"/>
        </w:tblCellMar>
      </w:tblPr>
      <w:tblGrid>
        <w:gridCol w:w="1308"/>
        <w:gridCol w:w="1150"/>
        <w:gridCol w:w="1156"/>
        <w:gridCol w:w="211"/>
        <w:gridCol w:w="511"/>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54"/>
      </w:tblGrid>
      <w:tr>
        <w:trPr/>
        <w:tc>
          <w:tcPr>
            <w:tcW w:w="130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5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7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w:t>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and other asset-backed securities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09"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review the fair value hierarchy classifications each reporting period. Changes in the observability of the valuation attributes may result in a reclassification of certain investments. Such reclassifications are reported as transfers in and out of Level 3, or between other levels, at the beginning fair value for the reporting period in which the changes occur. </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debt securities are recorded at fair value and any unrealized gains or losses are included in accumulated other comprehensive income and reclassified to finance and insurance, net revenue in the period or periods during which the debt securities are sold and the gains or losses are realized. Information about the effect of our available-for-sale debt securities in the accompanying consolidated statements of income and consolidated statements of comprehensive income, is as follows (in millions):</w:t>
      </w:r>
    </w:p>
    <w:tbl>
      <w:tblPr>
        <w:tblW w:w="10205" w:type="dxa"/>
        <w:jc w:val="left"/>
        <w:tblInd w:w="0" w:type="dxa"/>
        <w:tblLayout w:type="fixed"/>
        <w:tblCellMar>
          <w:top w:w="28" w:type="dxa"/>
          <w:left w:w="28" w:type="dxa"/>
          <w:bottom w:w="28" w:type="dxa"/>
          <w:right w:w="28" w:type="dxa"/>
        </w:tblCellMar>
      </w:tblPr>
      <w:tblGrid>
        <w:gridCol w:w="498"/>
        <w:gridCol w:w="438"/>
        <w:gridCol w:w="439"/>
        <w:gridCol w:w="109"/>
        <w:gridCol w:w="109"/>
        <w:gridCol w:w="109"/>
        <w:gridCol w:w="705"/>
        <w:gridCol w:w="1411"/>
        <w:gridCol w:w="366"/>
        <w:gridCol w:w="109"/>
        <w:gridCol w:w="109"/>
        <w:gridCol w:w="109"/>
        <w:gridCol w:w="1031"/>
        <w:gridCol w:w="865"/>
        <w:gridCol w:w="868"/>
        <w:gridCol w:w="109"/>
        <w:gridCol w:w="109"/>
        <w:gridCol w:w="109"/>
        <w:gridCol w:w="696"/>
        <w:gridCol w:w="1389"/>
        <w:gridCol w:w="518"/>
      </w:tblGrid>
      <w:tr>
        <w:trPr/>
        <w:tc>
          <w:tcPr>
            <w:tcW w:w="49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1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Results Recognized in Accumulated Other Comprehensive Income (Loss)</w:t>
              <w:br/>
              <w:t>(Effective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Location of Results Reclassified from Accumulated Other Comprehensive Loss</w:t>
            </w:r>
          </w:p>
          <w:p>
            <w:pPr>
              <w:pStyle w:val="TableContents"/>
              <w:bidi w:val="0"/>
              <w:spacing w:lineRule="auto" w:line="240" w:before="0" w:after="20"/>
              <w:jc w:val="center"/>
              <w:rPr>
                <w:color w:val="000000"/>
              </w:rPr>
            </w:pPr>
            <w:r>
              <w:rPr>
                <w:color w:val="000000"/>
              </w:rPr>
              <w:t> </w:t>
            </w:r>
            <w:r>
              <w:rPr>
                <w:rFonts w:ascii="Times New Roman;sans-serif" w:hAnsi="Times New Roman;sans-serif"/>
                <w:b/>
                <w:color w:val="000000"/>
                <w:sz w:val="18"/>
              </w:rPr>
              <w:t>to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Results Reclassified from Accumulated Other Comprehensive Income (Loss)</w:t>
              <w:br/>
              <w:t> to Earnings</w:t>
            </w:r>
          </w:p>
        </w:tc>
      </w:tr>
      <w:tr>
        <w:trPr/>
        <w:tc>
          <w:tcPr>
            <w:tcW w:w="13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Revenue-Finance and Insurance,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Revenue-Finance and Insurance,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Revenue-Finance and Insurance,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16. INCOME TAXES</w:t>
      </w:r>
    </w:p>
    <w:p>
      <w:pPr>
        <w:pStyle w:val="TextBody"/>
        <w:bidi w:val="0"/>
        <w:spacing w:lineRule="auto" w:line="288" w:before="100" w:after="283"/>
        <w:ind w:left="0" w:right="0" w:firstLine="315"/>
        <w:jc w:val="left"/>
        <w:rPr/>
      </w:pPr>
      <w:r>
        <w:rPr>
          <w:rFonts w:ascii="Times New Roman;sans-serif" w:hAnsi="Times New Roman;sans-serif"/>
          <w:b w:val="false"/>
          <w:color w:val="000000"/>
          <w:sz w:val="20"/>
        </w:rPr>
        <w:t>The components of income tax expense are as follows:</w:t>
      </w:r>
      <w:r>
        <w:rPr>
          <w:color w:val="000000"/>
        </w:rPr>
        <w:t> </w:t>
      </w:r>
    </w:p>
    <w:tbl>
      <w:tblPr>
        <w:tblW w:w="6417" w:type="dxa"/>
        <w:jc w:val="left"/>
        <w:tblInd w:w="0" w:type="dxa"/>
        <w:tblLayout w:type="fixed"/>
        <w:tblCellMar>
          <w:top w:w="28" w:type="dxa"/>
          <w:left w:w="28" w:type="dxa"/>
          <w:bottom w:w="28" w:type="dxa"/>
          <w:right w:w="28" w:type="dxa"/>
        </w:tblCellMar>
      </w:tblPr>
      <w:tblGrid>
        <w:gridCol w:w="1051"/>
        <w:gridCol w:w="926"/>
        <w:gridCol w:w="933"/>
        <w:gridCol w:w="211"/>
        <w:gridCol w:w="616"/>
        <w:gridCol w:w="109"/>
        <w:gridCol w:w="109"/>
        <w:gridCol w:w="109"/>
        <w:gridCol w:w="109"/>
        <w:gridCol w:w="211"/>
        <w:gridCol w:w="616"/>
        <w:gridCol w:w="109"/>
        <w:gridCol w:w="109"/>
        <w:gridCol w:w="109"/>
        <w:gridCol w:w="109"/>
        <w:gridCol w:w="211"/>
        <w:gridCol w:w="616"/>
        <w:gridCol w:w="154"/>
      </w:tblGrid>
      <w:tr>
        <w:trPr/>
        <w:tc>
          <w:tcPr>
            <w:tcW w:w="105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income tax expense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 expense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firstLine="315"/>
        <w:jc w:val="left"/>
        <w:rPr/>
      </w:pPr>
      <w:r>
        <w:rPr/>
      </w:r>
    </w:p>
    <w:p>
      <w:pPr>
        <w:pStyle w:val="TextBody"/>
        <w:bidi w:val="0"/>
        <w:spacing w:lineRule="auto" w:line="288" w:before="0" w:after="0"/>
        <w:ind w:left="0" w:right="0" w:firstLine="315"/>
        <w:jc w:val="left"/>
        <w:rPr/>
      </w:pPr>
      <w:r>
        <w:rPr>
          <w:rFonts w:ascii="Times New Roman;sans-serif" w:hAnsi="Times New Roman;sans-serif"/>
          <w:b w:val="false"/>
          <w:color w:val="000000"/>
          <w:sz w:val="20"/>
        </w:rPr>
        <w:t>A reconciliation of the statutory federal rate to the effective tax rate is as follows (dollar amounts shown in millions)</w:t>
      </w:r>
      <w:r>
        <w:rPr>
          <w:rFonts w:ascii="Times New Roman;sans-serif" w:hAnsi="Times New Roman;sans-serif"/>
          <w:b w:val="false"/>
          <w:color w:val="000000"/>
          <w:sz w:val="18"/>
        </w:rPr>
        <w:t>:</w:t>
      </w:r>
    </w:p>
    <w:tbl>
      <w:tblPr>
        <w:tblW w:w="10205" w:type="dxa"/>
        <w:jc w:val="left"/>
        <w:tblInd w:w="0" w:type="dxa"/>
        <w:tblLayout w:type="fixed"/>
        <w:tblCellMar>
          <w:top w:w="28" w:type="dxa"/>
          <w:left w:w="28" w:type="dxa"/>
          <w:bottom w:w="28" w:type="dxa"/>
          <w:right w:w="28" w:type="dxa"/>
        </w:tblCellMar>
      </w:tblPr>
      <w:tblGrid>
        <w:gridCol w:w="1406"/>
        <w:gridCol w:w="1223"/>
        <w:gridCol w:w="1227"/>
        <w:gridCol w:w="211"/>
        <w:gridCol w:w="616"/>
        <w:gridCol w:w="109"/>
        <w:gridCol w:w="109"/>
        <w:gridCol w:w="109"/>
        <w:gridCol w:w="109"/>
        <w:gridCol w:w="255"/>
        <w:gridCol w:w="256"/>
        <w:gridCol w:w="109"/>
        <w:gridCol w:w="109"/>
        <w:gridCol w:w="109"/>
        <w:gridCol w:w="109"/>
        <w:gridCol w:w="211"/>
        <w:gridCol w:w="616"/>
        <w:gridCol w:w="109"/>
        <w:gridCol w:w="109"/>
        <w:gridCol w:w="109"/>
        <w:gridCol w:w="109"/>
        <w:gridCol w:w="255"/>
        <w:gridCol w:w="256"/>
        <w:gridCol w:w="109"/>
        <w:gridCol w:w="109"/>
        <w:gridCol w:w="109"/>
        <w:gridCol w:w="109"/>
        <w:gridCol w:w="211"/>
        <w:gridCol w:w="616"/>
        <w:gridCol w:w="109"/>
        <w:gridCol w:w="109"/>
        <w:gridCol w:w="109"/>
        <w:gridCol w:w="109"/>
        <w:gridCol w:w="255"/>
        <w:gridCol w:w="256"/>
        <w:gridCol w:w="155"/>
      </w:tblGrid>
      <w:tr>
        <w:trPr/>
        <w:tc>
          <w:tcPr>
            <w:tcW w:w="140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4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r>
      <w:tr>
        <w:trPr/>
        <w:tc>
          <w:tcPr>
            <w:tcW w:w="38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3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at the statutory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 expense, net of federal benefit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items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r>
      <w:tr>
        <w:trPr/>
        <w:tc>
          <w:tcPr>
            <w:tcW w:w="385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r>
      <w:tr>
        <w:trPr/>
        <w:tc>
          <w:tcPr>
            <w:tcW w:w="3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Income tax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0"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income tax asset and liability components consisted of the following: </w:t>
      </w:r>
    </w:p>
    <w:tbl>
      <w:tblPr>
        <w:tblW w:w="5424" w:type="dxa"/>
        <w:jc w:val="left"/>
        <w:tblInd w:w="0" w:type="dxa"/>
        <w:tblLayout w:type="fixed"/>
        <w:tblCellMar>
          <w:top w:w="28" w:type="dxa"/>
          <w:left w:w="28" w:type="dxa"/>
          <w:bottom w:w="28" w:type="dxa"/>
          <w:right w:w="28" w:type="dxa"/>
        </w:tblCellMar>
      </w:tblPr>
      <w:tblGrid>
        <w:gridCol w:w="1099"/>
        <w:gridCol w:w="964"/>
        <w:gridCol w:w="967"/>
        <w:gridCol w:w="211"/>
        <w:gridCol w:w="691"/>
        <w:gridCol w:w="109"/>
        <w:gridCol w:w="109"/>
        <w:gridCol w:w="109"/>
        <w:gridCol w:w="109"/>
        <w:gridCol w:w="211"/>
        <w:gridCol w:w="691"/>
        <w:gridCol w:w="154"/>
      </w:tblGrid>
      <w:tr>
        <w:trPr/>
        <w:tc>
          <w:tcPr>
            <w:tcW w:w="109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assets: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F&amp;I chargeback liabilities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liabilities: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sales commissions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income tax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valuation allowances recorded against the deferred tax assets as of December 31, 2024 or 2023. </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an income tax receivable of $3.4 million, included in Other current assets and an income tax payable of $5.7 million included in accounts payable and other accrued liabilities.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had income tax receivable of $11.5 million, included in Other current assets. </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statutes of limitation related to our consolidated Federal income tax returns are closed for all tax years up to and including 2020. The expiration of the statutes of limitation related to the various state income tax returns that we and our subsidiaries file varies by state. The 2019 through 2023 tax years generally remain subject to examination by most state tax authorities. We believe that our tax positions comply with applicable tax law and that we have adequately provided for these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17. OTHER LONG-TERM LIABILITIES</w:t>
      </w:r>
    </w:p>
    <w:p>
      <w:pPr>
        <w:pStyle w:val="TextBody"/>
        <w:bidi w:val="0"/>
        <w:spacing w:lineRule="auto" w:line="288" w:before="100" w:after="283"/>
        <w:ind w:left="0" w:right="0" w:firstLine="315"/>
        <w:jc w:val="left"/>
        <w:rPr/>
      </w:pPr>
      <w:r>
        <w:rPr>
          <w:rFonts w:ascii="Times New Roman;sans-serif" w:hAnsi="Times New Roman;sans-serif"/>
          <w:b w:val="false"/>
          <w:color w:val="000000"/>
          <w:sz w:val="20"/>
        </w:rPr>
        <w:t>Other long-term liabilities consisted of the following:</w:t>
      </w:r>
      <w:r>
        <w:rPr>
          <w:color w:val="000000"/>
        </w:rPr>
        <w:t> </w:t>
      </w:r>
    </w:p>
    <w:tbl>
      <w:tblPr>
        <w:tblW w:w="5693" w:type="dxa"/>
        <w:jc w:val="left"/>
        <w:tblInd w:w="0" w:type="dxa"/>
        <w:tblLayout w:type="fixed"/>
        <w:tblCellMar>
          <w:top w:w="28" w:type="dxa"/>
          <w:left w:w="28" w:type="dxa"/>
          <w:bottom w:w="28" w:type="dxa"/>
          <w:right w:w="28" w:type="dxa"/>
        </w:tblCellMar>
      </w:tblPr>
      <w:tblGrid>
        <w:gridCol w:w="1327"/>
        <w:gridCol w:w="1163"/>
        <w:gridCol w:w="1169"/>
        <w:gridCol w:w="211"/>
        <w:gridCol w:w="511"/>
        <w:gridCol w:w="109"/>
        <w:gridCol w:w="109"/>
        <w:gridCol w:w="109"/>
        <w:gridCol w:w="109"/>
        <w:gridCol w:w="211"/>
        <w:gridCol w:w="511"/>
        <w:gridCol w:w="154"/>
      </w:tblGrid>
      <w:tr>
        <w:trPr/>
        <w:tc>
          <w:tcPr>
            <w:tcW w:w="132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premiums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finance and insurance chargebacks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Unclaimed property</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18. SUPPLEMENTAL CASH FLOW INFORMATION</w:t>
      </w:r>
    </w:p>
    <w:p>
      <w:pPr>
        <w:pStyle w:val="TextBody"/>
        <w:bidi w:val="0"/>
        <w:spacing w:lineRule="auto" w:line="288" w:before="100" w:after="180"/>
        <w:ind w:left="0" w:right="0" w:firstLine="315"/>
        <w:jc w:val="left"/>
        <w:rPr/>
      </w:pPr>
      <w:r>
        <w:rPr>
          <w:rFonts w:ascii="Times New Roman;sans-serif" w:hAnsi="Times New Roman;sans-serif"/>
          <w:b w:val="false"/>
          <w:color w:val="000000"/>
          <w:sz w:val="20"/>
        </w:rPr>
        <w:t xml:space="preserve">During the years ended December 31, 2024, 2023, and 2022, we made interest payments, including amounts capitalized, totaling </w:t>
      </w:r>
      <w:r>
        <w:rPr>
          <w:rFonts w:ascii="Times New Roman;sans-serif" w:hAnsi="Times New Roman;sans-serif"/>
          <w:b w:val="false"/>
          <w:color w:val="000000"/>
          <w:sz w:val="20"/>
          <w:shd w:fill="FFFFFF" w:val="clear"/>
        </w:rPr>
        <w:t>$269.6 million</w:t>
      </w:r>
      <w:r>
        <w:rPr>
          <w:rFonts w:ascii="Times New Roman;sans-serif" w:hAnsi="Times New Roman;sans-serif"/>
          <w:b w:val="false"/>
          <w:color w:val="000000"/>
          <w:sz w:val="20"/>
        </w:rPr>
        <w:t xml:space="preserve">, $149.3 million, and $147.2 million, respectively. Included in these interest payments are </w:t>
      </w:r>
      <w:r>
        <w:rPr>
          <w:rFonts w:ascii="Times New Roman;sans-serif" w:hAnsi="Times New Roman;sans-serif"/>
          <w:b w:val="false"/>
          <w:color w:val="000000"/>
          <w:sz w:val="20"/>
          <w:shd w:fill="FFFFFF" w:val="clear"/>
        </w:rPr>
        <w:t>$99.4 million</w:t>
      </w:r>
      <w:r>
        <w:rPr>
          <w:rFonts w:ascii="Times New Roman;sans-serif" w:hAnsi="Times New Roman;sans-serif"/>
          <w:b w:val="false"/>
          <w:color w:val="000000"/>
          <w:sz w:val="20"/>
        </w:rPr>
        <w:t>, $4.0 million, and $8.4 million, of floor plan interest payments for the years ended December 31, 2024, 2023, and 2022, respectively.</w:t>
      </w:r>
    </w:p>
    <w:p>
      <w:pPr>
        <w:pStyle w:val="TextBody"/>
        <w:bidi w:val="0"/>
        <w:spacing w:lineRule="auto" w:line="288" w:before="180" w:after="180"/>
        <w:ind w:left="0" w:right="0" w:firstLine="315"/>
        <w:jc w:val="left"/>
        <w:rPr/>
      </w:pPr>
      <w:r>
        <w:rPr>
          <w:rFonts w:ascii="Times New Roman;sans-serif" w:hAnsi="Times New Roman;sans-serif"/>
          <w:b w:val="false"/>
          <w:color w:val="000000"/>
          <w:sz w:val="20"/>
        </w:rPr>
        <w:t xml:space="preserve">During the years ended December 31, 2024, 2023, and 2022 we made income tax payments, net of refunds received, totaling </w:t>
      </w:r>
      <w:r>
        <w:rPr>
          <w:rFonts w:ascii="Times New Roman;sans-serif" w:hAnsi="Times New Roman;sans-serif"/>
          <w:b w:val="false"/>
          <w:color w:val="000000"/>
          <w:sz w:val="20"/>
          <w:shd w:fill="FFFFFF" w:val="clear"/>
        </w:rPr>
        <w:t>$78.7 million</w:t>
      </w:r>
      <w:r>
        <w:rPr>
          <w:rFonts w:ascii="Times New Roman;sans-serif" w:hAnsi="Times New Roman;sans-serif"/>
          <w:b w:val="false"/>
          <w:color w:val="000000"/>
          <w:sz w:val="20"/>
        </w:rPr>
        <w:t>, $191.9 million, and $198.4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1"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2024, 2023, and 2022, we transferred $489.7 million, $431.2 million, and $281.4 million, respectively, of loaner vehicles from other current assets to inventory in our consolidated balance sheets. The aforementioned amounts are included in changes in inventories in the operating activities section of the accompanying consolidated statement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19. LEASES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lease real estate and equipment primarily under operating lease agreements. For leases with terms in excess of 12 months, we record a right-of-use ("ROU") asset and lease liability based on the present value of lease payments over the lease term. Escalation clauses, lease payments dependent on existing rates/indexes, renewal options, and purchase options are included within the determination of lease payments when appropriate. We have elected the practical expedient not to separate lease and non-lease components for all leases that qualify, except for information technology assets that are embedded within service agreements (such as software license arrangements). Leases are classified as either finance or operating, with classification impacting the pattern of expense recognition in the income statement.</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When available, the implicit rate is utilized to discount lease payments to present value; however, substantially all of our leases do not provide a readily determinable implicit rate. Therefore, we estimate our incremental borrowing rate to discount the lease payments based on information available at lease commencement.</w:t>
      </w:r>
    </w:p>
    <w:p>
      <w:pPr>
        <w:pStyle w:val="TextBody"/>
        <w:bidi w:val="0"/>
        <w:spacing w:before="0" w:after="0"/>
        <w:ind w:left="0" w:right="0" w:firstLine="27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Balance Sheet Presentation</w:t>
      </w:r>
    </w:p>
    <w:tbl>
      <w:tblPr>
        <w:tblW w:w="8087" w:type="dxa"/>
        <w:jc w:val="center"/>
        <w:tblInd w:w="0" w:type="dxa"/>
        <w:tblLayout w:type="fixed"/>
        <w:tblCellMar>
          <w:top w:w="28" w:type="dxa"/>
          <w:left w:w="28" w:type="dxa"/>
          <w:bottom w:w="28" w:type="dxa"/>
          <w:right w:w="28" w:type="dxa"/>
        </w:tblCellMar>
      </w:tblPr>
      <w:tblGrid>
        <w:gridCol w:w="738"/>
        <w:gridCol w:w="650"/>
        <w:gridCol w:w="666"/>
        <w:gridCol w:w="109"/>
        <w:gridCol w:w="109"/>
        <w:gridCol w:w="109"/>
        <w:gridCol w:w="1044"/>
        <w:gridCol w:w="1044"/>
        <w:gridCol w:w="1047"/>
        <w:gridCol w:w="109"/>
        <w:gridCol w:w="109"/>
        <w:gridCol w:w="109"/>
        <w:gridCol w:w="211"/>
        <w:gridCol w:w="616"/>
        <w:gridCol w:w="109"/>
        <w:gridCol w:w="109"/>
        <w:gridCol w:w="109"/>
        <w:gridCol w:w="109"/>
        <w:gridCol w:w="211"/>
        <w:gridCol w:w="616"/>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net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Operating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Finance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Lease Term and Discount Rate </w:t>
      </w:r>
    </w:p>
    <w:tbl>
      <w:tblPr>
        <w:tblW w:w="6692" w:type="dxa"/>
        <w:jc w:val="center"/>
        <w:tblInd w:w="0" w:type="dxa"/>
        <w:tblLayout w:type="fixed"/>
        <w:tblCellMar>
          <w:top w:w="28" w:type="dxa"/>
          <w:left w:w="28" w:type="dxa"/>
          <w:bottom w:w="28" w:type="dxa"/>
          <w:right w:w="28" w:type="dxa"/>
        </w:tblCellMar>
      </w:tblPr>
      <w:tblGrid>
        <w:gridCol w:w="1586"/>
        <w:gridCol w:w="1395"/>
        <w:gridCol w:w="1399"/>
        <w:gridCol w:w="207"/>
        <w:gridCol w:w="207"/>
        <w:gridCol w:w="516"/>
        <w:gridCol w:w="132"/>
        <w:gridCol w:w="132"/>
        <w:gridCol w:w="132"/>
        <w:gridCol w:w="210"/>
        <w:gridCol w:w="199"/>
        <w:gridCol w:w="577"/>
      </w:tblGrid>
      <w:tr>
        <w:trPr/>
        <w:tc>
          <w:tcPr>
            <w:tcW w:w="1586"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Lease Term - Operating Leases</w:t>
            </w:r>
          </w:p>
        </w:tc>
        <w:tc>
          <w:tcPr>
            <w:tcW w:w="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years</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years</w:t>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Lease Term - Finance Lease</w:t>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years</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years</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 - Operating Leases</w:t>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 - Finance Lease</w:t>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2"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Lease Costs </w:t>
      </w:r>
    </w:p>
    <w:p>
      <w:pPr>
        <w:pStyle w:val="TextBody"/>
        <w:bidi w:val="0"/>
        <w:spacing w:lineRule="auto" w:line="288" w:before="0" w:after="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certain information related to the lease costs for finance and operating leases during the years ended December 31, 2024 and 2023. </w:t>
      </w:r>
    </w:p>
    <w:tbl>
      <w:tblPr>
        <w:tblW w:w="5157" w:type="dxa"/>
        <w:jc w:val="left"/>
        <w:tblInd w:w="0" w:type="dxa"/>
        <w:tblLayout w:type="fixed"/>
        <w:tblCellMar>
          <w:top w:w="28" w:type="dxa"/>
          <w:left w:w="28" w:type="dxa"/>
          <w:bottom w:w="28" w:type="dxa"/>
          <w:right w:w="28" w:type="dxa"/>
        </w:tblCellMar>
      </w:tblPr>
      <w:tblGrid>
        <w:gridCol w:w="870"/>
        <w:gridCol w:w="762"/>
        <w:gridCol w:w="768"/>
        <w:gridCol w:w="285"/>
        <w:gridCol w:w="693"/>
        <w:gridCol w:w="147"/>
        <w:gridCol w:w="147"/>
        <w:gridCol w:w="147"/>
        <w:gridCol w:w="147"/>
        <w:gridCol w:w="285"/>
        <w:gridCol w:w="693"/>
        <w:gridCol w:w="213"/>
      </w:tblGrid>
      <w:tr>
        <w:trPr/>
        <w:tc>
          <w:tcPr>
            <w:tcW w:w="87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Finance lease cost (Interest)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Short-term lease cost </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Supplemental Cash Flow Information</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supplemental cash flow information for leases during the years ended December 31, 2024 and 2023.</w:t>
      </w:r>
    </w:p>
    <w:tbl>
      <w:tblPr>
        <w:tblW w:w="8951" w:type="dxa"/>
        <w:jc w:val="left"/>
        <w:tblInd w:w="0" w:type="dxa"/>
        <w:tblLayout w:type="fixed"/>
        <w:tblCellMar>
          <w:top w:w="28" w:type="dxa"/>
          <w:left w:w="28" w:type="dxa"/>
          <w:bottom w:w="28" w:type="dxa"/>
          <w:right w:w="28" w:type="dxa"/>
        </w:tblCellMar>
      </w:tblPr>
      <w:tblGrid>
        <w:gridCol w:w="2243"/>
        <w:gridCol w:w="1972"/>
        <w:gridCol w:w="1979"/>
        <w:gridCol w:w="285"/>
        <w:gridCol w:w="693"/>
        <w:gridCol w:w="147"/>
        <w:gridCol w:w="147"/>
        <w:gridCol w:w="147"/>
        <w:gridCol w:w="147"/>
        <w:gridCol w:w="285"/>
        <w:gridCol w:w="693"/>
        <w:gridCol w:w="213"/>
      </w:tblGrid>
      <w:tr>
        <w:trPr/>
        <w:tc>
          <w:tcPr>
            <w:tcW w:w="2243"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r>
      <w:tr>
        <w:trPr/>
        <w:tc>
          <w:tcPr>
            <w:tcW w:w="6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measurements of lease liabilities</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finance lease</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operating lease liabilities</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2024 and 2023, we obtained $12.0 million and $35.0 million, respectively, of right-of-use assets in exchange for new operating lease liabilities. The activity during the year ended December 31, 2023 was primarily as a result of a business combination.</w:t>
      </w:r>
    </w:p>
    <w:p>
      <w:pPr>
        <w:pStyle w:val="TextBody"/>
        <w:bidi w:val="0"/>
        <w:spacing w:lineRule="auto" w:line="288" w:before="0" w:after="180"/>
        <w:ind w:left="0" w:right="0" w:firstLine="315"/>
        <w:jc w:val="left"/>
        <w:rPr/>
      </w:pPr>
      <w:r>
        <w:rPr>
          <w:rFonts w:ascii="Times New Roman;sans-serif" w:hAnsi="Times New Roman;sans-serif"/>
          <w:b w:val="false"/>
          <w:color w:val="000000"/>
          <w:sz w:val="20"/>
        </w:rPr>
        <w:t>The table below reconciles the undiscounted cash flows for each of the first five years and total of the remaining years to the finance lease liabilities and operating lease liabilities as of December 31, 2024, including leases related to liabilities associated with assets held for sale</w:t>
      </w:r>
      <w:r>
        <w:rPr>
          <w:rFonts w:ascii="Times New Roman;sans-serif" w:hAnsi="Times New Roman;sans-serif"/>
          <w:b w:val="false"/>
          <w:color w:val="000000"/>
          <w:sz w:val="18"/>
        </w:rPr>
        <w:t>. </w:t>
      </w:r>
    </w:p>
    <w:tbl>
      <w:tblPr>
        <w:tblW w:w="6804" w:type="dxa"/>
        <w:jc w:val="left"/>
        <w:tblInd w:w="0" w:type="dxa"/>
        <w:tblLayout w:type="fixed"/>
        <w:tblCellMar>
          <w:top w:w="28" w:type="dxa"/>
          <w:left w:w="28" w:type="dxa"/>
          <w:bottom w:w="28" w:type="dxa"/>
          <w:right w:w="28" w:type="dxa"/>
        </w:tblCellMar>
      </w:tblPr>
      <w:tblGrid>
        <w:gridCol w:w="1687"/>
        <w:gridCol w:w="1479"/>
        <w:gridCol w:w="1499"/>
        <w:gridCol w:w="211"/>
        <w:gridCol w:w="511"/>
        <w:gridCol w:w="109"/>
        <w:gridCol w:w="109"/>
        <w:gridCol w:w="109"/>
        <w:gridCol w:w="109"/>
        <w:gridCol w:w="211"/>
        <w:gridCol w:w="616"/>
        <w:gridCol w:w="154"/>
      </w:tblGrid>
      <w:tr>
        <w:trPr/>
        <w:tc>
          <w:tcPr>
            <w:tcW w:w="1687"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w:t>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Less: Amount of lease payments representing interest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future minimum lease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Less: current obligations under leases (a)</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obligation (b)</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w:t>
      </w:r>
    </w:p>
    <w:p>
      <w:pPr>
        <w:pStyle w:val="TextBody"/>
        <w:bidi w:val="0"/>
        <w:spacing w:lineRule="auto" w:line="288"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(a) Includes $0.2 million of operating lease liabilities classified as liabilities associated with assets held for sale.</w:t>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(b) Includes $1.7 million of operating lease liabilities classified as liabilities associated with assets held for sale.</w:t>
      </w:r>
    </w:p>
    <w:p>
      <w:pPr>
        <w:pStyle w:val="TextBody"/>
        <w:bidi w:val="0"/>
        <w:spacing w:lineRule="auto" w:line="288" w:before="14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our lease agreements include financial covenants and incorporate by reference the financial covenants set forth in the 2023 Senior Credit Facility. A breach of any of these covenants could immediately give rise to certain landlord remedies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3"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our various lease agreements, the most severe of which include the following: (i) termination of the applicable lease and/or other leases with the same or an affiliated landlord under a cross-default provision, (ii) eviction from the premises; and (iii) the landlord having a claim for various damages.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18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20. SEGMENT INFORMATION</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 had two reportable segments: (1) Dealerships and (2) TCA. Our dealership operations are organized by management into geographic region-based groups within the Dealerships segment. The operations of our F&amp;I product provider is reflected within our TCA segment. Our Chief Operating Decision Maker (CODM) is our Chief Executive Officer who manages the business, regularly reviews financial information and allocates resources at the geographic region level for our dealerships and at the TCA segment level for our F&amp;I product provider's operations. The geographic dealership group operating segments have been aggregated into one operating segment disclosed as the Dealerships reportable segment since their operations (i) have similar economic characteristics (our regions all have similar long-term average gross margins), (ii) offer similar products and services (all of our regions offer new and used vehicles, parts and service, and finance and insurance products), (iii) have similar customers, (iv) have similar distribution and marketing practices (all of our regions distribute products and services through dealership facilities that region to customers in similar ways), and (v) operate under similar regulatory environments.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TCA's vehicle protection products are sold through affiliated dealerships and the revenue from the related commissions is included in finance and insurance, net revenue in the Dealerships segment before consolidation. The corresponding claims expense incurred and the amortization of deferred acquisition costs is recorded as a cost of sales in the TCA segment. The Dealerships segment also provides vehicle repair and maintenance services to TCA customers in connection with claims related to TCA's vehicle protection products. The gross profit earned by our parts and service departments for work performed for TCA customers is reflected as a reduction of parts and service cost of sales in the accompanying consolidated statements of income. The costs incurred by TCA for work performed by our parts and service departments are included in finance and insurance cost of sales in the accompanying consolidated statements of income. </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CODM evaluates the performance of each reportable segment primarily through segment operating income. Segment operating income is derived from GAAP operating income, adjusted to exclude the effects of asset impairments and to include floor plan interest expense. Asset impairments are excluded as they are non-recurring in nature and typically do not arise from the ordinary course of operations. By removing these charges, segment operating income better represents the underlying operational performance of the segments. Floor plan interest expense is included in segment operating income because floor plan financing is a required component of the business model dictated by manufacturers. As such, it is an inherent and unavoidable cost of operations. Including floor plan interest expense ensures that the measurement of segment profitability reflects the operational realities and obligations associated with inventory financing, providing a clearer representation of the Dealerships segment’s performance. This approach ensures a consistent and meaningful evaluation of each segment's operational performance by normalizing results for items that may not directly reflect ongoing segment profitability. By utilizing segment operating income in this manner, the CODM can make informed decisions regarding resource allocation, evaluate the relative performance of individual segments, and monitor the effectiveness of strategic initiatives. </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All floor plan interest expense and asset impairments are exclusively within the dealerships segment for the periods presented. Therefore, there are no reconciling items between segment operating income and income from operations for the TCA segment.</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Goodwill acquired in the Koons acquisition, which closed in December 2023, of $272.4 million was allocated to the Dealerships segment.</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majority of TCA’s revenue arises from sales through our affiliated dealerships. Intercompany profits and losses are eliminated in consolidation. </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significant expense categories and amounts are consistent with the segment-level information that is regularly provided to the CODM. Certain intersegment expenses are included within the amounts shown. Rent and related expenses include rent expense, utilities, property and casualty insurance, real estate tax and personal property tax. Other segment items for the TCA segment relate to selling, general and administrative expenses.</w:t>
      </w:r>
    </w:p>
    <w:p>
      <w:pPr>
        <w:pStyle w:val="TextBody"/>
        <w:bidi w:val="0"/>
        <w:spacing w:lineRule="auto" w:line="256" w:before="0" w:after="60"/>
        <w:ind w:left="0" w:right="0" w:firstLine="315"/>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Reportable segment financial information for the years ended December 31, 2024, 2023 and 2022 is as follows:</w:t>
      </w:r>
    </w:p>
    <w:p>
      <w:pPr>
        <w:pStyle w:val="TextBody"/>
        <w:bidi w:val="0"/>
        <w:spacing w:before="0" w:after="0"/>
        <w:ind w:left="0" w:right="0" w:firstLine="31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4"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266"/>
        <w:gridCol w:w="1954"/>
        <w:gridCol w:w="1967"/>
        <w:gridCol w:w="211"/>
        <w:gridCol w:w="871"/>
        <w:gridCol w:w="109"/>
        <w:gridCol w:w="109"/>
        <w:gridCol w:w="109"/>
        <w:gridCol w:w="109"/>
        <w:gridCol w:w="211"/>
        <w:gridCol w:w="616"/>
        <w:gridCol w:w="109"/>
        <w:gridCol w:w="109"/>
        <w:gridCol w:w="109"/>
        <w:gridCol w:w="109"/>
        <w:gridCol w:w="211"/>
        <w:gridCol w:w="871"/>
        <w:gridCol w:w="155"/>
      </w:tblGrid>
      <w:tr>
        <w:trPr/>
        <w:tc>
          <w:tcPr>
            <w:tcW w:w="2266"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and for the year ended December 31, 2024</w:t>
            </w:r>
          </w:p>
        </w:tc>
      </w:tr>
      <w:tr>
        <w:trPr/>
        <w:tc>
          <w:tcPr>
            <w:tcW w:w="6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Dealerships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6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external customers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17,411.1 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Reconciliation of revenue</w:t>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 of intersegment revenue</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revenue</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17,188.6 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 costs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 and related expenses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selling, general and administrative expense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segment items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Floor plan interest expense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Reconciliation of segment operating income</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eliminations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intersegment revenue eliminations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intersegment cost of sales eliminations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Deferral of SG&amp;A expense (related to capitalized contracts offset by amortization)</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intersegment eliminations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expense, net</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dealership divestitures, net</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15"/>
        <w:jc w:val="left"/>
        <w:rPr/>
      </w:pPr>
      <w:r>
        <w:rPr/>
      </w:r>
    </w:p>
    <w:tbl>
      <w:tblPr>
        <w:tblW w:w="10205" w:type="dxa"/>
        <w:jc w:val="left"/>
        <w:tblInd w:w="0" w:type="dxa"/>
        <w:tblLayout w:type="fixed"/>
        <w:tblCellMar>
          <w:top w:w="28" w:type="dxa"/>
          <w:left w:w="28" w:type="dxa"/>
          <w:bottom w:w="28" w:type="dxa"/>
          <w:right w:w="28" w:type="dxa"/>
        </w:tblCellMar>
      </w:tblPr>
      <w:tblGrid>
        <w:gridCol w:w="953"/>
        <w:gridCol w:w="827"/>
        <w:gridCol w:w="830"/>
        <w:gridCol w:w="211"/>
        <w:gridCol w:w="766"/>
        <w:gridCol w:w="109"/>
        <w:gridCol w:w="109"/>
        <w:gridCol w:w="109"/>
        <w:gridCol w:w="109"/>
        <w:gridCol w:w="211"/>
        <w:gridCol w:w="766"/>
        <w:gridCol w:w="109"/>
        <w:gridCol w:w="109"/>
        <w:gridCol w:w="109"/>
        <w:gridCol w:w="109"/>
        <w:gridCol w:w="318"/>
        <w:gridCol w:w="1314"/>
        <w:gridCol w:w="164"/>
        <w:gridCol w:w="109"/>
        <w:gridCol w:w="109"/>
        <w:gridCol w:w="109"/>
        <w:gridCol w:w="239"/>
        <w:gridCol w:w="717"/>
        <w:gridCol w:w="125"/>
        <w:gridCol w:w="109"/>
        <w:gridCol w:w="109"/>
        <w:gridCol w:w="109"/>
        <w:gridCol w:w="211"/>
        <w:gridCol w:w="871"/>
        <w:gridCol w:w="156"/>
      </w:tblGrid>
      <w:tr>
        <w:trPr/>
        <w:tc>
          <w:tcPr>
            <w:tcW w:w="95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and for the year ended December 31, 2024</w:t>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Dealerships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5"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millions)</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acquisition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10,277.0 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15"/>
        <w:jc w:val="left"/>
        <w:rPr/>
      </w:pPr>
      <w:r>
        <w:rPr/>
      </w:r>
    </w:p>
    <w:p>
      <w:pPr>
        <w:pStyle w:val="TextBody"/>
        <w:bidi w:val="0"/>
        <w:spacing w:before="0" w:after="0"/>
        <w:ind w:left="0" w:right="0" w:firstLine="315"/>
        <w:jc w:val="left"/>
        <w:rPr/>
      </w:pPr>
      <w:r>
        <w:rPr/>
      </w:r>
    </w:p>
    <w:p>
      <w:pPr>
        <w:pStyle w:val="TextBody"/>
        <w:bidi w:val="0"/>
        <w:spacing w:before="0" w:after="60"/>
        <w:ind w:left="0" w:right="0" w:hanging="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5"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266"/>
        <w:gridCol w:w="1954"/>
        <w:gridCol w:w="1967"/>
        <w:gridCol w:w="211"/>
        <w:gridCol w:w="871"/>
        <w:gridCol w:w="109"/>
        <w:gridCol w:w="109"/>
        <w:gridCol w:w="109"/>
        <w:gridCol w:w="109"/>
        <w:gridCol w:w="211"/>
        <w:gridCol w:w="616"/>
        <w:gridCol w:w="109"/>
        <w:gridCol w:w="109"/>
        <w:gridCol w:w="109"/>
        <w:gridCol w:w="109"/>
        <w:gridCol w:w="211"/>
        <w:gridCol w:w="871"/>
        <w:gridCol w:w="155"/>
      </w:tblGrid>
      <w:tr>
        <w:trPr/>
        <w:tc>
          <w:tcPr>
            <w:tcW w:w="2266"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and for the year ended December 31, 2023</w:t>
            </w:r>
          </w:p>
        </w:tc>
      </w:tr>
      <w:tr>
        <w:trPr/>
        <w:tc>
          <w:tcPr>
            <w:tcW w:w="6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Dealerships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6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external customers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14,984.2 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Reconciliation of revenue</w:t>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 of intersegment revenue</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revenue</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14,802.7 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 costs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 and related expenses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selling, general and administrative expense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segment items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Floor plan interest expense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Reconciliation of segment operating income</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eliminations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intersegment revenue eliminations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intersegment cost of sales eliminations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Deferral of SG&amp;A expense (related to capitalized contracts offset by amortization)</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intersegment eliminations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impairments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expense, net</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dealership divestitures, net</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90"/>
        <w:gridCol w:w="861"/>
        <w:gridCol w:w="864"/>
        <w:gridCol w:w="211"/>
        <w:gridCol w:w="766"/>
        <w:gridCol w:w="109"/>
        <w:gridCol w:w="109"/>
        <w:gridCol w:w="109"/>
        <w:gridCol w:w="109"/>
        <w:gridCol w:w="211"/>
        <w:gridCol w:w="616"/>
        <w:gridCol w:w="109"/>
        <w:gridCol w:w="109"/>
        <w:gridCol w:w="109"/>
        <w:gridCol w:w="109"/>
        <w:gridCol w:w="326"/>
        <w:gridCol w:w="1347"/>
        <w:gridCol w:w="168"/>
        <w:gridCol w:w="109"/>
        <w:gridCol w:w="109"/>
        <w:gridCol w:w="109"/>
        <w:gridCol w:w="239"/>
        <w:gridCol w:w="717"/>
        <w:gridCol w:w="125"/>
        <w:gridCol w:w="109"/>
        <w:gridCol w:w="109"/>
        <w:gridCol w:w="109"/>
        <w:gridCol w:w="211"/>
        <w:gridCol w:w="871"/>
        <w:gridCol w:w="156"/>
      </w:tblGrid>
      <w:tr>
        <w:trPr/>
        <w:tc>
          <w:tcPr>
            <w:tcW w:w="99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and for the year ended December 31, 2023</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Dealerships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0"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millions)</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acquisition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10,113.3 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6"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267"/>
        <w:gridCol w:w="1953"/>
        <w:gridCol w:w="1967"/>
        <w:gridCol w:w="211"/>
        <w:gridCol w:w="871"/>
        <w:gridCol w:w="109"/>
        <w:gridCol w:w="109"/>
        <w:gridCol w:w="109"/>
        <w:gridCol w:w="109"/>
        <w:gridCol w:w="211"/>
        <w:gridCol w:w="616"/>
        <w:gridCol w:w="109"/>
        <w:gridCol w:w="109"/>
        <w:gridCol w:w="109"/>
        <w:gridCol w:w="109"/>
        <w:gridCol w:w="211"/>
        <w:gridCol w:w="871"/>
        <w:gridCol w:w="155"/>
      </w:tblGrid>
      <w:tr>
        <w:trPr/>
        <w:tc>
          <w:tcPr>
            <w:tcW w:w="2267"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and for the year ended December 31, 2022</w:t>
            </w:r>
          </w:p>
        </w:tc>
      </w:tr>
      <w:tr>
        <w:trPr/>
        <w:tc>
          <w:tcPr>
            <w:tcW w:w="6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Dealerships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6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external customers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15,586.9 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Reconciliation of revenue</w:t>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 of intersegment revenue</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revenue</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15,433.8 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vehicle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vehicle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service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and insurance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 costs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 and related expenses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selling, general and administrative expense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segment items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Floor plan interest expense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Reconciliation of segment operating income</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eliminations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intersegment revenue eliminations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intersegment cost of sales eliminations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Deferral of SG&amp;A expense (related to capitalized contracts offset by amortization)</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intersegment eliminations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income</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expense, net</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dealership divestitures, net</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4"/>
        <w:gridCol w:w="892"/>
        <w:gridCol w:w="895"/>
        <w:gridCol w:w="211"/>
        <w:gridCol w:w="766"/>
        <w:gridCol w:w="109"/>
        <w:gridCol w:w="109"/>
        <w:gridCol w:w="109"/>
        <w:gridCol w:w="109"/>
        <w:gridCol w:w="211"/>
        <w:gridCol w:w="616"/>
        <w:gridCol w:w="109"/>
        <w:gridCol w:w="109"/>
        <w:gridCol w:w="109"/>
        <w:gridCol w:w="109"/>
        <w:gridCol w:w="359"/>
        <w:gridCol w:w="1306"/>
        <w:gridCol w:w="185"/>
        <w:gridCol w:w="109"/>
        <w:gridCol w:w="109"/>
        <w:gridCol w:w="109"/>
        <w:gridCol w:w="239"/>
        <w:gridCol w:w="717"/>
        <w:gridCol w:w="125"/>
        <w:gridCol w:w="109"/>
        <w:gridCol w:w="109"/>
        <w:gridCol w:w="109"/>
        <w:gridCol w:w="211"/>
        <w:gridCol w:w="766"/>
        <w:gridCol w:w="156"/>
      </w:tblGrid>
      <w:tr>
        <w:trPr/>
        <w:tc>
          <w:tcPr>
            <w:tcW w:w="102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and for the year ended December 31, 2022</w:t>
            </w:r>
          </w:p>
        </w:tc>
      </w:tr>
      <w:tr>
        <w:trPr/>
        <w:tc>
          <w:tcPr>
            <w:tcW w:w="2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Dealerships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4"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millions)</w:t>
            </w:r>
          </w:p>
        </w:tc>
      </w:tr>
      <w:tr>
        <w:trPr/>
        <w:tc>
          <w:tcPr>
            <w:tcW w:w="2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acquisition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15"/>
        <w:jc w:val="left"/>
        <w:rPr/>
      </w:pPr>
      <w:r>
        <w:rPr/>
      </w:r>
    </w:p>
    <w:p>
      <w:pPr>
        <w:pStyle w:val="TextBody"/>
        <w:bidi w:val="0"/>
        <w:spacing w:before="0" w:after="0"/>
        <w:jc w:val="left"/>
        <w:rPr/>
      </w:pPr>
      <w:r>
        <w:rPr/>
      </w:r>
    </w:p>
    <w:p>
      <w:pPr>
        <w:pStyle w:val="TextBody"/>
        <w:bidi w:val="0"/>
        <w:spacing w:before="180" w:after="60"/>
        <w:ind w:left="0" w:right="0" w:hanging="27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17"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21. COMMITMENTS AND CONTINGENCIES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On August 3, 2022, we received a Civil Investigative Demand ("CID") from the FTC requesting information and documents concerning the Company’s corporate structure and operation of six of its dealerships. We responded to the CID by producing information and documents for the period August 1, 2019 to April 24, 2023. On February 8, 2024, the FTC staff counsel sent to us a proposed consent order and draft complaint, alleging that the Company and three of our dealerships had violated Section 5 of the Federal Trade Commission Act ("FTC Act") and certain provisions of the Equal Credit Opportunity Act ("ECOA") in connection with the sale of add-on products (e.g., vehicle service contracts, maintenance plans, etc.), and advising that it would recommend the filing of an enforcement action if the Company did not settle the FTC’s claims. On August 16, 2024, after discussions with the FTC stalled, the FTC initiated an administrative proceeding by filing an enforcement action against the Company. On October 4, 2024, the Company filed suit against the FTC in the United States District Court for the Northern District of Texas, seeking to enjoin the FTC’s administrative proceeding on the ground that the administrative proceeding was unconstitutional. While the Company disputes the FTC’s allegations that it violated the FTC Act and the ECOA, we are unable to reasonably predict the possible outcome of this matter at this time, or provide a reasonably possible range of loss, if any. There can be no assurance that the Company will succeed in either the FTC’s administrative proceeding against the Company or in the Company’s lawsuit against the FTC, and the FTC’s allegations, whether meritorious or not, may adversely affect our ability to attract customers, result in the loss of existing customers, harm our reputation and cause us to incur defense costs and other expenses.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Our dealerships are party to dealer and framework agreements with applicable vehicle manufacturers. In accordance with these agreements, each dealership has certain rights and is subject to restrictions typical in the industry. The ability of these manufacturers to influence the operations of the dealerships or the loss of any of these agreements could have a materially negative impact on our operating results.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In some instances, manufacturers may have the right, and may direct us, to implement costly capital improvements to dealerships as a condition to entering into, renewing, or extending franchise agreements with them. Manufacturers also typically require that their franchises meet specific standards of appearance. These factors, either alone or in combination, could cause us to use our financial resources on capital projects that we might not have planned for or otherwise determined to undertake.</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and our dealerships are or may become involved in various claims relating to, and arising out of, our business and our operations. These claims may involve, but not be limited to, financial and other audits by vehicle manufacturers or lenders and certain federal, state, and local government authorities, which have historically related primarily to (i) incentive and warranty payments received from vehicle manufacturers, or allegations of violations of manufacturer agreements or policies, (ii) compliance with lender rules and covenants, and (iii) payments made to government authorities relating to federal, state, and local taxes, as well as compliance with other government regulations. Claims may also arise through litigation, government proceedings, and other dispute resolution processes. Such claims, including class actions, could relate to, but may not be limited to, the practice of charging administrative fees and other fees and commissions, employment-related matters, truth-in-lending and other dealer assisted financing obligations, contractual disputes, actions brought by governmental authorities, and other matters. We evaluate pending and threatened claims and establish loss contingency reserves based upon outcomes we currently believe to be probable and reasonably estimable.</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we have adequately accrued for the potential impact of loss contingencies that are probable and reasonably estimable. Based on our review of the various types of claims currently known to us, there is no indication of material reasonably possible losses in excess of amounts accrued in the aggregate. We currently do not anticipate that any known claim will materially adversely affect our financial condition, liquidity, or results of operations. However, the outcome of any matter cannot be predicted with certainty, and an unfavorable resolution of one or more matters presently known or arising in the future could have a material adverse effect on our financial condition, liquidity, or results of operations. </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business involves the sale of vehicles, parts, or vehicles composed of parts that are manufactured outside the United States. As a result, our operations are subject to customary risks of importing merchandise, including fluctuations in the relative values of currencies, import duties, exchange controls, trade restrictions, work stoppages and general political and socio-economic conditions in foreign countries. The United States or the countries from which our products are imported may, from time to time, impose new quotas, duties, tariffs, or other restrictions; or adjust presently prevailing quotas, duties, or tariffs, which may affect our operations and our ability to purchase imported vehicles and/or parts at reasonable prices.</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Substantially all of our facilities are subject to federal, state and local provisions regarding the discharge of materials into the environment. Compliance with these provisions has not had, nor do we expect such compliance to have, any material effect upon our capital expenditures, net earnings, financial condition, liquidity or competitive position. We believe that our current practices and procedures for the control and disposition of such materials comply with applicable federal, state and local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18"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requirements. No assurances can be provided, however, that future laws or regulations, or changes in existing laws or regulations, would not require us to expend significant resources in order to comply therewith.</w:t>
      </w:r>
    </w:p>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had $14.0 million of letters of credit outstanding as of December 31, 2024, which are required by certain of our insurance providers. In addition, as of December 31, 2024, we maintained a $21.3 million surety bond line in the ordinary course of our business. Our letters of credit and surety bond line are considered to be off balance sheet arrangements.</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Our other material commitments include (i) floor plan notes payable, (ii) operating leases, (iii) long-term debt and (iv) interest on long-term debt, as described elsewhere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 xml:space="preserve">22. SHARE-BASED COMPENSATION AND EMPLOYEE BENEFIT PLANS </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13, 2012, our Board of Directors, upon the recommendation of our Compensation and Human Resources Committee, approved the 2012 Equity Incentive Plan (the "2012 Plan"). On April 18, 2012, our shareholders approved the 2012 Plan, which replaced our previous equity incentive plan. The 2012 Plan expired on March 13, 2022 and provided for the grant of options, performance share units, restricted share units and shares of restricted stock to our directors, officers and employees in the total amount of 1.5 million shares. </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On April 17, 2019, the stockholders of the Company approved the Asbury Automotive Group, Inc. 2019 Equity and Incentive Compensation Plan (the "2019 Plan") and authorized a total of 1,590,000 shares of common stock for issuance under the 2019 Plan ("Plan Shares"). The Plan Shares include 641,363 shares of common stock which remained unissued under the 2012 Plan. No further grants of awards will be made under the 2012 Plan; however outstanding awards under the 2012 Plan will continue in effect in accordance with their terms and conditions. There were approximately 1.3 million shares available for grant in accordance with the 2019 Plan as of December 31, 2024.</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We issue shares of our common stock upon the vesting of performance share units or restricted share units. These shares are issued from our authorized and not outstanding common stock. In addition, in connection with the vesting of equity-based awards, we repurchase a portion of the shares issued equal to the amount of employee income tax withholding.</w:t>
      </w:r>
    </w:p>
    <w:p>
      <w:pPr>
        <w:pStyle w:val="TextBody"/>
        <w:bidi w:val="0"/>
        <w:spacing w:lineRule="auto" w:line="288" w:before="180" w:after="283"/>
        <w:ind w:left="0" w:right="0" w:firstLine="315"/>
        <w:jc w:val="left"/>
        <w:rPr/>
      </w:pPr>
      <w:r>
        <w:rPr>
          <w:rFonts w:ascii="Times New Roman;sans-serif" w:hAnsi="Times New Roman;sans-serif"/>
          <w:b w:val="false"/>
          <w:color w:val="000000"/>
          <w:sz w:val="20"/>
        </w:rPr>
        <w:t xml:space="preserve">We recognized </w:t>
      </w:r>
      <w:r>
        <w:rPr>
          <w:rFonts w:ascii="Times New Roman;sans-serif" w:hAnsi="Times New Roman;sans-serif"/>
          <w:b w:val="false"/>
          <w:color w:val="000000"/>
          <w:sz w:val="20"/>
          <w:shd w:fill="FFFFFF" w:val="clear"/>
        </w:rPr>
        <w:t>$26.7 million</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color w:val="000000"/>
          <w:sz w:val="20"/>
          <w:shd w:fill="FFFFFF" w:val="clear"/>
        </w:rPr>
        <w:t>$6.7 million</w:t>
      </w:r>
      <w:r>
        <w:rPr>
          <w:color w:val="000000"/>
        </w:rPr>
        <w:t xml:space="preserve"> </w:t>
      </w:r>
      <w:r>
        <w:rPr>
          <w:rFonts w:ascii="Times New Roman;sans-serif" w:hAnsi="Times New Roman;sans-serif"/>
          <w:b w:val="false"/>
          <w:color w:val="000000"/>
          <w:sz w:val="20"/>
        </w:rPr>
        <w:t xml:space="preserve">tax benefit), $23.5 million ($5.8 million tax benefit) and $20.6 million ($5.0 million tax benefit) in share-based compensation expense for the years ended December 31, 2024, 2023 and 2022, respectively. As of December 31, 2024, there was $16.4 million of total unrecognized share-based compensation expense related to non-vested share-based awards granted under the 2012 Plan and 2019 Plan, and the weighted average period over which it is expected to be recognized is 1.5 years. Further, we expect to recognize </w:t>
      </w:r>
      <w:r>
        <w:rPr>
          <w:rFonts w:ascii="Times New Roman;sans-serif" w:hAnsi="Times New Roman;sans-serif"/>
          <w:b w:val="false"/>
          <w:color w:val="000000"/>
          <w:sz w:val="20"/>
          <w:shd w:fill="FFFFFF" w:val="clear"/>
        </w:rPr>
        <w:t>$2.6 million</w:t>
      </w:r>
      <w:r>
        <w:rPr>
          <w:color w:val="000000"/>
        </w:rPr>
        <w:t xml:space="preserve"> </w:t>
      </w:r>
      <w:r>
        <w:rPr>
          <w:rFonts w:ascii="Times New Roman;sans-serif" w:hAnsi="Times New Roman;sans-serif"/>
          <w:b w:val="false"/>
          <w:color w:val="000000"/>
          <w:sz w:val="20"/>
        </w:rPr>
        <w:t xml:space="preserve">of this expense in 2025, </w:t>
      </w:r>
      <w:r>
        <w:rPr>
          <w:rFonts w:ascii="Times New Roman;sans-serif" w:hAnsi="Times New Roman;sans-serif"/>
          <w:b w:val="false"/>
          <w:color w:val="000000"/>
          <w:sz w:val="20"/>
          <w:shd w:fill="FFFFFF" w:val="clear"/>
        </w:rPr>
        <w:t>$9.1 million</w:t>
      </w:r>
      <w:r>
        <w:rPr>
          <w:color w:val="000000"/>
        </w:rPr>
        <w:t xml:space="preserve"> </w:t>
      </w:r>
      <w:r>
        <w:rPr>
          <w:rFonts w:ascii="Times New Roman;sans-serif" w:hAnsi="Times New Roman;sans-serif"/>
          <w:b w:val="false"/>
          <w:color w:val="000000"/>
          <w:sz w:val="20"/>
        </w:rPr>
        <w:t xml:space="preserve">in 2026, </w:t>
      </w:r>
      <w:r>
        <w:rPr>
          <w:rFonts w:ascii="Times New Roman;sans-serif" w:hAnsi="Times New Roman;sans-serif"/>
          <w:b w:val="false"/>
          <w:color w:val="000000"/>
          <w:sz w:val="20"/>
          <w:shd w:fill="FFFFFF" w:val="clear"/>
        </w:rPr>
        <w:t>$4.6 million</w:t>
      </w:r>
      <w:r>
        <w:rPr>
          <w:color w:val="000000"/>
        </w:rPr>
        <w:t xml:space="preserve"> </w:t>
      </w:r>
      <w:r>
        <w:rPr>
          <w:rFonts w:ascii="Times New Roman;sans-serif" w:hAnsi="Times New Roman;sans-serif"/>
          <w:b w:val="false"/>
          <w:color w:val="000000"/>
          <w:sz w:val="20"/>
        </w:rPr>
        <w:t>in 2027.</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Performance Share Units</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2024, the Compensation and Human Resources Committee of the Board of Directors approved the grant of up to 86,662 performance share units, which represents 150% of the target award. Performance share units provide an opportunity for the employee-recipient to receive a number of shares of our common stock based on our performance during a specified year period following the grant as measured against objective performance goals as determined by the Compensation and Human Resources Committee of our Board of Directors. The actual number of units earned may range from 0% to 150% of the target number of units depending upon achievement of the performance goals. Performance share units vest in three equal annual installments with one-third of the award vesting on each of the (i) later of the first anniversary of the grant date, or the date the Compensation and Human Resources Committee determines the actual award, (ii) second anniversary of the grant date and (iii) third anniversary of the grant date. Upon vesting, each performance share unit equals one share of common stock of the Company. Compensation cost for performance share units is based on the closing price of our common stock on the date of grant and the ultimate performance level achieved and is recognized on a graded basis over the three-year vesting period. </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information about performance share units for 2024:</w:t>
      </w:r>
    </w:p>
    <w:tbl>
      <w:tblPr>
        <w:tblW w:w="6703" w:type="dxa"/>
        <w:jc w:val="left"/>
        <w:tblInd w:w="0" w:type="dxa"/>
        <w:tblLayout w:type="fixed"/>
        <w:tblCellMar>
          <w:top w:w="28" w:type="dxa"/>
          <w:left w:w="28" w:type="dxa"/>
          <w:bottom w:w="28" w:type="dxa"/>
          <w:right w:w="28" w:type="dxa"/>
        </w:tblCellMar>
      </w:tblPr>
      <w:tblGrid>
        <w:gridCol w:w="1038"/>
        <w:gridCol w:w="910"/>
        <w:gridCol w:w="916"/>
        <w:gridCol w:w="413"/>
        <w:gridCol w:w="413"/>
        <w:gridCol w:w="211"/>
        <w:gridCol w:w="109"/>
        <w:gridCol w:w="109"/>
        <w:gridCol w:w="109"/>
        <w:gridCol w:w="480"/>
        <w:gridCol w:w="1643"/>
        <w:gridCol w:w="352"/>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w:t>
              <w:br/>
              <w:t> Fair Value</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January 1, 2024</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100,063 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207.28 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86,662 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216.89 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183.58 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or unearned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228.63 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2024</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118,537 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214.87 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19"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 average grant-date fair value of performance share units and total fair value of performance share units vested are summarized in the following table:</w:t>
      </w:r>
    </w:p>
    <w:tbl>
      <w:tblPr>
        <w:tblW w:w="9926" w:type="dxa"/>
        <w:jc w:val="left"/>
        <w:tblInd w:w="0" w:type="dxa"/>
        <w:tblLayout w:type="fixed"/>
        <w:tblCellMar>
          <w:top w:w="28" w:type="dxa"/>
          <w:left w:w="28" w:type="dxa"/>
          <w:bottom w:w="28" w:type="dxa"/>
          <w:right w:w="28" w:type="dxa"/>
        </w:tblCellMar>
      </w:tblPr>
      <w:tblGrid>
        <w:gridCol w:w="2211"/>
        <w:gridCol w:w="1943"/>
        <w:gridCol w:w="1950"/>
        <w:gridCol w:w="211"/>
        <w:gridCol w:w="721"/>
        <w:gridCol w:w="109"/>
        <w:gridCol w:w="109"/>
        <w:gridCol w:w="109"/>
        <w:gridCol w:w="109"/>
        <w:gridCol w:w="211"/>
        <w:gridCol w:w="721"/>
        <w:gridCol w:w="109"/>
        <w:gridCol w:w="109"/>
        <w:gridCol w:w="109"/>
        <w:gridCol w:w="109"/>
        <w:gridCol w:w="211"/>
        <w:gridCol w:w="721"/>
        <w:gridCol w:w="154"/>
      </w:tblGrid>
      <w:tr>
        <w:trPr/>
        <w:tc>
          <w:tcPr>
            <w:tcW w:w="2211"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r>
      <w:tr>
        <w:trPr/>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grant-date fair value of performance share units granted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of performance share units vested (in millions)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15"/>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Restricted Share Units</w:t>
      </w:r>
    </w:p>
    <w:p>
      <w:pPr>
        <w:pStyle w:val="TextBody"/>
        <w:bidi w:val="0"/>
        <w:spacing w:lineRule="auto" w:line="288" w:before="180" w:after="283"/>
        <w:ind w:left="0" w:right="0" w:firstLine="270"/>
        <w:jc w:val="left"/>
        <w:rPr/>
      </w:pPr>
      <w:r>
        <w:rPr>
          <w:rFonts w:ascii="Times New Roman;sans-serif" w:hAnsi="Times New Roman;sans-serif"/>
          <w:b w:val="false"/>
          <w:color w:val="000000"/>
          <w:sz w:val="20"/>
        </w:rPr>
        <w:t xml:space="preserve">During the year ended December 31, 2024, the Compensation and Human Resources Committee of the Board of Directors approved the grant of </w:t>
      </w:r>
      <w:r>
        <w:rPr>
          <w:rFonts w:ascii="Times New Roman;sans-serif" w:hAnsi="Times New Roman;sans-serif"/>
          <w:b w:val="false"/>
          <w:color w:val="000000"/>
          <w:sz w:val="20"/>
          <w:shd w:fill="FFFFFF" w:val="clear"/>
        </w:rPr>
        <w:t>99,233</w:t>
      </w:r>
      <w:r>
        <w:rPr>
          <w:color w:val="000000"/>
        </w:rPr>
        <w:t xml:space="preserve"> </w:t>
      </w:r>
      <w:r>
        <w:rPr>
          <w:rFonts w:ascii="Times New Roman;sans-serif" w:hAnsi="Times New Roman;sans-serif"/>
          <w:b w:val="false"/>
          <w:color w:val="000000"/>
          <w:sz w:val="20"/>
        </w:rPr>
        <w:t>shares of restricted share units. Restricted share units generally vest in three equal annual installments commencing on the first anniversary of the grant date. Compensation cost for restricted share units is based on the closing price of our common stock on the date of grant and is recognized on a straight-line basis over the three-year vesting period.</w:t>
      </w:r>
    </w:p>
    <w:p>
      <w:pPr>
        <w:pStyle w:val="TextBody"/>
        <w:bidi w:val="0"/>
        <w:spacing w:lineRule="auto" w:line="288" w:before="180" w:after="283"/>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information about restricted share units for 2024:</w:t>
      </w:r>
    </w:p>
    <w:tbl>
      <w:tblPr>
        <w:tblW w:w="6703" w:type="dxa"/>
        <w:jc w:val="left"/>
        <w:tblInd w:w="0" w:type="dxa"/>
        <w:tblLayout w:type="fixed"/>
        <w:tblCellMar>
          <w:top w:w="28" w:type="dxa"/>
          <w:left w:w="28" w:type="dxa"/>
          <w:bottom w:w="28" w:type="dxa"/>
          <w:right w:w="28" w:type="dxa"/>
        </w:tblCellMar>
      </w:tblPr>
      <w:tblGrid>
        <w:gridCol w:w="1038"/>
        <w:gridCol w:w="910"/>
        <w:gridCol w:w="916"/>
        <w:gridCol w:w="413"/>
        <w:gridCol w:w="413"/>
        <w:gridCol w:w="211"/>
        <w:gridCol w:w="109"/>
        <w:gridCol w:w="109"/>
        <w:gridCol w:w="109"/>
        <w:gridCol w:w="480"/>
        <w:gridCol w:w="1643"/>
        <w:gridCol w:w="352"/>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w:t>
              <w:br/>
              <w:t> Fair Value</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January 1, 2024</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108,794 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204.35 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99,233 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216.09 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(84,713)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199.54 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219.84 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2024</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112,889 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216.84 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 average grant-date fair value of restricted share units and total fair value of restricted share units vested are summarized in the following table:</w:t>
      </w:r>
    </w:p>
    <w:tbl>
      <w:tblPr>
        <w:tblW w:w="9672" w:type="dxa"/>
        <w:jc w:val="left"/>
        <w:tblInd w:w="0" w:type="dxa"/>
        <w:tblLayout w:type="fixed"/>
        <w:tblCellMar>
          <w:top w:w="28" w:type="dxa"/>
          <w:left w:w="28" w:type="dxa"/>
          <w:bottom w:w="28" w:type="dxa"/>
          <w:right w:w="28" w:type="dxa"/>
        </w:tblCellMar>
      </w:tblPr>
      <w:tblGrid>
        <w:gridCol w:w="2119"/>
        <w:gridCol w:w="1862"/>
        <w:gridCol w:w="1869"/>
        <w:gridCol w:w="211"/>
        <w:gridCol w:w="721"/>
        <w:gridCol w:w="109"/>
        <w:gridCol w:w="109"/>
        <w:gridCol w:w="109"/>
        <w:gridCol w:w="109"/>
        <w:gridCol w:w="211"/>
        <w:gridCol w:w="721"/>
        <w:gridCol w:w="109"/>
        <w:gridCol w:w="109"/>
        <w:gridCol w:w="109"/>
        <w:gridCol w:w="109"/>
        <w:gridCol w:w="211"/>
        <w:gridCol w:w="721"/>
        <w:gridCol w:w="154"/>
      </w:tblGrid>
      <w:tr>
        <w:trPr/>
        <w:tc>
          <w:tcPr>
            <w:tcW w:w="2119"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grant-date fair value of restricted share units granted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of restricted share units vested (in millions)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Restricted Stock Awards</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awards vest in three equal annual installments commencing on the first anniversary of the grant date. Compensation cost for restricted stock awards is based on the closing price of our common stock on the date of grant and is recognized on a straight-line basis over the three-year vesting period. The Company's most recent grant of restricted stock awards occurred in 2019 and has since been replaced with restricted share units. As of December 31, 2024 all restricted stock awards have vested.</w:t>
      </w:r>
    </w:p>
    <w:p>
      <w:pPr>
        <w:pStyle w:val="TextBody"/>
        <w:bidi w:val="0"/>
        <w:spacing w:lineRule="auto" w:line="288" w:before="0" w:after="0"/>
        <w:ind w:left="0" w:right="0" w:firstLine="315"/>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information about restricted stock awards for 2024:</w:t>
      </w:r>
    </w:p>
    <w:tbl>
      <w:tblPr>
        <w:tblW w:w="6162" w:type="dxa"/>
        <w:jc w:val="left"/>
        <w:tblInd w:w="0" w:type="dxa"/>
        <w:tblLayout w:type="fixed"/>
        <w:tblCellMar>
          <w:top w:w="28" w:type="dxa"/>
          <w:left w:w="28" w:type="dxa"/>
          <w:bottom w:w="28" w:type="dxa"/>
          <w:right w:w="28" w:type="dxa"/>
        </w:tblCellMar>
      </w:tblPr>
      <w:tblGrid>
        <w:gridCol w:w="1038"/>
        <w:gridCol w:w="910"/>
        <w:gridCol w:w="916"/>
        <w:gridCol w:w="344"/>
        <w:gridCol w:w="346"/>
        <w:gridCol w:w="211"/>
        <w:gridCol w:w="109"/>
        <w:gridCol w:w="109"/>
        <w:gridCol w:w="109"/>
        <w:gridCol w:w="444"/>
        <w:gridCol w:w="1300"/>
        <w:gridCol w:w="326"/>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w:t>
              <w:br/>
              <w:t> Date Fair Value</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January 1, 2024</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69.18 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69.18 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2024</w:t>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 average grant-date fair value of restricted stock awards and total fair value of restricted stock awards vested are summarized in the following table:</w:t>
      </w:r>
    </w:p>
    <w:tbl>
      <w:tblPr>
        <w:tblW w:w="8292" w:type="dxa"/>
        <w:jc w:val="left"/>
        <w:tblInd w:w="0" w:type="dxa"/>
        <w:tblLayout w:type="fixed"/>
        <w:tblCellMar>
          <w:top w:w="28" w:type="dxa"/>
          <w:left w:w="28" w:type="dxa"/>
          <w:bottom w:w="28" w:type="dxa"/>
          <w:right w:w="28" w:type="dxa"/>
        </w:tblCellMar>
      </w:tblPr>
      <w:tblGrid>
        <w:gridCol w:w="1961"/>
        <w:gridCol w:w="1724"/>
        <w:gridCol w:w="1730"/>
        <w:gridCol w:w="211"/>
        <w:gridCol w:w="406"/>
        <w:gridCol w:w="109"/>
        <w:gridCol w:w="109"/>
        <w:gridCol w:w="109"/>
        <w:gridCol w:w="109"/>
        <w:gridCol w:w="211"/>
        <w:gridCol w:w="406"/>
        <w:gridCol w:w="109"/>
        <w:gridCol w:w="109"/>
        <w:gridCol w:w="109"/>
        <w:gridCol w:w="109"/>
        <w:gridCol w:w="211"/>
        <w:gridCol w:w="406"/>
        <w:gridCol w:w="154"/>
      </w:tblGrid>
      <w:tr>
        <w:trPr/>
        <w:tc>
          <w:tcPr>
            <w:tcW w:w="1961"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Year Ended December 31,</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grant-date fair value of restricted stock granted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of restricted stock awards vested (in millions)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0"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Employee Retirement Plan</w:t>
      </w:r>
    </w:p>
    <w:p>
      <w:pPr>
        <w:pStyle w:val="TextBody"/>
        <w:bidi w:val="0"/>
        <w:spacing w:lineRule="auto" w:line="288" w:before="180" w:after="283"/>
        <w:ind w:left="0" w:right="0" w:firstLine="315"/>
        <w:jc w:val="left"/>
        <w:rPr/>
      </w:pPr>
      <w:r>
        <w:rPr>
          <w:rFonts w:ascii="Times New Roman;sans-serif" w:hAnsi="Times New Roman;sans-serif"/>
          <w:b w:val="false"/>
          <w:color w:val="000000"/>
          <w:sz w:val="20"/>
        </w:rPr>
        <w:t xml:space="preserve">The Company sponsors the Asbury Automotive Retirement Savings Plan (the "Retirement Savings Plan"), a 401(k) plan, for eligible employees. Employees electing to participate in the Retirement Savings Plan may contribute up to 75% of their annual eligible compensation. IRS rules limited total participant contributions during 2024 to $23,000, or $30,500 if age 50 or more. After one year of employment, we match 50% of employees' contributions up to 6% of their eligible compensation. Employer contributions vest on a graded basis over 4 years after the date of hire. The Company's expense related to employer matching contributions totaled </w:t>
      </w:r>
      <w:r>
        <w:rPr>
          <w:rFonts w:ascii="Times New Roman;sans-serif" w:hAnsi="Times New Roman;sans-serif"/>
          <w:b w:val="false"/>
          <w:color w:val="000000"/>
          <w:sz w:val="20"/>
          <w:shd w:fill="FFFFFF" w:val="clear"/>
        </w:rPr>
        <w:t>$18.4 million</w:t>
      </w:r>
      <w:r>
        <w:rPr>
          <w:rFonts w:ascii="Times New Roman;sans-serif" w:hAnsi="Times New Roman;sans-serif"/>
          <w:b w:val="false"/>
          <w:color w:val="000000"/>
          <w:sz w:val="20"/>
        </w:rPr>
        <w:t>, $16.0 million and, $18.0 million for the years ended December 31, 2024,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 xml:space="preserve">23. SUBSEQUENT EVENT </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14, 2025, the Company, through one of its subsidiaries, entered into a Purchase and Sale Agreement (the "Transaction Agreement") with various entities that comprise the Herb Chambers automotive group (the "Herb Chambers Dealerships"). </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Transaction Agreement, the Company is expected to acquire substantially all of the assets, including all real property and businesses of the Herb Chambers Dealerships (collectively, the "Businesses") for an aggregate purchase price of approximately $1.34 billion, which includes $750 million for goodwill and approximately $590 million for the real estate and leasehold improvements. In addition, the Company will acquire new vehicles, used vehicles, service loaner vehicles, fixed assets, parts and supplies for a purchase price to be determined at the closing (the "Closing") of the transactions set forth in the Transaction Agreement and will reimburse the Herb Chambers Dealerships for certain dealership construction and development costs incurred prior to the Closing. The Businesses includes 33 dealerships, 52 franchises and three collision centers. Herb Chambers will retain ownership of the Mercedes-Benz of Boston dealership in Somerville, Massachusetts (the "MB Boston Dealership"). The Transaction Agreement includes certain restrictions and obligations regarding the sale of the MB Boston Dealership, including a put right obligating the Company to purchase the MB Boston Dealership during the five-year period following the Closing, absent certain circumstances. The Company's acquisition of the Businesses is anticipated to close in the second quarter of 2025 and is subject to various customary closing conditions, including approval from the applicable automotive manufacturers.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1"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18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18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bidi w:val="0"/>
        <w:spacing w:before="0" w:after="0"/>
        <w:ind w:left="0" w:right="0" w:firstLine="315"/>
        <w:jc w:val="left"/>
        <w:rPr/>
      </w:pPr>
      <w:r>
        <w:rPr/>
      </w:r>
    </w:p>
    <w:p>
      <w:pPr>
        <w:pStyle w:val="TextBody"/>
        <w:bidi w:val="0"/>
        <w:spacing w:lineRule="auto" w:line="288" w:before="0" w:after="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end of the period covered by this report, we conducted an evaluation, under the supervision and with the participation of our principal executive officer and principal financial officer, of the effectiveness of the design and operation of our disclosure controls and procedures as defined in Rule 13a-15(e) and 15d-15(e) under the Securities Exchange Act of 1934 (the "Exchange Act"). Based on this evaluation, our principal executive officer and principal financial officer concluded that our disclosure controls and procedures were not effective as of December 31, 2024, solely as a result of the material weakness described below. </w:t>
      </w:r>
    </w:p>
    <w:p>
      <w:pPr>
        <w:pStyle w:val="TextBody"/>
        <w:bidi w:val="0"/>
        <w:spacing w:before="0" w:after="0"/>
        <w:ind w:left="0" w:right="0" w:firstLine="315"/>
        <w:jc w:val="left"/>
        <w:rPr/>
      </w:pPr>
      <w:r>
        <w:rPr/>
      </w:r>
    </w:p>
    <w:p>
      <w:pPr>
        <w:pStyle w:val="TextBody"/>
        <w:bidi w:val="0"/>
        <w:spacing w:lineRule="auto" w:line="288" w:before="0" w:after="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Notwithstanding the above, there were no identified material misstatements in our current year financial statements, no restatements of prior period financial statements and no changes in previously released financial results required as a result of these control deficiencies. In addition, notwithstanding the identified material weakness, management, including our Chief Executive Officer and Chief Financial Officer, believes the consolidated financial statements included in this Annual Report on Form 10-K fairly represent in all material respects our financial condition, results of operations and cash flows as of and for the periods presented in accordance with U.S. Generally Accepted Accounting Principles.</w:t>
      </w:r>
    </w:p>
    <w:p>
      <w:pPr>
        <w:pStyle w:val="TextBody"/>
        <w:bidi w:val="0"/>
        <w:spacing w:before="0" w:after="0"/>
        <w:ind w:left="0" w:right="0" w:firstLine="315"/>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lineRule="auto" w:line="288" w:before="0" w:after="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is responsible for establishing and maintaining adequate internal control over the Company's financial reporting, as such term is defined in Exchange Act Rule 13(a)-15(f). Our management, including the principal executive officer and the principal financial officer, assessed the effectiveness of our internal control over financial reporting as of December 31, 2024. In making this assessment, we used the criteria set forth by the Committee of Sponsoring Organizations of the Treadway Commission (COSO) in Internal Control—Integrated Framework (2013 framework). Based on our assessment under the framework in Internal Control—Integrated Framework issued by COSO, and solely due to the material weakness described below, our management concluded that our internal control over financial reporting was not effective as of December 31, 2024. </w:t>
      </w:r>
    </w:p>
    <w:p>
      <w:pPr>
        <w:pStyle w:val="TextBody"/>
        <w:bidi w:val="0"/>
        <w:spacing w:before="0" w:after="0"/>
        <w:ind w:left="0" w:right="0" w:firstLine="315"/>
        <w:jc w:val="left"/>
        <w:rPr/>
      </w:pPr>
      <w:r>
        <w:rPr/>
      </w:r>
    </w:p>
    <w:p>
      <w:pPr>
        <w:pStyle w:val="TextBody"/>
        <w:bidi w:val="0"/>
        <w:spacing w:lineRule="auto" w:line="288" w:before="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Our auditors, Ernst &amp; Young LLP, an independent registered public accounting firm, have audited and reported on our consolidated financial statements and on the effectiveness of our internal control over financial reporting. Ernst &amp; Young LLP has issued a report expressing an adverse opinion on the effectiveness of the Company's internal control over financial reporting as of December 31, 2024. Their reports are contained herein.</w:t>
      </w:r>
    </w:p>
    <w:p>
      <w:pPr>
        <w:pStyle w:val="TextBody"/>
        <w:bidi w:val="0"/>
        <w:spacing w:lineRule="auto" w:line="256"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Material Weakness </w:t>
      </w:r>
    </w:p>
    <w:p>
      <w:pPr>
        <w:pStyle w:val="TextBody"/>
        <w:bidi w:val="0"/>
        <w:spacing w:before="0" w:after="0"/>
        <w:jc w:val="left"/>
        <w:rPr/>
      </w:pPr>
      <w:r>
        <w:rPr/>
      </w:r>
    </w:p>
    <w:p>
      <w:pPr>
        <w:pStyle w:val="TextBody"/>
        <w:bidi w:val="0"/>
        <w:spacing w:lineRule="auto" w:line="288" w:before="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Jim Koons Dealerships ("Koons") were acquired on December 11, 2023 and represent approximately 16% of the Company’s total revenues for the year ended December 31, 2024. Koons was not included in the Company's assessment of the effectiveness of our internal control over financial reporting as of December 31, 2023, as the Securities and Exchange Commission ("SEC") rules provide companies one year to assess controls at an acquired entity. Additionally, prior to being acquired by the Company, Koons was not required to file reports with the SEC. Accordingly, during the year ended December 31, 2024, we performed our first comprehensive assessment of the design and effectiveness of internal controls at Koons. </w:t>
      </w:r>
    </w:p>
    <w:p>
      <w:pPr>
        <w:pStyle w:val="TextBody"/>
        <w:bidi w:val="0"/>
        <w:spacing w:lineRule="auto" w:line="288" w:before="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control deficiencies in information technology general controls ("ITGCs") identified at Koons that constitute a material weakness, we determined that the Company’s internal control over financial reporting was not effective as of December 31, 2024. Specifically, the material weakness is due to insufficient control activities at a third-party software vendor for the Dealer Management System ("DMS") utilized by Koons. The third-party software vendor who supports the DMS on behalf of Koons does not have a Service Organization Control ("SOC") report that covers the DMS currently being utilized. The ineffective ITGCs limited the level of assurance over the completeness and accuracy of information derived from the affected IT application used in automated and manual business process controls at Koons. </w:t>
      </w:r>
    </w:p>
    <w:p>
      <w:pPr>
        <w:pStyle w:val="TextBody"/>
        <w:bidi w:val="0"/>
        <w:spacing w:lineRule="auto" w:line="256"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Remediation Efforts </w:t>
      </w:r>
    </w:p>
    <w:p>
      <w:pPr>
        <w:pStyle w:val="TextBody"/>
        <w:bidi w:val="0"/>
        <w:spacing w:before="0" w:after="0"/>
        <w:jc w:val="left"/>
        <w:rPr/>
      </w:pPr>
      <w:r>
        <w:rPr/>
      </w:r>
    </w:p>
    <w:p>
      <w:pPr>
        <w:pStyle w:val="TextBody"/>
        <w:bidi w:val="0"/>
        <w:spacing w:lineRule="auto" w:line="288" w:before="0" w:after="18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remediate the material weakness, management has developed a plan to transition Koons to another DMS in 2025. We expect that the material weakness will be remediated in 2025, once Koons has transitioned to another DMS and the ITGCs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2"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have operated for a sufficient period for management to conclude, through testing, that the controls are designed and operating effectively.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0" w:after="180"/>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Other than with respect to the remediation efforts described above, there were no changes in our internal control over financial reporting (as such term is defined in Rule 13a-15(f) and 15d-15(f) under the Securities Exchange Act of 1934) during the quarter ended December 31, 2024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100" w:after="160"/>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None of the Company's directors or officers adopted, modified, or terminated a Rule 10b5-1 trading arrangement or a non-Rule 10b5-1 trading arrangement during the Company's fiscal quarter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9C. Disclosure Regarding Foreign Jurisdictions that Prevent Inspections </w:t>
      </w:r>
    </w:p>
    <w:p>
      <w:pPr>
        <w:pStyle w:val="TextBody"/>
        <w:bidi w:val="0"/>
        <w:spacing w:before="0" w:after="0"/>
        <w:ind w:left="0" w:right="0" w:firstLine="270"/>
        <w:jc w:val="left"/>
        <w:rPr/>
      </w:pPr>
      <w:r>
        <w:rPr/>
      </w:r>
    </w:p>
    <w:p>
      <w:pPr>
        <w:pStyle w:val="TextBody"/>
        <w:bidi w:val="0"/>
        <w:spacing w:lineRule="auto" w:line="288" w:before="100" w:after="283"/>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3"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PART III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Reference is made to the information to be set forth in the "Proposal No. 1 - Election of Directors," under the subheadings "Committees of the Board," "Code of Business Conduct and Ethics and Corporate Governance Guidelines" and other subsections under the principal heading of "Governance of the Company," under the subheadings "Insider Trading Policy" and "Delinquent Section 16(a) Reports" under the principal heading of "Securities Owned by Management &amp; Certain Beneficial Owners," under the subheading "2024 Director Compensation Table" under the principal heading of "Director Compensation," and in the "Executive Officers" sections of our Proxy Statement to be filed within 120 days after the end of our fiscal year, which information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Reference is made to the information to be set forth in the "Compensation Discussion &amp; Analysis," "Compensation &amp; Human Resources Committee Report," "Compensation Committee Interlocks &amp; Insider Participation," "Executive Compensation," "2024 Director Compensation Table," and "Governance of the Company" sections of our Proxy Statement to be filed within 120 days after the end of our fiscal year, which information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Reference is made to the information to be set forth in the "Securities Owned by Management &amp; Certain Beneficial Owners" and "Securities Authorized for Issuance under Equity Compensation Plans" sections of our Proxy Statement to be filed within 120 days after the end of our fiscal year, which information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Reference is made to the information to be set forth under the "Related Person Transactions" and other subsections under the principal heading of "Governance of the Company" sections of our Proxy Statement to be filed within 120 days after the end of our fiscal year, which information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Reference is made to the information to be set forth under the subheading "Independent Registered Accounting Firm Fees" under the principal heading of "Proposal 3 - Ratification of Appointment of Independent Registered Public Accounting Firm" section of our Proxy Statement to be filed within 120 days after the end of our fiscal year, which information is incorporated herein by reference.</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4"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bidi w:val="0"/>
        <w:spacing w:before="0" w:after="0"/>
        <w:ind w:left="0" w:right="0" w:hanging="144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(a)The following documents are filed as a part of this annual report on Form 10-K:</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(1)Financial Statements: See index to Consolidated Financial Statements.</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(2)Financial Statement Schedules: None required.</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(3)Exhibits required to be filed by Item 601 of Regulation S-K:</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Exhibits listed below are identified by numbers corresponding to the Exhibit Table of Item 601 of Regulation S-K. </w:t>
      </w:r>
    </w:p>
    <w:tbl>
      <w:tblPr>
        <w:tblW w:w="10205" w:type="dxa"/>
        <w:jc w:val="center"/>
        <w:tblInd w:w="0" w:type="dxa"/>
        <w:tblLayout w:type="fixed"/>
        <w:tblCellMar>
          <w:top w:w="28" w:type="dxa"/>
          <w:left w:w="28" w:type="dxa"/>
          <w:bottom w:w="28" w:type="dxa"/>
          <w:right w:w="28" w:type="dxa"/>
        </w:tblCellMar>
      </w:tblPr>
      <w:tblGrid>
        <w:gridCol w:w="277"/>
        <w:gridCol w:w="244"/>
        <w:gridCol w:w="245"/>
        <w:gridCol w:w="109"/>
        <w:gridCol w:w="109"/>
        <w:gridCol w:w="109"/>
        <w:gridCol w:w="2799"/>
        <w:gridCol w:w="2609"/>
        <w:gridCol w:w="3704"/>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9"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370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Description of Documents</w:t>
            </w:r>
          </w:p>
        </w:tc>
      </w:tr>
      <w:tr>
        <w:trPr/>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Times New Roman;sans-serif" w:hAnsi="Times New Roman;sans-serif"/>
                  <w:b w:val="false"/>
                  <w:color w:val="0000FF"/>
                  <w:sz w:val="20"/>
                  <w:u w:val="single"/>
                </w:rPr>
                <w:t>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Agreement, dated September 28, 2021, by and among Asbury Automotive Group, L.L.C., through one of its subsidiaries, and certain identified members of the Larry H. Miller Dealership family of entities (incorporated by reference to Exhibit 2.1 to the Company’s Quarterly Report on Form 10-Q for the quarter ended September 30, 2021 filed on October 26, 2021)*</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
              <w:r>
                <w:rPr>
                  <w:rStyle w:val="InternetLink"/>
                  <w:rFonts w:ascii="Times New Roman;sans-serif" w:hAnsi="Times New Roman;sans-serif"/>
                  <w:b w:val="false"/>
                  <w:color w:val="0000FF"/>
                  <w:sz w:val="20"/>
                  <w:u w:val="single"/>
                </w:rPr>
                <w:t>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Purchase and Sale Agreement, dated September 28, 2021, by and between Asbury Automotive Group, L.L.C., through one of its subsidiaries, Miller Family Real Estate L.L.C. and Larry H. Miller Corporation - Boise (incorporated by reference to Exhibit 2.2 to the Company’s Quarterly Report on Form 10-Q for the quarter ended September 30, 2021 filed on October 26, 2021)*</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
              <w:r>
                <w:rPr>
                  <w:rStyle w:val="InternetLink"/>
                  <w:rFonts w:ascii="Times New Roman;sans-serif" w:hAnsi="Times New Roman;sans-serif"/>
                  <w:b w:val="false"/>
                  <w:color w:val="0000FF"/>
                  <w:sz w:val="20"/>
                  <w:u w:val="single"/>
                </w:rPr>
                <w:t>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Agreement, dated September 28, 2021, by and between Asbury Automotive Group, L.L.C., through one of its subsidiaries, and certain identified equity owners of the Total Care Auto, Powered by Landcar insurance business affiliated with the Larry H. Miller Dealership family of entities (incorporated by reference to Exhibit 2.3 to the Company’s Quarterly Report on Form 10-Q for the quarter ended September 30, 2021 filed on October 26, 2021)*</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7">
              <w:r>
                <w:rPr>
                  <w:rStyle w:val="InternetLink"/>
                  <w:rFonts w:ascii="Times New Roman;sans-serif" w:hAnsi="Times New Roman;sans-serif"/>
                  <w:b w:val="false"/>
                  <w:color w:val="0000FF"/>
                  <w:sz w:val="20"/>
                  <w:u w:val="single"/>
                </w:rPr>
                <w:t>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and Sale Agreement, dated September 7, 2023 by and among Asbury Automotive Group, L.L.C. and the Sellers (as defined therein) (incorporated by reference to Exhibit 2.1 to the Company's Current Report on Form 8-K filed with the SEC on September 8, 2023)*</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8">
              <w:r>
                <w:rPr>
                  <w:rStyle w:val="InternetLink"/>
                  <w:rFonts w:ascii="Times New Roman;sans-serif" w:hAnsi="Times New Roman;sans-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Certificate of Incorporation of Asbury Automotive Group, Inc. (incorporated by reference to Exhibit 3.1 to the Company's Current Report on Form 8-K, filed with the SEC on April 25, 2016)*</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9">
              <w:r>
                <w:rPr>
                  <w:rStyle w:val="InternetLink"/>
                  <w:rFonts w:ascii="Times New Roman;sans-serif" w:hAnsi="Times New Roman;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By-Laws of Asbury Automotive Group, Inc. (incorporated by reference to Exhibit 3.1 to the Company's Current Report on Form 8-K filed with the SEC on April 21, 2014)*</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0">
              <w:r>
                <w:rPr>
                  <w:rStyle w:val="InternetLink"/>
                  <w:rFonts w:ascii="Times New Roman;sans-serif" w:hAnsi="Times New Roman;sans-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relating to the Senior Notes due 2028, dated as of February 19, 2020, among Asbury Automotive Group, Inc., each of the Guarantors named therein and U.S. Bank National Association, as trustee (incorporated by reference to Exhibit 4.1 to the Company's Current Report on Form 8-K filed with the SEC on February 20, 2020)*</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1">
              <w:r>
                <w:rPr>
                  <w:rStyle w:val="InternetLink"/>
                  <w:rFonts w:ascii="Times New Roman;sans-serif" w:hAnsi="Times New Roman;sans-serif"/>
                  <w:b w:val="false"/>
                  <w:color w:val="0000FF"/>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First Supplemental Indenture relating to the Senior Notes due 2028, dated as of September 3, 2021, among Asbury CO HG, LLC, Asbury Noblesville CDJR, LLC, Asbury Greeley SUB, LLC, Asbury CO GEN, LLC, Asbury Risk Services, LLC, Asbury Automotive Group, Inc. and U.S. Bank National Association, as trustee (incorporated by reference to Exhibit 4.1 to the Company’s Quarterly Report on Form 10-Q for the quarter ended September 30, 2021 filed on October 26, 2021)*</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2">
              <w:r>
                <w:rPr>
                  <w:rStyle w:val="InternetLink"/>
                  <w:rFonts w:ascii="Times New Roman;sans-serif" w:hAnsi="Times New Roman;sans-serif"/>
                  <w:b w:val="false"/>
                  <w:color w:val="0000FF"/>
                  <w:sz w:val="20"/>
                  <w:u w:val="single"/>
                </w:rPr>
                <w:t>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Supplemental Indenture relating to the Senior Notes due 2028, dated as of December 23, 2021, among the guaranteeing subsidiaries listed thereto, Asbury Automotive Group, Inc. and U.S. Bank National Association, as trustee (incorporated by reference to Exhibit 4.3 to the Company's Annual Report on Form 10-K for the year ended December 31, 2021 filed on March 1, 2022)*</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3">
              <w:r>
                <w:rPr>
                  <w:rStyle w:val="InternetLink"/>
                  <w:rFonts w:ascii="Times New Roman;sans-serif" w:hAnsi="Times New Roman;sans-serif"/>
                  <w:b w:val="false"/>
                  <w:color w:val="0000FF"/>
                  <w:sz w:val="20"/>
                  <w:u w:val="single"/>
                </w:rPr>
                <w:t>4.4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4.50% Senior Note due 2028 (included as Exhibit A in Exhibit 4.1 to the Company's Current Report on Form 8-K filed with the SEC on February 20, 2020)*</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4">
              <w:r>
                <w:rPr>
                  <w:rStyle w:val="InternetLink"/>
                  <w:rFonts w:ascii="Times New Roman;sans-serif" w:hAnsi="Times New Roman;sans-serif"/>
                  <w:b w:val="false"/>
                  <w:color w:val="0000FF"/>
                  <w:sz w:val="20"/>
                  <w:u w:val="single"/>
                </w:rPr>
                <w:t>4.5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relating to the Senior Notes due 2030, dated as of February 19, 2020, among Asbury Automotive Group, Inc., each of the Guarantors named therein and U.S. Bank National Association, as trustee (incorporated by reference to Exhibit 4.2 to the Company's Current Report on Form 8-K filed with the SEC on February 20, 2020)*</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5">
              <w:r>
                <w:rPr>
                  <w:rStyle w:val="InternetLink"/>
                  <w:rFonts w:ascii="Times New Roman;sans-serif" w:hAnsi="Times New Roman;sans-serif"/>
                  <w:b w:val="false"/>
                  <w:color w:val="0000FF"/>
                  <w:sz w:val="20"/>
                  <w:u w:val="single"/>
                </w:rPr>
                <w:t>4.6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Supplemental Indenture relating to the Senior Notes due 2030, dated as of September 3, 2021, among Asbury CO HG, LLC, Asbury Noblesville CDJR, LLC, Asbury Greeley SUB, LLC, Asbury CO GEN, LLC, Asbury Risk Services, LLC, Asbury Automotive Group, Inc. and U.S. Bank National Association, as trustee (incorporated by reference to Exhibit 4.2 to the Company’s Quarterly Report on Form 10-Q for the quarter ended September 30, 2021 filed on October 26, 2021)*</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6">
              <w:r>
                <w:rPr>
                  <w:rStyle w:val="InternetLink"/>
                  <w:rFonts w:ascii="Times New Roman;sans-serif" w:hAnsi="Times New Roman;sans-serif"/>
                  <w:b w:val="false"/>
                  <w:color w:val="0000FF"/>
                  <w:sz w:val="20"/>
                  <w:u w:val="single"/>
                </w:rPr>
                <w:t>4.7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Supplemental Indenture relating to the Senior Notes due 2030, dated as of December 23, 2021, among the guaranteeing subsidiaries listed thereto, Asbury Automotive Group, Inc. and U.S. Bank National Association, as trustee (incorporated by reference to Exhibit 4.7 of the Company's Annual Report on Form 10-K for the year ended December 31, 2021 filed on March 1, 2022)*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5"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57"/>
        <w:gridCol w:w="200"/>
        <w:gridCol w:w="182"/>
        <w:gridCol w:w="109"/>
        <w:gridCol w:w="109"/>
        <w:gridCol w:w="109"/>
        <w:gridCol w:w="2910"/>
        <w:gridCol w:w="2610"/>
        <w:gridCol w:w="3719"/>
      </w:tblGrid>
      <w:tr>
        <w:trPr/>
        <w:tc>
          <w:tcPr>
            <w:tcW w:w="25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0" w:type="dxa"/>
            <w:tcBorders/>
            <w:vAlign w:val="center"/>
          </w:tcPr>
          <w:p>
            <w:pPr>
              <w:pStyle w:val="TableContents"/>
              <w:bidi w:val="0"/>
              <w:spacing w:before="0" w:after="283"/>
              <w:jc w:val="left"/>
              <w:rPr>
                <w:sz w:val="4"/>
                <w:szCs w:val="4"/>
              </w:rPr>
            </w:pPr>
            <w:r>
              <w:rPr>
                <w:sz w:val="4"/>
                <w:szCs w:val="4"/>
              </w:rPr>
            </w:r>
          </w:p>
        </w:tc>
        <w:tc>
          <w:tcPr>
            <w:tcW w:w="2610" w:type="dxa"/>
            <w:tcBorders/>
            <w:vAlign w:val="center"/>
          </w:tcPr>
          <w:p>
            <w:pPr>
              <w:pStyle w:val="TableContents"/>
              <w:bidi w:val="0"/>
              <w:spacing w:before="0" w:after="283"/>
              <w:jc w:val="left"/>
              <w:rPr>
                <w:sz w:val="4"/>
                <w:szCs w:val="4"/>
              </w:rPr>
            </w:pPr>
            <w:r>
              <w:rPr>
                <w:sz w:val="4"/>
                <w:szCs w:val="4"/>
              </w:rPr>
            </w:r>
          </w:p>
        </w:tc>
        <w:tc>
          <w:tcPr>
            <w:tcW w:w="3719" w:type="dxa"/>
            <w:tcBorders/>
            <w:vAlign w:val="center"/>
          </w:tcPr>
          <w:p>
            <w:pPr>
              <w:pStyle w:val="TableContents"/>
              <w:bidi w:val="0"/>
              <w:spacing w:before="0" w:after="283"/>
              <w:jc w:val="left"/>
              <w:rPr>
                <w:sz w:val="4"/>
                <w:szCs w:val="4"/>
              </w:rPr>
            </w:pPr>
            <w:r>
              <w:rPr>
                <w:sz w:val="4"/>
                <w:szCs w:val="4"/>
              </w:rPr>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7">
              <w:r>
                <w:rPr>
                  <w:rStyle w:val="InternetLink"/>
                  <w:rFonts w:ascii="Times New Roman;sans-serif" w:hAnsi="Times New Roman;sans-serif"/>
                  <w:b w:val="false"/>
                  <w:color w:val="0000FF"/>
                  <w:sz w:val="20"/>
                  <w:u w:val="single"/>
                </w:rPr>
                <w:t>4.8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4.75% Senior Note due 2030 (included as Exhibit A in Exhibit 4.2 to the Company's Current Report on Form 8-K filed with the SEC on February 20, 2020)*</w:t>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8">
              <w:r>
                <w:rPr>
                  <w:rStyle w:val="InternetLink"/>
                  <w:rFonts w:ascii="Times New Roman;sans-serif" w:hAnsi="Times New Roman;sans-serif"/>
                  <w:b w:val="false"/>
                  <w:color w:val="0000FF"/>
                  <w:sz w:val="20"/>
                  <w:u w:val="single"/>
                </w:rPr>
                <w:t>4.9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Officer’s Certificate of Asbury Automotive Group, Inc. pursuant to the 2028 Notes Indenture, dated September 16, 2020 (incorporated by reference to Exhibit 4.3 of the Company's Current Report on Form 8-K filed on September 16, 2020)*</w:t>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9">
              <w:r>
                <w:rPr>
                  <w:rStyle w:val="InternetLink"/>
                  <w:rFonts w:ascii="Times New Roman;sans-serif" w:hAnsi="Times New Roman;sans-serif"/>
                  <w:b w:val="false"/>
                  <w:color w:val="0000FF"/>
                  <w:sz w:val="20"/>
                  <w:u w:val="single"/>
                </w:rPr>
                <w:t>4.10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Officer’s Certificate of Asbury Automotive Group, Inc. pursuant to the 2030 Notes Indenture, dated September 16, 2020 (incorporated by reference to Exhibit 4.4 of the Company's Current Report on Form 8-K filed on September 16, 2020)*</w:t>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0">
              <w:r>
                <w:rPr>
                  <w:rStyle w:val="InternetLink"/>
                  <w:rFonts w:ascii="Times New Roman;sans-serif" w:hAnsi="Times New Roman;sans-serif"/>
                  <w:b w:val="false"/>
                  <w:color w:val="0000FF"/>
                  <w:sz w:val="20"/>
                  <w:u w:val="single"/>
                </w:rPr>
                <w:t>4.11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relating to the Senior Notes due 2029, dated as of November 19, 2021, among Asbury Automotive Group, Inc., each of the guarantors named therein and U.S. Bank National Association, as trustee (incorporated by reference to Exhibit 4.1 to the Company’s Current Report on Form 8-K filed with the SEC on November 19, 2021)*</w:t>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1">
              <w:r>
                <w:rPr>
                  <w:rStyle w:val="InternetLink"/>
                  <w:rFonts w:ascii="Times New Roman;sans-serif" w:hAnsi="Times New Roman;sans-serif"/>
                  <w:b w:val="false"/>
                  <w:color w:val="0000FF"/>
                  <w:sz w:val="20"/>
                  <w:u w:val="single"/>
                </w:rPr>
                <w:t>4.12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Supplemental Indenture relating to the Senior Notes due 2029, dated as of December 23, 2021, among the guaranteeing subsidiaries listed thereto, Asbury Automotive Group, Inc. and U.S. Bank National Association, as trustee (incorporated by reference to Exhibit 4.12 of the Company's Annual Report on Form 10-K for the year ended December 31, 2021 filed on March 1, 2022)*</w:t>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2">
              <w:r>
                <w:rPr>
                  <w:rStyle w:val="InternetLink"/>
                  <w:rFonts w:ascii="Times New Roman;sans-serif" w:hAnsi="Times New Roman;sans-serif"/>
                  <w:b w:val="false"/>
                  <w:color w:val="0000FF"/>
                  <w:sz w:val="20"/>
                  <w:u w:val="single"/>
                </w:rPr>
                <w:t>4.13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4.625% Senior Note due 2029 (included as Exhibit A in Exhibit 4.1 to the Company’s Current Report on Form 8-K filed with the SEC on November 19, 2021)*</w:t>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3">
              <w:r>
                <w:rPr>
                  <w:rStyle w:val="InternetLink"/>
                  <w:rFonts w:ascii="Times New Roman;sans-serif" w:hAnsi="Times New Roman;sans-serif"/>
                  <w:b w:val="false"/>
                  <w:color w:val="0000FF"/>
                  <w:sz w:val="20"/>
                  <w:u w:val="single"/>
                </w:rPr>
                <w:t>4.14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Indenture relating to the Senior Notes due 2032, dated as of November 19, 2021, among Asbury Automotive Group, Inc., each of the guarantors named therein and U.S. Bank National Association, as trustee (incorporated by reference to Exhibit 4.2 to the Company’s Current Report on Form 8-K filed with the SEC on November 19, 2021)*</w:t>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4">
              <w:r>
                <w:rPr>
                  <w:rStyle w:val="InternetLink"/>
                  <w:rFonts w:ascii="Times New Roman;sans-serif" w:hAnsi="Times New Roman;sans-serif"/>
                  <w:b w:val="false"/>
                  <w:color w:val="0000FF"/>
                  <w:sz w:val="20"/>
                  <w:u w:val="single"/>
                </w:rPr>
                <w:t>4.15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Supplemental Indenture relating to the Senior Notes due 2032, dated as of December 23, 2021, among the guaranteeing subsidiaries listed thereto, Asbury Automotive Group, Inc. and U.S. Bank National Association, as trustee (incorporated by reference to Exhibit 4.15 of the Company's Annual Report on Form 10-K for the year ended December 31, 2021 filed on March 1, 2022)*</w:t>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5">
              <w:r>
                <w:rPr>
                  <w:rStyle w:val="InternetLink"/>
                  <w:rFonts w:ascii="Times New Roman;sans-serif" w:hAnsi="Times New Roman;sans-serif"/>
                  <w:b w:val="false"/>
                  <w:color w:val="0000FF"/>
                  <w:sz w:val="20"/>
                  <w:u w:val="single"/>
                </w:rPr>
                <w:t>4.16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5.000% Senior Note due 2029 (included as Exhibit A in Exhibit 4.2 to the Company’s Current Report on Form 8-K filed with the SEC on November 19, 2021)*</w:t>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6">
              <w:r>
                <w:rPr>
                  <w:rStyle w:val="InternetLink"/>
                  <w:rFonts w:ascii="Times New Roman;sans-serif" w:hAnsi="Times New Roman;sans-serif"/>
                  <w:b w:val="false"/>
                  <w:color w:val="0000FF"/>
                  <w:sz w:val="20"/>
                  <w:u w:val="single"/>
                </w:rPr>
                <w:t>4.17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 of Registrant's Securities (incorporated by reference to Exhibit 4.9 of the Company's Annual Report on Form 10-K for the year ended December 31, 2020 filed on March 1, 2021)*</w:t>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7">
              <w:r>
                <w:rPr>
                  <w:rStyle w:val="InternetLink"/>
                  <w:rFonts w:ascii="Times New Roman;sans-serif" w:hAnsi="Times New Roman;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2002 Equity Incentive Plan (incorporated by reference to Exhibit 10.1 to the Company's Current Report on Form 8-K filed with the SEC on February 14, 2012)*</w:t>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8">
              <w:r>
                <w:rPr>
                  <w:rStyle w:val="InternetLink"/>
                  <w:rFonts w:ascii="Times New Roman;sans-serif" w:hAnsi="Times New Roman;sans-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2012 Equity Incentive Plan (incorporated by reference to Appendix A to the Company's Definitive Proxy Statement on Schedule 14A filed with the SEC on March 16, 2012)*</w:t>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9">
              <w:r>
                <w:rPr>
                  <w:rStyle w:val="InternetLink"/>
                  <w:rFonts w:ascii="Times New Roman;sans-serif" w:hAnsi="Times New Roman;sans-serif"/>
                  <w:b w:val="false"/>
                  <w:color w:val="0000FF"/>
                  <w:sz w:val="20"/>
                  <w:u w:val="single"/>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Amendment to 2012 Equity Incentive Plan (incorporated by reference to Exhibit 10.1 to the Company's Current Report on Form 8-K filed with the SEC on January 27, 2017)*</w:t>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0">
              <w:r>
                <w:rPr>
                  <w:rStyle w:val="InternetLink"/>
                  <w:rFonts w:ascii="Times New Roman;sans-serif" w:hAnsi="Times New Roman;sans-serif"/>
                  <w:b w:val="false"/>
                  <w:color w:val="0000FF"/>
                  <w:sz w:val="20"/>
                  <w:u w:val="single"/>
                </w:rPr>
                <w:t>10.4**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Key Executive Incentive Compensation Plan (incorporated by reference to Exhibit 10.2 to the Company's Current Report on Form 8-K filed with the SEC on May 4, 2009)*</w:t>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1">
              <w:r>
                <w:rPr>
                  <w:rStyle w:val="InternetLink"/>
                  <w:rFonts w:ascii="Times New Roman;sans-serif" w:hAnsi="Times New Roman;sans-serif"/>
                  <w:b w:val="false"/>
                  <w:color w:val="0000FF"/>
                  <w:sz w:val="20"/>
                  <w:u w:val="single"/>
                </w:rPr>
                <w:t>10.5**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 No. 1 to Amended and Restated Key Executive Incentive Compensation Plan (incorporated by reference to Exhibit 10.1 to the Company's Quarterly Report on Form 10-Q for the quarter ended March 31, 2018 filed on April 26, 2018)*</w:t>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2">
              <w:r>
                <w:rPr>
                  <w:rStyle w:val="InternetLink"/>
                  <w:rFonts w:ascii="Times New Roman;sans-serif" w:hAnsi="Times New Roman;sans-serif"/>
                  <w:b w:val="false"/>
                  <w:color w:val="0000FF"/>
                  <w:sz w:val="20"/>
                  <w:u w:val="single"/>
                </w:rPr>
                <w:t>10.6**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Director and Officer Indemnification Agreement (incorporated by reference to Exhibit 10.7 to the Company's Quarterly Report on Form 10-Q for the quarter ended March 31, 2010 filed on April 30, 2010)*</w:t>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3">
              <w:r>
                <w:rPr>
                  <w:rStyle w:val="InternetLink"/>
                  <w:rFonts w:ascii="Times New Roman;sans-serif" w:hAnsi="Times New Roman;sans-serif"/>
                  <w:b w:val="false"/>
                  <w:color w:val="0000FF"/>
                  <w:sz w:val="20"/>
                  <w:u w:val="single"/>
                </w:rPr>
                <w:t>10.7**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Employment Agreement between Asbury Automotive Group, Inc. and David W. Hult, dated as of October 23, 2014 (incorporated by reference to Exhibit 10.1 to the Company's Current Report on Form 8-K filed with the SEC on October 23, 2014)*</w:t>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4">
              <w:r>
                <w:rPr>
                  <w:rStyle w:val="InternetLink"/>
                  <w:rFonts w:ascii="Times New Roman;sans-serif" w:hAnsi="Times New Roman;sans-serif"/>
                  <w:b w:val="false"/>
                  <w:color w:val="0000FF"/>
                  <w:sz w:val="20"/>
                  <w:u w:val="single"/>
                </w:rPr>
                <w:t>10.8**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Amendment to Employment Agreement between Asbury Automotive Group, Inc. and David W. Hult, dated as of August 21, 2017 (incorporated by reference to Exhibit 10.1 to the Company's Current Report on Form 8-K filed with the SEC on August 22, 2017)*</w:t>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5">
              <w:r>
                <w:rPr>
                  <w:rStyle w:val="InternetLink"/>
                  <w:rFonts w:ascii="Times New Roman;sans-serif" w:hAnsi="Times New Roman;sans-serif"/>
                  <w:b w:val="false"/>
                  <w:color w:val="0000FF"/>
                  <w:sz w:val="20"/>
                  <w:u w:val="single"/>
                </w:rPr>
                <w:t>10.9**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Amendment to Employment Agreement between Asbury Automotive Group, Inc. and David W. Hult, dated as of June 5, 2020 (incorporated by reference to Exhibit 10.1 to the Company's Current Report on Form 8-K filed with the SEC on June 5, 2020)*</w:t>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6">
              <w:r>
                <w:rPr>
                  <w:rStyle w:val="InternetLink"/>
                  <w:rFonts w:ascii="Times New Roman;sans-serif" w:hAnsi="Times New Roman;sans-serif"/>
                  <w:b w:val="false"/>
                  <w:color w:val="0000FF"/>
                  <w:sz w:val="20"/>
                  <w:u w:val="single"/>
                </w:rPr>
                <w:t>10.10**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Letter Agreement between Asbury Automotive Group, Inc. and Michael Welch, dated as of June 14, 2021 (incorporated by reference to Exhibit 10.1 of the Company's Current Report on Form 8-K filed on July 6, 2021)*</w:t>
            </w:r>
          </w:p>
        </w:tc>
      </w:tr>
      <w:tr>
        <w:trPr/>
        <w:tc>
          <w:tcPr>
            <w:tcW w:w="6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1011severancepayagreemen.htm">
              <w:r>
                <w:rPr>
                  <w:rStyle w:val="InternetLink"/>
                  <w:rFonts w:ascii="Times New Roman;sans-serif" w:hAnsi="Times New Roman;sans-serif"/>
                  <w:b w:val="false"/>
                  <w:color w:val="0000FF"/>
                  <w:sz w:val="20"/>
                  <w:u w:val="single"/>
                </w:rPr>
                <w:t>10.11**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Pay Agreement for Key Employee between Asbury Automotive Group, Inc. and Michael Welch dated as of October 21, 2021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6"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20"/>
        <w:gridCol w:w="193"/>
        <w:gridCol w:w="195"/>
        <w:gridCol w:w="109"/>
        <w:gridCol w:w="109"/>
        <w:gridCol w:w="109"/>
        <w:gridCol w:w="3005"/>
        <w:gridCol w:w="2594"/>
        <w:gridCol w:w="3671"/>
      </w:tblGrid>
      <w:tr>
        <w:trPr/>
        <w:tc>
          <w:tcPr>
            <w:tcW w:w="2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5" w:type="dxa"/>
            <w:tcBorders/>
            <w:vAlign w:val="center"/>
          </w:tcPr>
          <w:p>
            <w:pPr>
              <w:pStyle w:val="TableContents"/>
              <w:bidi w:val="0"/>
              <w:spacing w:before="0" w:after="283"/>
              <w:jc w:val="left"/>
              <w:rPr>
                <w:sz w:val="4"/>
                <w:szCs w:val="4"/>
              </w:rPr>
            </w:pPr>
            <w:r>
              <w:rPr>
                <w:sz w:val="4"/>
                <w:szCs w:val="4"/>
              </w:rPr>
            </w:r>
          </w:p>
        </w:tc>
        <w:tc>
          <w:tcPr>
            <w:tcW w:w="2594" w:type="dxa"/>
            <w:tcBorders/>
            <w:vAlign w:val="center"/>
          </w:tcPr>
          <w:p>
            <w:pPr>
              <w:pStyle w:val="TableContents"/>
              <w:bidi w:val="0"/>
              <w:spacing w:before="0" w:after="283"/>
              <w:jc w:val="left"/>
              <w:rPr>
                <w:sz w:val="4"/>
                <w:szCs w:val="4"/>
              </w:rPr>
            </w:pPr>
            <w:r>
              <w:rPr>
                <w:sz w:val="4"/>
                <w:szCs w:val="4"/>
              </w:rPr>
            </w:r>
          </w:p>
        </w:tc>
        <w:tc>
          <w:tcPr>
            <w:tcW w:w="3671" w:type="dxa"/>
            <w:tcBorders/>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7">
              <w:r>
                <w:rPr>
                  <w:rStyle w:val="InternetLink"/>
                  <w:rFonts w:ascii="Times New Roman;sans-serif" w:hAnsi="Times New Roman;sans-serif"/>
                  <w:b w:val="false"/>
                  <w:color w:val="0000FF"/>
                  <w:sz w:val="20"/>
                  <w:u w:val="single"/>
                </w:rPr>
                <w:t>10.12**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Pay Agreement for Key Employee between Asbury Automotive Group, Inc. and Daniel Clara dated as of July 28, 2022 (incorporated by reference to Exhibit 10.7 to the Company's Quarterly Report on Form 10-Q for the quarter ended June 30, 2022 filed on July 28, 2022)*</w:t>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8">
              <w:r>
                <w:rPr>
                  <w:rStyle w:val="InternetLink"/>
                  <w:rFonts w:ascii="Times New Roman;sans-serif" w:hAnsi="Times New Roman;sans-serif"/>
                  <w:b w:val="false"/>
                  <w:color w:val="0000FF"/>
                  <w:sz w:val="20"/>
                  <w:u w:val="single"/>
                </w:rPr>
                <w:t>10.13**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Pay Agreement for Key Employee between Asbury Automotive Group, Inc. and Jed M. Milstein, dated as of February 21, 2017 (incorporated by reference to Exhibit 10.13 to the Company's Annual Report on Form 10-K for the year ended December 31, 2016 filed on February 23, 2017)*</w:t>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1014severancepayagreemen.htm">
              <w:r>
                <w:rPr>
                  <w:rStyle w:val="InternetLink"/>
                  <w:rFonts w:ascii="Times New Roman;sans-serif" w:hAnsi="Times New Roman;sans-serif"/>
                  <w:b w:val="false"/>
                  <w:color w:val="0000FF"/>
                  <w:sz w:val="20"/>
                  <w:u w:val="single"/>
                </w:rPr>
                <w:t>10.14**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Pay Agreement for Key Employee between Asbury Automotive Group, Inc. and Dean Calloway, dated as of July 1, 2024</w:t>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9">
              <w:r>
                <w:rPr>
                  <w:rStyle w:val="InternetLink"/>
                  <w:rFonts w:ascii="Times New Roman;sans-serif" w:hAnsi="Times New Roman;sans-serif"/>
                  <w:b w:val="false"/>
                  <w:color w:val="0000FF"/>
                  <w:sz w:val="20"/>
                  <w:u w:val="single"/>
                </w:rPr>
                <w:t>10.15**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Severance Pay Agreement for Key Employee between Asbury Automotive Group, Inc. and George A. Villasana, dated as of February 21, 2017 (incorporated by reference to Exhibit 10.12 to the Company's Annual Report on Form 10-K for the year ended December 31, 2016 filed on February 23, 2017)*</w:t>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0">
              <w:r>
                <w:rPr>
                  <w:rStyle w:val="InternetLink"/>
                  <w:rFonts w:ascii="Times New Roman;sans-serif" w:hAnsi="Times New Roman;sans-serif"/>
                  <w:b w:val="false"/>
                  <w:color w:val="0000FF"/>
                  <w:sz w:val="20"/>
                  <w:u w:val="single"/>
                </w:rPr>
                <w:t>10.16**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and Retirement Agreement between Asbury Automotive Group, Inc. and George A. Villasana, dated as of April 18, 2024 (incorporated by reference to Exhibit 10.1 to the Company's Current Report on Form 8-K filed with the SEC on April 19, 2024)*</w:t>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1017severancepayagreemen.htm">
              <w:r>
                <w:rPr>
                  <w:rStyle w:val="InternetLink"/>
                  <w:rFonts w:ascii="Times New Roman;sans-serif" w:hAnsi="Times New Roman;sans-serif"/>
                  <w:b w:val="false"/>
                  <w:color w:val="0000FF"/>
                  <w:sz w:val="20"/>
                  <w:u w:val="single"/>
                </w:rPr>
                <w:t>10.17**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 Pay Agreement for Key Employee between Asbury Automotive Group, Inc. and Miran Maric, dated as of March 8, 2022</w:t>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1">
              <w:r>
                <w:rPr>
                  <w:rStyle w:val="InternetLink"/>
                  <w:rFonts w:ascii="Times New Roman;sans-serif" w:hAnsi="Times New Roman;sans-serif"/>
                  <w:b w:val="false"/>
                  <w:color w:val="0000FF"/>
                  <w:sz w:val="20"/>
                  <w:u w:val="single"/>
                </w:rPr>
                <w:t>10.18**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 Equity and Incentive Plan (incorporated by reference to Appendix A to the Company's Definitive Proxy Statement on Schedule 14A filed with the SEC on March 14, 2019)*</w:t>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2">
              <w:r>
                <w:rPr>
                  <w:rStyle w:val="InternetLink"/>
                  <w:rFonts w:ascii="Times New Roman;sans-serif" w:hAnsi="Times New Roman;sans-serif"/>
                  <w:b w:val="false"/>
                  <w:color w:val="0000FF"/>
                  <w:sz w:val="20"/>
                  <w:u w:val="single"/>
                </w:rPr>
                <w:t>10.19**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Equity Award Agreement under the 2019 Equity and Incentive Plan (incorporated by reference to Exhibit 10.15 of the Company's Annual Report on Form 10-K for the year ended December 31, 2020 filed on March 1, 2021)*</w:t>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3">
              <w:r>
                <w:rPr>
                  <w:rStyle w:val="InternetLink"/>
                  <w:rFonts w:ascii="Times New Roman;sans-serif" w:hAnsi="Times New Roman;sans-serif"/>
                  <w:b w:val="false"/>
                  <w:color w:val="0000FF"/>
                  <w:sz w:val="20"/>
                  <w:u w:val="single"/>
                </w:rPr>
                <w:t>10.20**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Group, Inc. Deferred Compensation Plan (incorporated by reference to Exhibit 10.1 to the Company's Current Report on Form 8-K filed with the SEC on October 23, 2017)*</w:t>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4">
              <w:r>
                <w:rPr>
                  <w:rStyle w:val="InternetLink"/>
                  <w:rFonts w:ascii="Times New Roman;sans-serif" w:hAnsi="Times New Roman;sans-serif"/>
                  <w:b w:val="false"/>
                  <w:color w:val="0000FF"/>
                  <w:sz w:val="20"/>
                  <w:u w:val="single"/>
                </w:rPr>
                <w:t>10.21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Agreement, dated as of September 26, 2013, among Asbury Automotive Group, Inc., certain of the subsidiaries of Asbury Automotive Group, Inc. and Bank of America, N.A. (incorporated by reference to Exhibit 10.1 to the Company's Current Report on Form 8</w:t>
              <w:noBreakHyphen/>
              <w:t>K filed with the SEC on September 30, 2013)*</w:t>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5">
              <w:r>
                <w:rPr>
                  <w:rStyle w:val="InternetLink"/>
                  <w:rFonts w:ascii="Times New Roman;sans-serif" w:hAnsi="Times New Roman;sans-serif"/>
                  <w:b w:val="false"/>
                  <w:color w:val="0000FF"/>
                  <w:sz w:val="20"/>
                  <w:u w:val="single"/>
                </w:rPr>
                <w:t>10.22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Amended and Restated Credit Agreement, dated as of September 25, 2019, among Asbury Automotive Group, Inc., as a Borrower, certain of its subsidiaries, as Vehicle Borrowers, Bank of America, N.A., as Administrative Agent, Revolving Swing Line Lender, New Vehicle Floorplan Swing Line Lender, Used Vehicle Floorplan Swingline Lender and an L/C Issuer, and the other Lenders party thereto, JPMorgan Chase Bank, N.A. and Wells Fargo Bank, N.A., as Co-Syndication Agents, Mercedes-Benz Financial Services USA LLC and Toyota Motor Credit Corporation, as Co-Documentation Agents, and BofA Securities, Inc. as Sole Lead Arranger and Sole Bookrunner (incorporated by reference to Exhibit 10.1 to the Company's Current Report on Form 8-K filed with the SEC on September 26, 2019)*</w:t>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6">
              <w:r>
                <w:rPr>
                  <w:rStyle w:val="InternetLink"/>
                  <w:rFonts w:ascii="Times New Roman;sans-serif" w:hAnsi="Times New Roman;sans-serif"/>
                  <w:b w:val="false"/>
                  <w:color w:val="0000FF"/>
                  <w:sz w:val="20"/>
                  <w:u w:val="single"/>
                </w:rPr>
                <w:t>10.23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Amended and Restated Company Guaranty Agreement, dated as of September 25, 2019, between Asbury Automotive Group, Inc. and Bank of America, N.A., as Administrative Agent (incorporated by reference to Exhibit 10.2 to the Company's Current Report on Form 8-K filed with the SEC on September 26, 2019)*</w:t>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7">
              <w:r>
                <w:rPr>
                  <w:rStyle w:val="InternetLink"/>
                  <w:rFonts w:ascii="Times New Roman;sans-serif" w:hAnsi="Times New Roman;sans-serif"/>
                  <w:b w:val="false"/>
                  <w:color w:val="0000FF"/>
                  <w:sz w:val="20"/>
                  <w:u w:val="single"/>
                </w:rPr>
                <w:t>10.24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Amended and Restated Subsidiary Guaranty Agreement, dated as of September 25, 2019, among certain subsidiaries of Asbury Automotive Group, Inc. and Bank of America, N.A., as Administrative Agent (incorporated by reference to Exhibit 10.3 to the Company's Current Report on Form 8-K filed with the SEC on September 26, 2019)*</w:t>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8">
              <w:r>
                <w:rPr>
                  <w:rStyle w:val="InternetLink"/>
                  <w:rFonts w:ascii="Times New Roman;sans-serif" w:hAnsi="Times New Roman;sans-serif"/>
                  <w:b w:val="false"/>
                  <w:color w:val="0000FF"/>
                  <w:sz w:val="20"/>
                  <w:u w:val="single"/>
                </w:rPr>
                <w:t>10.25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Amended and Restated Security Agreement, dated as of September 25, 2019, among Asbury Automotive Group, Inc., certain of its subsidiaries and Bank of America, N.A., as Administrative Agent (incorporated by reference to Exhibit 10.4 to the Company's Current Report on Form 8-K filed with the SEC on September 26, 2019)*</w:t>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9">
              <w:r>
                <w:rPr>
                  <w:rStyle w:val="InternetLink"/>
                  <w:rFonts w:ascii="Times New Roman;sans-serif" w:hAnsi="Times New Roman;sans-serif"/>
                  <w:b w:val="false"/>
                  <w:color w:val="0000FF"/>
                  <w:sz w:val="20"/>
                  <w:u w:val="single"/>
                </w:rPr>
                <w:t>10.26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Amended and Restated Escrow and Security Agreement, dated as of September 25, 2019, among Asbury Automotive Group, Inc., certain of its subsidiaries and Bank of America, N.A., as Administrative Agent (incorporated by reference to Exhibit 10.5 to the Company's Current Report on Form 8-K filed with the SEC on September 26, 2019)*</w:t>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0">
              <w:r>
                <w:rPr>
                  <w:rStyle w:val="InternetLink"/>
                  <w:rFonts w:ascii="Times New Roman;sans-serif" w:hAnsi="Times New Roman;sans-serif"/>
                  <w:b w:val="false"/>
                  <w:color w:val="0000FF"/>
                  <w:sz w:val="20"/>
                  <w:u w:val="single"/>
                </w:rPr>
                <w:t>10.27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Amended and Restated Securities Pledge Agreement, dated as of September 25, 2019, among Asbury Automotive Group, Inc., certain of its subsidiaries and Bank of America, N.A., as Administrative Agent (incorporated by reference to Exhibit 10.6 to the Company's Current Report on Form 8-K filed with the SEC on September 26, 2019)*</w:t>
            </w:r>
          </w:p>
        </w:tc>
      </w:tr>
      <w:tr>
        <w:trPr/>
        <w:tc>
          <w:tcPr>
            <w:tcW w:w="6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1">
              <w:r>
                <w:rPr>
                  <w:rStyle w:val="InternetLink"/>
                  <w:rFonts w:ascii="Times New Roman;sans-serif" w:hAnsi="Times New Roman;sans-serif"/>
                  <w:b w:val="false"/>
                  <w:color w:val="0000FF"/>
                  <w:sz w:val="20"/>
                  <w:u w:val="single"/>
                </w:rPr>
                <w:t>10.28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Amendment to Third Amended and Restated Credit Agreement, dated January 31, 2020, among Asbury Automotive Group, Inc., as a borrower, certain of its subsidiaries, as Vehicle Borrowers, Bank of America, N.A., as Administrative Agent, Revolving Swing Line Lender, New Vehicle Floorplan Swing Line Lender, Used Vehicle Floorplan Swingline Lender and an L/C Issuer, and the other lenders party thereto, JPMorgan Chase Bank, N.A. and Wells Fargo Bank, N.A., as Co-Syndication Agents, Mercedes-Benz Financial Services USA LLC and Toyota Motor Credit Corporation, as Co-Documentation Agents, and BofA Securities, Inc. as Sole Lead Arranger and Sole Bookrunner (incorporated by reference to Exhibit 10.1 to the Company's Current Report on Form 8-K filed with the SEC on February 3, 2020)*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27"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12"/>
        <w:gridCol w:w="186"/>
        <w:gridCol w:w="188"/>
        <w:gridCol w:w="109"/>
        <w:gridCol w:w="109"/>
        <w:gridCol w:w="109"/>
        <w:gridCol w:w="2918"/>
        <w:gridCol w:w="2640"/>
        <w:gridCol w:w="3734"/>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8"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3734"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2">
              <w:r>
                <w:rPr>
                  <w:rStyle w:val="InternetLink"/>
                  <w:rFonts w:ascii="Times New Roman;sans-serif" w:hAnsi="Times New Roman;sans-serif"/>
                  <w:b w:val="false"/>
                  <w:color w:val="0000FF"/>
                  <w:sz w:val="20"/>
                  <w:u w:val="single"/>
                </w:rPr>
                <w:t>10.29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Amendment to Third Amended and Restated Credit Agreement, dated August 10, 2020, among Asbury Automotive Group, Inc., as a borrower, certain of its subsidiaries, as vehicle borrowers, the other guarantors party thereto, the other lenders party thereto and Bank of America, N.A., as administrative agent, revolving swing line lender, new vehicle floorplan swing line lender, used vehicle floorplan swing line lender and an l/c issuer (incorporated by reference to Exhibit 10.1 to the Company's Quarterly Report on Form 10-Q for the quarter ended September 30, 2020 filed on November 3, 2020)*</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3">
              <w:r>
                <w:rPr>
                  <w:rStyle w:val="InternetLink"/>
                  <w:rFonts w:ascii="Times New Roman;sans-serif" w:hAnsi="Times New Roman;sans-serif"/>
                  <w:b w:val="false"/>
                  <w:color w:val="0000FF"/>
                  <w:sz w:val="20"/>
                  <w:u w:val="single"/>
                </w:rPr>
                <w:t>10.30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Amendment to Third Amended and Restated Credit Agreement, dated October 29, 2021, among Asbury Automotive Group, Inc., as a borrower, certain of its subsidiaries, as vehicle borrowers, Bank of America, N.A., as administrative agent, revolving swing line lender, new vehicle floorplan swing line lender, used vehicle floorplan swingline lender and an L/C issuer, and the other lenders party thereto, JPMorgan Chase Bank, N.A. and Wells Fargo Bank, N.A., as co-syndication agents, Mercedes-Benz Financial Services USA LLC and Toyota Motor Credit Corporation, as co-documentation agents, and BofA Securities, Inc. as sole lead arranger and sole bookrunner (incorporated by reference to Exhibit 10.28 of the Company's Annual Report on Form 10-K for the year ended December 31, 2021 filed on March 1, 2022)*</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4">
              <w:r>
                <w:rPr>
                  <w:rStyle w:val="InternetLink"/>
                  <w:rFonts w:ascii="Times New Roman;sans-serif" w:hAnsi="Times New Roman;sans-serif"/>
                  <w:b w:val="false"/>
                  <w:color w:val="0000FF"/>
                  <w:sz w:val="20"/>
                  <w:u w:val="single"/>
                </w:rPr>
                <w:t>10.31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Fourth Amendment to Third Amended and Restated Credit Agreement, dated as of May 25, 2022, among Asbury Automotive Group, Inc., as a borrower, certain of its subsidiaries, as vehicle borrowers, the guarantors party thereto, Bank of America, N.A., as administrative agent, revolving swing line lender, new vehicle floorplan swing line lender, used vehicle floorplan swingline lender and an L/C issuer, and the other lenders party thereto (incorporated by reference to Exhibit 10.2 to the Company's Quarterly Report on Form 10-Q for the quarter ended June 30, 2022 filed on July 28, 2022)*</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5">
              <w:r>
                <w:rPr>
                  <w:rStyle w:val="InternetLink"/>
                  <w:rFonts w:ascii="Times New Roman;sans-serif" w:hAnsi="Times New Roman;sans-serif"/>
                  <w:b w:val="false"/>
                  <w:color w:val="0000FF"/>
                  <w:sz w:val="20"/>
                  <w:u w:val="single"/>
                </w:rPr>
                <w:t>10.32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Fifth Amendment to Third Amended and Restated Credit Agreement, dated as of September 30,2022 among Asbury Automotive Group, Inc., as a borrower, certain of its subsidiaries, as vehicle borrowers, Bank of America, N.A., as administrative agent, revolving swing line lender, new vehicle floorplan swing line lender, used vehicle floorplan swingline lender and an l/c issuer, and the other lenders party thereto, JPMorgan Chase Bank, N.A. and Wells Fargo Bank, N.A., as co-syndication agents, Mercedes-Benz Financial Services USA LLC and Toyota Motor Credit Corporation, as co-documentation agents, and BofA Securities, Inc. as sole lead arranger and sole bookrunner (incorporated by reference to Exhibit 10.1 of the Company's Current Report on Form 8-K filed on October 4, 2022)*</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1033bofaasburyautomotive.htm">
              <w:r>
                <w:rPr>
                  <w:rStyle w:val="InternetLink"/>
                  <w:rFonts w:ascii="Times New Roman;sans-serif" w:hAnsi="Times New Roman;sans-serif"/>
                  <w:b w:val="false"/>
                  <w:color w:val="0000FF"/>
                  <w:sz w:val="20"/>
                  <w:u w:val="single"/>
                </w:rPr>
                <w:t>10.33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Fourth Amended and Restated Credit Agreement, dated as of October 20, 2023, by and among Asbury Automotive Group, Inc., as a borrower, certain of its subsidiaries, as vehicle borrowers, Bank of America, N.A., as administrative agent, revolving swing line lender, new vehicle floorplan swing line lender, used vehicle floorplan swingline lender and an L/C issuer, and the other lenders party thereto, JPMorgan Chase Bank, N.A. and Wells Fargo Bank, N.A., as co-syndication agents, Mercedes-Benz Financial Services USA LLC and Toyota Motor Credit Corporation, as co-documentation agents, and BofA Securities, Inc. as sole lead arranger and sole bookrunner</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6">
              <w:r>
                <w:rPr>
                  <w:rStyle w:val="InternetLink"/>
                  <w:rFonts w:ascii="Times New Roman;sans-serif" w:hAnsi="Times New Roman;sans-serif"/>
                  <w:b w:val="false"/>
                  <w:color w:val="0000FF"/>
                  <w:sz w:val="20"/>
                  <w:u w:val="single"/>
                </w:rPr>
                <w:t>10.34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Master Loan Agreement, dated as of February 3, 2015, by and among certain subsidiaries of Asbury Automotive Group, Inc. and Wells Fargo Bank, National Association (incorporated by reference to Exhibit 10.1 to the Company's Current Report on Form 8-K filed with the SEC on February 4, 2015)*</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7">
              <w:r>
                <w:rPr>
                  <w:rStyle w:val="InternetLink"/>
                  <w:rFonts w:ascii="Times New Roman;sans-serif" w:hAnsi="Times New Roman;sans-serif"/>
                  <w:b w:val="false"/>
                  <w:color w:val="0000FF"/>
                  <w:sz w:val="20"/>
                  <w:u w:val="single"/>
                </w:rPr>
                <w:t>10.35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Amended and Restated Unconditional Guaranty, dated as of February 3, 2015, by and between Asbury Automotive Group, Inc. and Wells Fargo Bank, National Association (incorporated by reference to Exhibit 10.2 to the Company's Current Report on Form 8-K filed with the SEC on February 4, 2015)*</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8">
              <w:r>
                <w:rPr>
                  <w:rStyle w:val="InternetLink"/>
                  <w:rFonts w:ascii="Times New Roman;sans-serif" w:hAnsi="Times New Roman;sans-serif"/>
                  <w:b w:val="false"/>
                  <w:color w:val="0000FF"/>
                  <w:sz w:val="20"/>
                  <w:u w:val="single"/>
                </w:rPr>
                <w:t>10.36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Agreement, dated as of November 13, 2018, among Asbury Automotive Group, Inc., certain subsidiaries of Asbury Automotive Group, Inc. and Bank of America, N.A. (incorporated by reference to Exhibit 10.33 to the Company's Annual Report on Form 10-K for the year ended December 31, 2018 filed on February 28, 2019)*</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9">
              <w:r>
                <w:rPr>
                  <w:rStyle w:val="InternetLink"/>
                  <w:rFonts w:ascii="Times New Roman;sans-serif" w:hAnsi="Times New Roman;sans-serif"/>
                  <w:b w:val="false"/>
                  <w:color w:val="0000FF"/>
                  <w:sz w:val="20"/>
                  <w:u w:val="single"/>
                </w:rPr>
                <w:t>10.37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Master Loan Agreement, dated as of November 16, 2018, by and among certain subsidiaries of Asbury Automotive Group, Inc. and Wells Fargo Bank, National Association (incorporated by reference to Exhibit 10.34 to the Company's Annual Report on Form 10-K for the year ended December 31, 2018 filed on February 28, 2019)*</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0">
              <w:r>
                <w:rPr>
                  <w:rStyle w:val="InternetLink"/>
                  <w:rFonts w:ascii="Times New Roman;sans-serif" w:hAnsi="Times New Roman;sans-serif"/>
                  <w:b w:val="false"/>
                  <w:color w:val="0000FF"/>
                  <w:sz w:val="20"/>
                  <w:u w:val="single"/>
                </w:rPr>
                <w:t>10.38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Unconditional Guaranty, dated as of November 16, 2018, between Asbury Automotive Group, Inc. and Wells Fargo Bank, National Association (incorporated by reference to Exhibit 10.35 to the Company's Annual Report on Form 10-K for the year ended December 31, 2018 filed on February 28, 2019)*</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1">
              <w:r>
                <w:rPr>
                  <w:rStyle w:val="InternetLink"/>
                  <w:rFonts w:ascii="Times New Roman;sans-serif" w:hAnsi="Times New Roman;sans-serif"/>
                  <w:b w:val="false"/>
                  <w:color w:val="0000FF"/>
                  <w:sz w:val="20"/>
                  <w:u w:val="single"/>
                </w:rPr>
                <w:t>10.39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Amendment to Master Loan Agreement, dated as of December 31, 2019, by and among certain subsidiaries of Asbury Automotive Group, Inc. and Wells Fargo Bank, National Association (incorporated by reference to Exhibit 10.41 to the Company's Annual Report on Form 10-K for the year ended December 31, 2019 filed on March 2, 2020)*</w:t>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2">
              <w:r>
                <w:rPr>
                  <w:rStyle w:val="InternetLink"/>
                  <w:rFonts w:ascii="Times New Roman;sans-serif" w:hAnsi="Times New Roman;sans-serif"/>
                  <w:b w:val="false"/>
                  <w:color w:val="0000FF"/>
                  <w:sz w:val="20"/>
                  <w:u w:val="single"/>
                </w:rPr>
                <w:t>10.40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Amendment to Master Loan Agreement, dated as of June 1, 2022, by and among certain subsidiaries of Asbury Automotive Group, Inc. and Wells Fargo Bank, National Association (incorporated by reference to Exhibit 10.3 to the Company's Quarterly Report on Form 10-Q for the quarter ended June 30, 2022 filed on July 28, 2022)*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28"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32"/>
        <w:gridCol w:w="203"/>
        <w:gridCol w:w="205"/>
        <w:gridCol w:w="109"/>
        <w:gridCol w:w="109"/>
        <w:gridCol w:w="109"/>
        <w:gridCol w:w="2807"/>
        <w:gridCol w:w="2663"/>
        <w:gridCol w:w="3768"/>
      </w:tblGrid>
      <w:tr>
        <w:trPr/>
        <w:tc>
          <w:tcPr>
            <w:tcW w:w="23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3768" w:type="dxa"/>
            <w:tcBorders/>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3">
              <w:r>
                <w:rPr>
                  <w:rStyle w:val="InternetLink"/>
                  <w:rFonts w:ascii="Times New Roman;sans-serif" w:hAnsi="Times New Roman;sans-serif"/>
                  <w:b w:val="false"/>
                  <w:color w:val="0000FF"/>
                  <w:sz w:val="20"/>
                  <w:u w:val="single"/>
                </w:rPr>
                <w:t>10.41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Commitment Letter, dated as of December, 30, 2019, by and among Asbury Automotive Group, Inc., Bank of America, N.A., BofA Securities, Inc., JPMorgan Chase Bank, N.A., Wells Fargo Securities, LLC, Wells Fargo Bank, National Association, Santander Bank, N.A., SunTrust Robinson Humphrey, Inc., Trust Bank and U.S. Bank National Association (incorporated by reference to Exhibit 10.43 to the Company's Annual Report on Form 10-K for the year ended December 31, 2019)*</w:t>
            </w:r>
          </w:p>
        </w:tc>
      </w:tr>
      <w:tr>
        <w:trPr/>
        <w:tc>
          <w:tcPr>
            <w:tcW w:w="64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4">
              <w:r>
                <w:rPr>
                  <w:rStyle w:val="InternetLink"/>
                  <w:rFonts w:ascii="Times New Roman;sans-serif" w:hAnsi="Times New Roman;sans-serif"/>
                  <w:b w:val="false"/>
                  <w:color w:val="0000FF"/>
                  <w:sz w:val="20"/>
                  <w:u w:val="single"/>
                </w:rPr>
                <w:t>10.42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Agreement, dated May 10, 2021, by and among Asbury Automotive Group, Inc., certain subsidiaries party thereto, the various financial institutions party thereto as lenders, and Bank of America, N.A., as administrative agent (incorporated by reference to Exhibit 10.1 of the Company's Current Report on Form 8-K filed on May 20, 2021)*</w:t>
            </w:r>
          </w:p>
        </w:tc>
      </w:tr>
      <w:tr>
        <w:trPr/>
        <w:tc>
          <w:tcPr>
            <w:tcW w:w="64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5">
              <w:r>
                <w:rPr>
                  <w:rStyle w:val="InternetLink"/>
                  <w:rFonts w:ascii="Times New Roman;sans-serif" w:hAnsi="Times New Roman;sans-serif"/>
                  <w:b w:val="false"/>
                  <w:color w:val="0000FF"/>
                  <w:sz w:val="20"/>
                  <w:u w:val="single"/>
                </w:rPr>
                <w:t>10.43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Amendment to Amended and Restated Master Loan Agreement, dated as of June 1, 2022, by and among certain subsidiaries of Asbury Automotive Group, Inc. and Wells Fargo Bank, National Association (incorporated by reference to Exhibit 10.5 to the Company's Quarterly Report on Form 10-Q for the quarter ended June 30, 2022 filed on July 28, 2022)*</w:t>
            </w:r>
          </w:p>
        </w:tc>
      </w:tr>
      <w:tr>
        <w:trPr/>
        <w:tc>
          <w:tcPr>
            <w:tcW w:w="64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6">
              <w:r>
                <w:rPr>
                  <w:rStyle w:val="InternetLink"/>
                  <w:rFonts w:ascii="Times New Roman;sans-serif" w:hAnsi="Times New Roman;sans-serif"/>
                  <w:b w:val="false"/>
                  <w:color w:val="0000FF"/>
                  <w:sz w:val="20"/>
                  <w:u w:val="single"/>
                </w:rPr>
                <w:t>10.44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Amendment to Credit Agreement, dated as of May 25, 2022, among Asbury Automotive Group, Inc., as borrower, certain of subsidiaries of Asbury Automotive Group, Inc. and Bank of America, N.A. (incorporated by reference to Exhibit 10.1 to the Company's Quarterly Report on Form 10-Q for the quarter ended June 30, 2022 filed on July 28, 2022)*</w:t>
            </w:r>
          </w:p>
        </w:tc>
      </w:tr>
      <w:tr>
        <w:trPr/>
        <w:tc>
          <w:tcPr>
            <w:tcW w:w="64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7">
              <w:r>
                <w:rPr>
                  <w:rStyle w:val="InternetLink"/>
                  <w:rFonts w:ascii="Times New Roman;sans-serif" w:hAnsi="Times New Roman;sans-serif"/>
                  <w:b w:val="false"/>
                  <w:color w:val="0000FF"/>
                  <w:sz w:val="20"/>
                  <w:u w:val="single"/>
                </w:rPr>
                <w:t>10.45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Amendment to Credit Agreement, dated as of May 25, 2022, among Asbury Automotive Group, Inc., as borrower, certain subsidiaries of Asbury Automotive Group, Inc. and Bank of America, N.A. (incorporated by reference to Exhibit 10.4 to the Company's Quarterly Report on Form 10-Q for the quarter ended June 30, 2022 filed on July 28, 2022)*</w:t>
            </w:r>
          </w:p>
        </w:tc>
      </w:tr>
      <w:tr>
        <w:trPr/>
        <w:tc>
          <w:tcPr>
            <w:tcW w:w="64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8">
              <w:r>
                <w:rPr>
                  <w:rStyle w:val="InternetLink"/>
                  <w:rFonts w:ascii="Times New Roman;sans-serif" w:hAnsi="Times New Roman;sans-serif"/>
                  <w:b w:val="false"/>
                  <w:color w:val="0000FF"/>
                  <w:sz w:val="20"/>
                  <w:u w:val="single"/>
                </w:rPr>
                <w:t>10.46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Amendment to Credit Agreement, dated as of May 25, 2022, by and among Asbury Automotive Group, Inc., certain subsidiaries party thereto as borrowers, the guarantors party thereto, the lenders party thereto, and Bank of America, N.A., as administrative agent (incorporated by reference to Exhibit 10.6 to the Company's Quarterly Report on Form 10-Q for the quarter ended June 30, 2022 filed on July 28, 2022)*</w:t>
            </w:r>
          </w:p>
        </w:tc>
      </w:tr>
      <w:tr>
        <w:trPr/>
        <w:tc>
          <w:tcPr>
            <w:tcW w:w="64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191insidertradingpolicy.htm">
              <w:r>
                <w:rPr>
                  <w:rStyle w:val="InternetLink"/>
                  <w:rFonts w:ascii="Times New Roman;sans-serif" w:hAnsi="Times New Roman;sans-serif"/>
                  <w:b w:val="false"/>
                  <w:color w:val="0000FF"/>
                  <w:sz w:val="20"/>
                  <w:u w:val="single"/>
                </w:rPr>
                <w:t>19.1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Group, Inc. Insider Trading Policy</w:t>
            </w:r>
          </w:p>
        </w:tc>
      </w:tr>
      <w:tr>
        <w:trPr/>
        <w:tc>
          <w:tcPr>
            <w:tcW w:w="64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21listofsubsidiaries2024.htm">
              <w:r>
                <w:rPr>
                  <w:rStyle w:val="InternetLink"/>
                  <w:rFonts w:ascii="Times New Roman;sans-serif" w:hAnsi="Times New Roman;sans-serif"/>
                  <w:b w:val="false"/>
                  <w:color w:val="0000FF"/>
                  <w:sz w:val="20"/>
                  <w:u w:val="single"/>
                </w:rPr>
                <w:t>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Subsidiaries of the Company</w:t>
            </w:r>
          </w:p>
        </w:tc>
      </w:tr>
      <w:tr>
        <w:trPr/>
        <w:tc>
          <w:tcPr>
            <w:tcW w:w="64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231consentofeyllp2024.htm">
              <w:r>
                <w:rPr>
                  <w:rStyle w:val="InternetLink"/>
                  <w:rFonts w:ascii="Times New Roman;sans-serif" w:hAnsi="Times New Roman;sans-serif"/>
                  <w:b w:val="false"/>
                  <w:color w:val="0000FF"/>
                  <w:sz w:val="20"/>
                  <w:u w:val="single"/>
                </w:rPr>
                <w:t>23.1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Consent of Ernst &amp; Young LLP</w:t>
            </w:r>
          </w:p>
        </w:tc>
      </w:tr>
      <w:tr>
        <w:trPr/>
        <w:tc>
          <w:tcPr>
            <w:tcW w:w="64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11section302ceocertific.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Chief Executive Officer pursuant to Rule 13a-14(a)/15d-14(a) of the Securities Exchange Act of 1934, as adopted pursuant to Section 302 of the Sarbanes-Oxley Act of 2002</w:t>
            </w:r>
          </w:p>
        </w:tc>
      </w:tr>
      <w:tr>
        <w:trPr/>
        <w:tc>
          <w:tcPr>
            <w:tcW w:w="64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12section302cfocertific.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Chief Financial Officer pursuant to Rule 13a-14(a)/15d-14(a) of the Securities Exchange Act of 1934, as adopted pursuant to Section 302 of the Sarbanes-Oxley Act of 2002</w:t>
            </w:r>
          </w:p>
        </w:tc>
      </w:tr>
      <w:tr>
        <w:trPr/>
        <w:tc>
          <w:tcPr>
            <w:tcW w:w="64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21section906ceocertific.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Chief Executive Officer pursuant to 18 U.S.C. Section 1350, as adopted pursuant to Section 906 of the Sarbanes-Oxley Act of 2002</w:t>
            </w:r>
          </w:p>
        </w:tc>
      </w:tr>
      <w:tr>
        <w:trPr/>
        <w:tc>
          <w:tcPr>
            <w:tcW w:w="64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22section906cfocertific.htm">
              <w:r>
                <w:rPr>
                  <w:rStyle w:val="InternetLink"/>
                  <w:rFonts w:ascii="Times New Roman;sans-serif" w:hAnsi="Times New Roman;sans-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Chief Financial Officer pursuant to 18 U.S.C. Section 1350, as adopted pursuant to Section 906 of the Sarbanes-Oxley Act of 2002</w:t>
            </w:r>
          </w:p>
        </w:tc>
      </w:tr>
      <w:tr>
        <w:trPr/>
        <w:tc>
          <w:tcPr>
            <w:tcW w:w="64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9">
              <w:r>
                <w:rPr>
                  <w:rStyle w:val="InternetLink"/>
                  <w:rFonts w:ascii="Times New Roman;sans-serif" w:hAnsi="Times New Roman;sans-serif"/>
                  <w:b w:val="false"/>
                  <w:color w:val="0000FF"/>
                  <w:sz w:val="20"/>
                  <w:u w:val="single"/>
                </w:rPr>
                <w:t>97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Group, Inc. Recoupment Policy (incorporated by reference to Exhibit 97 to the Company’s Annual Report on Form 10-K for the year ended December 31, 2023 filed on February 29, 2024)*</w:t>
            </w:r>
          </w:p>
        </w:tc>
      </w:tr>
      <w:tr>
        <w:trPr/>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r>
      <w:tr>
        <w:trPr/>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r>
      <w:tr>
        <w:trPr/>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cover page from Asbury Automotive Group, Inc.'s Annual Report on Form 10-K for the fiscal year ended December 31, 2024 has been formatted in Inline XBRL.</w:t>
            </w:r>
          </w:p>
        </w:tc>
      </w:tr>
      <w:tr>
        <w:trPr/>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w:t>
            </w:r>
          </w:p>
        </w:tc>
      </w:tr>
      <w:tr>
        <w:trPr/>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 or compensatory plan or arrangement.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before="0" w:after="0"/>
        <w:ind w:left="0" w:right="0" w:hanging="1440"/>
        <w:jc w:val="left"/>
        <w:rPr/>
      </w:pPr>
      <w:r>
        <w:rPr/>
      </w:r>
    </w:p>
    <w:p>
      <w:pPr>
        <w:pStyle w:val="TextBody"/>
        <w:bidi w:val="0"/>
        <w:spacing w:lineRule="auto" w:line="288" w:before="0" w:after="0"/>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29"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v:textbox>
                <w10:wrap type="none"/>
              </v:rect>
            </w:pict>
          </mc:Fallback>
        </mc:AlternateContent>
      </w:r>
    </w:p>
    <w:p>
      <w:pPr>
        <w:pStyle w:val="TextBody"/>
        <w:bidi w:val="0"/>
        <w:spacing w:lineRule="auto" w:line="288" w:before="0" w:after="0"/>
        <w:jc w:val="left"/>
        <w:rPr/>
      </w:pPr>
      <w:hyperlink w:anchor="i970a854aaee8422dbfe3629dd4ba30c0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6955"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297"/>
        <w:gridCol w:w="297"/>
        <w:gridCol w:w="297"/>
        <w:gridCol w:w="297"/>
        <w:gridCol w:w="297"/>
        <w:gridCol w:w="297"/>
        <w:gridCol w:w="882"/>
        <w:gridCol w:w="882"/>
        <w:gridCol w:w="126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Asbury Automotive Group,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26, 2025</w:t>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W. Hult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David W. Hult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Title:</w:t>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Chief Executive Officer and President</w:t>
            </w:r>
          </w:p>
        </w:tc>
      </w:tr>
    </w:tbl>
    <w:p>
      <w:pPr>
        <w:pStyle w:val="TextBody"/>
        <w:bidi w:val="0"/>
        <w:spacing w:lineRule="auto" w:line="288" w:before="80" w:after="283"/>
        <w:ind w:left="0" w:right="0" w:firstLine="31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8632" w:type="dxa"/>
        <w:jc w:val="left"/>
        <w:tblInd w:w="0" w:type="dxa"/>
        <w:tblLayout w:type="fixed"/>
        <w:tblCellMar>
          <w:top w:w="28" w:type="dxa"/>
          <w:left w:w="28" w:type="dxa"/>
          <w:bottom w:w="28" w:type="dxa"/>
          <w:right w:w="28" w:type="dxa"/>
        </w:tblCellMar>
      </w:tblPr>
      <w:tblGrid>
        <w:gridCol w:w="874"/>
        <w:gridCol w:w="767"/>
        <w:gridCol w:w="773"/>
        <w:gridCol w:w="109"/>
        <w:gridCol w:w="109"/>
        <w:gridCol w:w="109"/>
        <w:gridCol w:w="1359"/>
        <w:gridCol w:w="1359"/>
        <w:gridCol w:w="1377"/>
        <w:gridCol w:w="109"/>
        <w:gridCol w:w="109"/>
        <w:gridCol w:w="109"/>
        <w:gridCol w:w="428"/>
        <w:gridCol w:w="428"/>
        <w:gridCol w:w="613"/>
      </w:tblGrid>
      <w:tr>
        <w:trPr/>
        <w:tc>
          <w:tcPr>
            <w:tcW w:w="87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Date</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W. Hult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President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26, 2025</w:t>
            </w:r>
          </w:p>
        </w:tc>
      </w:tr>
      <w:tr>
        <w:trPr/>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(David W. Hult)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D. Welch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26, 2025</w:t>
            </w:r>
          </w:p>
        </w:tc>
      </w:tr>
      <w:tr>
        <w:trPr/>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(Michael D. Welch)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Nathan E. Briesemeister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Vice President, Chief Accounting Officer and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26, 2025</w:t>
            </w:r>
          </w:p>
        </w:tc>
      </w:tr>
      <w:tr>
        <w:trPr/>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(Nathan E. Briesemeister)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Controller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Thomas J. Reddin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26, 2025</w:t>
            </w:r>
          </w:p>
        </w:tc>
      </w:tr>
      <w:tr>
        <w:trPr/>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(Thomas J. Reddin)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Non-Executive Chairman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Joel Alsfine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26, 2025</w:t>
            </w:r>
          </w:p>
        </w:tc>
      </w:tr>
      <w:tr>
        <w:trPr/>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(Joel Alsfine)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William D. Fay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26, 2025</w:t>
            </w:r>
          </w:p>
        </w:tc>
      </w:tr>
      <w:tr>
        <w:trPr/>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(William D. Fay)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Juanita T. James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26, 2025</w:t>
            </w:r>
          </w:p>
        </w:tc>
      </w:tr>
      <w:tr>
        <w:trPr/>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(Juanita T. James)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Philip F. Maritz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26, 2025</w:t>
            </w:r>
          </w:p>
        </w:tc>
      </w:tr>
      <w:tr>
        <w:trPr/>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(Philip F. Maritz)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Maureen F. Morrison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26, 2025</w:t>
            </w:r>
          </w:p>
        </w:tc>
      </w:tr>
      <w:tr>
        <w:trPr/>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(Maureen F. Morrison)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Shamla Naidoo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26, 2025</w:t>
            </w:r>
          </w:p>
        </w:tc>
      </w:tr>
      <w:tr>
        <w:trPr/>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(Shamla Naidoo)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Bridget M. Ryan-Berman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26, 2025</w:t>
            </w:r>
          </w:p>
        </w:tc>
      </w:tr>
      <w:tr>
        <w:trPr/>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(Bridget M. Ryan-Berman)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Hilliard C. Terry,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26, 2025</w:t>
            </w:r>
          </w:p>
        </w:tc>
      </w:tr>
      <w:tr>
        <w:trPr/>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(Hilliard C. Terry,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0"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10.11</w:t>
      </w:r>
    </w:p>
    <w:p>
      <w:pPr>
        <w:pStyle w:val="TextBody"/>
        <w:bidi w:val="0"/>
        <w:spacing w:before="0" w:after="0"/>
        <w:jc w:val="left"/>
        <w:rPr/>
      </w:pPr>
      <w:r>
        <w:rPr/>
        <w:drawing>
          <wp:inline distT="0" distB="0" distL="0" distR="0">
            <wp:extent cx="2524125" cy="809625"/>
            <wp:effectExtent l="0" t="0" r="0" b="0"/>
            <wp:docPr id="13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3" descr=""/>
                    <pic:cNvPicPr>
                      <a:picLocks noChangeAspect="1" noChangeArrowheads="1"/>
                    </pic:cNvPicPr>
                  </pic:nvPicPr>
                  <pic:blipFill>
                    <a:blip r:embed="rId70"/>
                    <a:stretch>
                      <a:fillRect/>
                    </a:stretch>
                  </pic:blipFill>
                  <pic:spPr bwMode="auto">
                    <a:xfrm>
                      <a:off x="0" y="0"/>
                      <a:ext cx="2524125" cy="809625"/>
                    </a:xfrm>
                    <a:prstGeom prst="rect">
                      <a:avLst/>
                    </a:prstGeom>
                  </pic:spPr>
                </pic:pic>
              </a:graphicData>
            </a:graphic>
          </wp:inline>
        </w:drawing>
      </w:r>
    </w:p>
    <w:p>
      <w:pPr>
        <w:pStyle w:val="TextBody"/>
        <w:bidi w:val="0"/>
        <w:spacing w:before="17" w:after="283"/>
        <w:jc w:val="left"/>
        <w:rPr/>
      </w:pPr>
      <w:r>
        <w:rPr/>
      </w:r>
    </w:p>
    <w:p>
      <w:pPr>
        <w:pStyle w:val="TextBody"/>
        <w:bidi w:val="0"/>
        <w:spacing w:lineRule="auto" w:line="288" w:before="0" w:after="0"/>
        <w:ind w:left="0" w:right="0" w:hanging="574"/>
        <w:jc w:val="left"/>
        <w:rPr>
          <w:rFonts w:ascii="Times New Roman;sans-serif" w:hAnsi="Times New Roman;sans-serif"/>
          <w:b/>
          <w:color w:val="000000"/>
          <w:sz w:val="24"/>
        </w:rPr>
      </w:pPr>
      <w:r>
        <w:rPr>
          <w:rFonts w:ascii="Times New Roman;sans-serif" w:hAnsi="Times New Roman;sans-serif"/>
          <w:b/>
          <w:color w:val="000000"/>
          <w:sz w:val="24"/>
        </w:rPr>
        <w:t>SEVERANCE PAY AGREEMENT FOR KEY EMPLOYEE</w:t>
      </w:r>
    </w:p>
    <w:p>
      <w:pPr>
        <w:pStyle w:val="TextBody"/>
        <w:bidi w:val="0"/>
        <w:spacing w:lineRule="auto" w:line="288" w:before="274"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is entered into as of October 21, 2021 (the “Effective Date”) between Asbury Automotive Group, Inc. (“Asbury”) and Michael Welch (“Executive”).</w:t>
      </w:r>
    </w:p>
    <w:p>
      <w:pPr>
        <w:pStyle w:val="TextBody"/>
        <w:bidi w:val="0"/>
        <w:spacing w:lineRule="auto" w:line="288" w:before="276"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CONSIDERATION of the promises and mutual covenants and agreements contained herein, the Asbury and Executive agree as follows:</w:t>
      </w:r>
    </w:p>
    <w:p>
      <w:pPr>
        <w:pStyle w:val="TextBody"/>
        <w:bidi w:val="0"/>
        <w:spacing w:before="2" w:after="283"/>
        <w:jc w:val="left"/>
        <w:rPr/>
      </w:pPr>
      <w:r>
        <w:rPr/>
      </w:r>
    </w:p>
    <w:p>
      <w:pPr>
        <w:pStyle w:val="TextBody"/>
        <w:bidi w:val="0"/>
        <w:spacing w:lineRule="auto" w:line="288" w:before="0" w:after="0"/>
        <w:ind w:left="0" w:right="0" w:hanging="719"/>
        <w:jc w:val="left"/>
        <w:rPr>
          <w:rFonts w:ascii="Times New Roman;sans-serif" w:hAnsi="Times New Roman;sans-serif"/>
          <w:b/>
          <w:color w:val="000000"/>
          <w:sz w:val="24"/>
        </w:rPr>
      </w:pPr>
      <w:r>
        <w:rPr>
          <w:rFonts w:ascii="Times New Roman;sans-serif" w:hAnsi="Times New Roman;sans-serif"/>
          <w:b/>
          <w:color w:val="000000"/>
          <w:sz w:val="24"/>
        </w:rPr>
        <w:t>1.Severance Pay Arrangement</w:t>
      </w:r>
    </w:p>
    <w:p>
      <w:pPr>
        <w:pStyle w:val="TextBody"/>
        <w:bidi w:val="0"/>
        <w:spacing w:lineRule="auto" w:line="288" w:before="274"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a Termination (as defined in Section 2 below) of Executive’s employment occurs at any time during Executive’s employment, Asbury will pay Executive 12 months of Executive’s base salary as of the date of Termination (hereinafter such pay shall be referred to as “Severance Pay”). The Severance Pay will be subject to required withholding and will be made by Asbury to Executive monthly over the course of 12 months on the regular payroll dates beginning on the first regular payroll date after the effective date of the release referenced in Section B below that Executive executes.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to the payment of Severance Pay, if a Termination (as defined in Section 2 below) of Executive’s employment occurs at any time during Executive’s employment with Asbury, to the extent that Executive participates in a bonus compensation plan at the date of Termination, Asbury shall pay Executive a pro rata portion of that bonus for the year of the Termination equal to the amount of the bonus that Executive would have received if Executive’s employment had not been terminated during such year, multiplied by the percentage of such year that has expired through the date of Termination. Such bonus shall be paid at such time as bonuses are paid under the bonus compensation plan to Asbury’s other employees whose employment was not terminated in such year.</w:t>
      </w:r>
    </w:p>
    <w:p>
      <w:pPr>
        <w:pStyle w:val="TextBody"/>
        <w:bidi w:val="0"/>
        <w:spacing w:lineRule="auto" w:line="288" w:before="275"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Asbury further agrees that, if Executive, upon a Termination (as defined in Section 2 below) of Executive’s employment occurs at any time during Executive’s employment with Asbury, timely and properly elects COBRA for any medical, dental and vision benefit plans in which Executive was participating immediately prior to the end of Executive’s employment with Asbury, Asbury shall continue to pay its portion of the monthly premium for those COBRA- covered medical, dental and vision benefit plans for a period of 12 months after the last day of Executive’s employment with Asbury. Notwithstanding the above, if Executive obtains other employment (prior to the end of the 12 month COBRA reimbursement period) under which Executive is eligible to be covered by benefits equal to the benefits in his COBRA-elected plans, Asbury’s obligation to reimburse Executive ceases upon Executive’s eligibility for such equal benefits.</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2"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herein to the contrary, if Executive is determined to be a “specified employee” within the meaning of Section 409A of the Internal Revenue Code of 1986, as amended the (“Code”) and if one or more of the payments or benefits to be received by Executive pursuant to this Agreement would be considered deferred compensation subject to Section 409A of the Code, then no such payment shall be made or benefit provided until six (6) months following Executive’s date of Termination.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 w:after="283"/>
        <w:jc w:val="left"/>
        <w:rPr/>
      </w:pPr>
      <w:r>
        <w:rPr/>
      </w:r>
    </w:p>
    <w:p>
      <w:pPr>
        <w:pStyle w:val="TextBody"/>
        <w:bidi w:val="0"/>
        <w:spacing w:lineRule="auto" w:line="288" w:before="0" w:after="0"/>
        <w:ind w:left="0" w:right="0" w:hanging="719"/>
        <w:jc w:val="left"/>
        <w:rPr>
          <w:rFonts w:ascii="Times New Roman;sans-serif" w:hAnsi="Times New Roman;sans-serif"/>
          <w:b/>
          <w:color w:val="000000"/>
          <w:sz w:val="24"/>
        </w:rPr>
      </w:pPr>
      <w:r>
        <w:rPr>
          <w:rFonts w:ascii="Times New Roman;sans-serif" w:hAnsi="Times New Roman;sans-serif"/>
          <w:b/>
          <w:color w:val="000000"/>
          <w:sz w:val="24"/>
        </w:rPr>
        <w:t>2.Termination Triggering Severance Pay</w:t>
      </w:r>
    </w:p>
    <w:p>
      <w:pPr>
        <w:pStyle w:val="TextBody"/>
        <w:bidi w:val="0"/>
        <w:spacing w:lineRule="auto" w:line="288" w:before="274"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“Termination” triggering the Severance Pay set forth above in Section 1 is defined as a termination of Executive’s employment with Asbury: (1) by Asbury without “cause”, or (2) by Executive because of (x) a material change in the geographic location at which the Executive must perform Executive’s services (which shall in no event include a relocation of Executive’s current principal place of business to a location less than 50 miles away), (y) a material diminution in Executive’s base compensation, or (z) a material diminution in Executive’s authority, duties, or responsibilities. For avoidance of doubt, a “Termination” shall not include a termination of Executive’s employment by Asbury for “cause” or due to Executive’s, death, disability, retirement or voluntary resignation.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the purposes of this Agreement, the definition of “cause” is: (a) Executive’s gross negligence or serious misconduct (including, without limitation, any criminal, fraudulent or dishonest conduct) that is or may be injurious to Asbury; or (b) Executive’s being convicted of, or entering a plea of nolo contendere to, any crime that constitutes a felony or involves moral turpitude; or (c) Executive’s breach of Sections 3, 4 or 5 below; or (d) Executive’s willful and continued failure to perform Executive’s duties on behalf of Asbury; or (e) Executive’s material breach of a written policy of Asbury. For purposes of this Agreement, the definition of “disability” is a physical or mental disability or infirmity that prevents the performance by Executive of his duties lasting (or likely to last, based on competent medical evidence presented to Asbury) for a continuous period of six months or longer.</w:t>
      </w:r>
    </w:p>
    <w:p>
      <w:pPr>
        <w:pStyle w:val="TextBody"/>
        <w:bidi w:val="0"/>
        <w:spacing w:before="1" w:after="283"/>
        <w:jc w:val="left"/>
        <w:rPr/>
      </w:pPr>
      <w:r>
        <w:rPr/>
      </w:r>
    </w:p>
    <w:p>
      <w:pPr>
        <w:pStyle w:val="TextBody"/>
        <w:bidi w:val="0"/>
        <w:spacing w:lineRule="auto" w:line="288" w:before="0" w:after="0"/>
        <w:ind w:left="0" w:right="0" w:hanging="719"/>
        <w:jc w:val="left"/>
        <w:rPr>
          <w:rFonts w:ascii="Times New Roman;sans-serif" w:hAnsi="Times New Roman;sans-serif"/>
          <w:b/>
          <w:color w:val="000000"/>
          <w:sz w:val="24"/>
        </w:rPr>
      </w:pPr>
      <w:r>
        <w:rPr>
          <w:rFonts w:ascii="Times New Roman;sans-serif" w:hAnsi="Times New Roman;sans-serif"/>
          <w:b/>
          <w:color w:val="000000"/>
          <w:sz w:val="24"/>
        </w:rPr>
        <w:t>3.Confidential Information and Nondisclosure Provision</w:t>
      </w:r>
    </w:p>
    <w:p>
      <w:pPr>
        <w:pStyle w:val="TextBody"/>
        <w:bidi w:val="0"/>
        <w:spacing w:lineRule="auto" w:line="288" w:before="274"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As a condition to the receipt of the Severance Pay and benefits described in Section 1 above, during and after employment with Asbury, Executive shall agree not to disclose to any person (other than to an employee or director of Asbury, or to Asbury’s attorneys, accountants and other advisors or except as may be required by law) and not use to compete with Asbury any confidential or proprietary information, knowledge or data that is not in the public domain that was obtained by Executive while employed by Asbury regarding Asbury or any products, improvements, customers, methods of distribution, sales, prices, profits, costs, contracts, suppliers, business prospects, business methods, techniques, research, trade secrets or know-how of Asbury (collectively, “Confidential Information”). In the event that Executive’s employment with Asbury ends for any reason, Executive will deliver to Asbury on or before the Executive’s last day of employment all documents and data of any nature (whether in tangible or electronic form) pertaining to Executive’s work with Asbury and will not take any documents or data or any reproduction, or any documents containing or pertaining to any Confidential Information. Executive agrees that in the event of a breach by Executive of this provision, Asbury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3"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74" w:after="283"/>
        <w:jc w:val="both"/>
        <w:rPr>
          <w:rFonts w:ascii="Times New Roman;sans-serif" w:hAnsi="Times New Roman;sans-serif"/>
          <w:b w:val="false"/>
          <w:color w:val="000000"/>
          <w:sz w:val="24"/>
        </w:rPr>
      </w:pPr>
      <w:r>
        <w:rPr>
          <w:rFonts w:ascii="Times New Roman;sans-serif" w:hAnsi="Times New Roman;sans-serif"/>
          <w:b w:val="false"/>
          <w:color w:val="000000"/>
          <w:sz w:val="24"/>
        </w:rPr>
        <w:t>entitled to inform all potential or new employers of such breach and to cease payments and benefits that would otherwise be made pursuant to Section 1 above, as well as to obtain injunctive relief and damages, including reasonable attorneys fees, and which may include recovery of amounts paid to Executive under this Agreement.</w:t>
      </w:r>
    </w:p>
    <w:p>
      <w:pPr>
        <w:pStyle w:val="TextBody"/>
        <w:bidi w:val="0"/>
        <w:spacing w:before="3" w:after="283"/>
        <w:jc w:val="left"/>
        <w:rPr/>
      </w:pPr>
      <w:r>
        <w:rPr/>
      </w:r>
    </w:p>
    <w:p>
      <w:pPr>
        <w:pStyle w:val="TextBody"/>
        <w:bidi w:val="0"/>
        <w:spacing w:lineRule="auto" w:line="288" w:before="0" w:after="0"/>
        <w:ind w:left="0" w:right="0" w:hanging="719"/>
        <w:jc w:val="left"/>
        <w:rPr>
          <w:rFonts w:ascii="Times New Roman;sans-serif" w:hAnsi="Times New Roman;sans-serif"/>
          <w:b/>
          <w:color w:val="000000"/>
          <w:sz w:val="24"/>
        </w:rPr>
      </w:pPr>
      <w:r>
        <w:rPr>
          <w:rFonts w:ascii="Times New Roman;sans-serif" w:hAnsi="Times New Roman;sans-serif"/>
          <w:b/>
          <w:color w:val="000000"/>
          <w:sz w:val="24"/>
        </w:rPr>
        <w:t>4.Non-Solicitation/Non-Hire of Employees</w:t>
      </w:r>
    </w:p>
    <w:p>
      <w:pPr>
        <w:pStyle w:val="TextBody"/>
        <w:bidi w:val="0"/>
        <w:spacing w:lineRule="auto" w:line="288" w:before="274"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Executive agrees that, during his employment at Asbury and for a 12-month period after the end of his employment with Asbury for any reason, he will not, directly or indirectly, solicit, recruit or hire any employee of Asbury (or any person who was an employee of Asbury during the 12 month period preceding the last day of Executive’s employment with Asbury) or encourage any such employee to terminate employment with Asbury.</w:t>
      </w:r>
    </w:p>
    <w:p>
      <w:pPr>
        <w:pStyle w:val="TextBody"/>
        <w:bidi w:val="0"/>
        <w:spacing w:before="2" w:after="283"/>
        <w:jc w:val="left"/>
        <w:rPr/>
      </w:pPr>
      <w:r>
        <w:rPr/>
      </w:r>
    </w:p>
    <w:p>
      <w:pPr>
        <w:pStyle w:val="TextBody"/>
        <w:bidi w:val="0"/>
        <w:spacing w:lineRule="auto" w:line="288" w:before="0" w:after="0"/>
        <w:ind w:left="0" w:right="0" w:hanging="719"/>
        <w:jc w:val="left"/>
        <w:rPr>
          <w:rFonts w:ascii="Times New Roman;sans-serif" w:hAnsi="Times New Roman;sans-serif"/>
          <w:b/>
          <w:color w:val="000000"/>
          <w:sz w:val="24"/>
        </w:rPr>
      </w:pPr>
      <w:r>
        <w:rPr>
          <w:rFonts w:ascii="Times New Roman;sans-serif" w:hAnsi="Times New Roman;sans-serif"/>
          <w:b/>
          <w:color w:val="000000"/>
          <w:sz w:val="24"/>
        </w:rPr>
        <w:t>5.Covenant Not to Compete</w:t>
      </w:r>
    </w:p>
    <w:p>
      <w:pPr>
        <w:pStyle w:val="TextBody"/>
        <w:bidi w:val="0"/>
        <w:spacing w:lineRule="auto" w:line="288" w:before="274"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Executive agrees that, during his employment at Asbury and for a 12-month period after the end of his employment with Asbury for any reason, he will not (except on behalf of or with the prior written consent of Asbury, which consent may be withheld in Asbury’s sole discretion):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 xml:space="preserve">(a)provide services of a leadership, management, executive, operational, or advisory capacity and/or participate in the ownership of or provide financial backing to an automotive dealership that is located within a fifty-mile radius of any address set forth on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(the “Area”);</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(b)provide senior/corporate level leadership, executive, operational, or advisory services to any corporate competitor of Asbury who owns or operates one or more automotive dealerships within the Area; and</w:t>
      </w:r>
    </w:p>
    <w:p>
      <w:pPr>
        <w:pStyle w:val="TextBody"/>
        <w:bidi w:val="0"/>
        <w:spacing w:lineRule="auto" w:line="288" w:before="275"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(c)provide services of a leadership, management, executive, operational or advisory capacity for anyone or any business whose focus is buying, conglomerating, or otherwise acquiring one or more automotive dealerships that are located within the Area.</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this Section 5, Executive acknowledges and agrees that Asbury conducts business in the Area and that the Area is a reasonable geographic limitation.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to the contrary contained in this Agreement, Asbury hereby agrees that the foregoing covenant shall not be deemed breached as a result of the passive ownership by Executive of: (i) less than an aggregate of 5% of any class of stock of a business that competes with Asbury; or (ii) less than an aggregate of 10% in value of any instrument of indebtedness of a business that competes with Asbury. Asbury further agrees that nothing in this Section 5 prohibits Executive from accepting employment from, and performing services for, businesses engaged in the finance industry, and businesses engaged in the manufacturing and/or sale of automobile parts or the provision of automotive service, provided such businesses do not also engage in the retail of automobiles within the Area. By way of example, nothing in this Section 5 would prohibit Executive from working with such businesses as American General Finance, NAPA Auto Parts or Goodyear.</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4"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76" w:after="283"/>
        <w:ind w:left="0" w:right="0" w:firstLine="720"/>
        <w:jc w:val="both"/>
        <w:rPr/>
      </w:pPr>
      <w:r>
        <w:rPr>
          <w:rFonts w:ascii="Times New Roman;sans-serif" w:hAnsi="Times New Roman;sans-serif"/>
          <w:b w:val="false"/>
          <w:color w:val="000000"/>
          <w:sz w:val="24"/>
        </w:rPr>
        <w:t xml:space="preserve">Within one day of the end of Executive’s employment with Asbury for any reason, Executive agrees to re-confirm his commitment to the post-employment restrictive covenants in this Agreement. Executive further agrees that, as part of that re-confirmation, the term “Area” and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hereto may be amended by Asbury, but only to the extent necessary to list the addresses of Asbury’s headquarters and any automotive dealerships that Asbury owns and/or operates as of the last day of Executive’s employment with Asbury.</w:t>
      </w:r>
    </w:p>
    <w:p>
      <w:pPr>
        <w:pStyle w:val="TextBody"/>
        <w:bidi w:val="0"/>
        <w:spacing w:before="3" w:after="283"/>
        <w:jc w:val="left"/>
        <w:rPr/>
      </w:pPr>
      <w:r>
        <w:rPr/>
      </w:r>
    </w:p>
    <w:p>
      <w:pPr>
        <w:pStyle w:val="TextBody"/>
        <w:bidi w:val="0"/>
        <w:spacing w:lineRule="auto" w:line="288" w:before="0" w:after="0"/>
        <w:ind w:left="0" w:right="0" w:hanging="719"/>
        <w:jc w:val="left"/>
        <w:rPr>
          <w:rFonts w:ascii="Times New Roman;sans-serif" w:hAnsi="Times New Roman;sans-serif"/>
          <w:b/>
          <w:color w:val="000000"/>
          <w:sz w:val="24"/>
        </w:rPr>
      </w:pPr>
      <w:r>
        <w:rPr>
          <w:rFonts w:ascii="Times New Roman;sans-serif" w:hAnsi="Times New Roman;sans-serif"/>
          <w:b/>
          <w:color w:val="000000"/>
          <w:sz w:val="24"/>
        </w:rPr>
        <w:t>6.Construction/Enforcement of Post-Employment Covenants</w:t>
      </w:r>
    </w:p>
    <w:p>
      <w:pPr>
        <w:pStyle w:val="TextBody"/>
        <w:bidi w:val="0"/>
        <w:spacing w:lineRule="auto" w:line="288" w:before="274"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Executive agrees that the provisions of Sections 3, 4 and 5 are reasonable and properly required for the adequate protection of the business and the goodwill of Asbury. However, if a judicial determination is made that any of the provisions of Sections 3, 4 or 5 constitutes an unreasonable or otherwise unenforceable restriction against Executive, such provision(s) shall be modified or severed so as to permit enforcement of the provision(s) to the extent reasonable.</w:t>
      </w:r>
    </w:p>
    <w:p>
      <w:pPr>
        <w:pStyle w:val="TextBody"/>
        <w:bidi w:val="0"/>
        <w:spacing w:before="2" w:after="283"/>
        <w:jc w:val="left"/>
        <w:rPr/>
      </w:pPr>
      <w:r>
        <w:rPr/>
      </w:r>
    </w:p>
    <w:p>
      <w:pPr>
        <w:pStyle w:val="TextBody"/>
        <w:bidi w:val="0"/>
        <w:spacing w:lineRule="auto" w:line="288"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7.Violation of Post-Employment Covenants</w:t>
      </w:r>
    </w:p>
    <w:p>
      <w:pPr>
        <w:pStyle w:val="TextBody"/>
        <w:bidi w:val="0"/>
        <w:spacing w:lineRule="auto" w:line="288" w:before="274"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Executive agrees that, in the event of a material breach by Executive of any Section of this Agreement, including Sections 3, 4, or 5, Asbury shall be entitled to: (i) inform all potential or new employers of such breach; (ii) cease payments and benefits that would otherwise be made pursuant to Section 1 above (and in lieu of such payments and benefits pay Executive five hundred dollars ($500.00)); (iii) obtain injunctive relief and damages, including reasonable attorney’s fees; and (iv) recover the amounts paid to Executive under this Agreement (other than the above- referenced $500.00) during any period of material breach by Executive. To the extent that Executive is determined through agreement or resolution of any pending claim to not have violated any covenant at issue, he shall receive any and all severance that has not been paid under the Agreement and/or which was recovered from Executive under this Section 7.</w:t>
      </w:r>
    </w:p>
    <w:p>
      <w:pPr>
        <w:pStyle w:val="TextBody"/>
        <w:bidi w:val="0"/>
        <w:spacing w:before="1" w:after="283"/>
        <w:jc w:val="left"/>
        <w:rPr/>
      </w:pPr>
      <w:r>
        <w:rPr/>
      </w:r>
    </w:p>
    <w:p>
      <w:pPr>
        <w:pStyle w:val="TextBody"/>
        <w:bidi w:val="0"/>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GENERAL PROVISIONS</w:t>
      </w:r>
    </w:p>
    <w:p>
      <w:pPr>
        <w:pStyle w:val="TextBody"/>
        <w:bidi w:val="0"/>
        <w:spacing w:before="0" w:after="0"/>
        <w:jc w:val="left"/>
        <w:rPr/>
      </w:pPr>
      <w:r>
        <w:rPr/>
      </w:r>
    </w:p>
    <w:p>
      <w:pPr>
        <w:pStyle w:val="TextBody"/>
        <w:bidi w:val="0"/>
        <w:spacing w:lineRule="auto" w:line="288" w:before="0" w:after="0"/>
        <w:ind w:left="0" w:right="0" w:hanging="719"/>
        <w:jc w:val="left"/>
        <w:rPr/>
      </w:pPr>
      <w:r>
        <w:rPr>
          <w:rFonts w:ascii="Times New Roman;sans-serif" w:hAnsi="Times New Roman;sans-serif"/>
          <w:b/>
          <w:color w:val="000000"/>
          <w:sz w:val="24"/>
        </w:rPr>
        <w:t>A.</w:t>
      </w:r>
      <w:r>
        <w:rPr>
          <w:rFonts w:ascii="Times New Roman;sans-serif" w:hAnsi="Times New Roman;sans-serif"/>
          <w:b/>
          <w:color w:val="000000"/>
          <w:sz w:val="24"/>
          <w:u w:val="single"/>
        </w:rPr>
        <w:t>Employment is At Will</w:t>
      </w:r>
    </w:p>
    <w:p>
      <w:pPr>
        <w:pStyle w:val="TextBody"/>
        <w:bidi w:val="0"/>
        <w:spacing w:lineRule="auto" w:line="288" w:before="274"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Executive and Asbury acknowledge and agree that Executive is an “at will” employee, which means that either Executive or Asbury may terminate the employment relationship at any time, for any reason, with or without cause or notice, and that nothing in this Agreement shall be construed as an express or implied contract of employment.</w:t>
      </w:r>
    </w:p>
    <w:p>
      <w:pPr>
        <w:pStyle w:val="TextBody"/>
        <w:bidi w:val="0"/>
        <w:spacing w:before="2" w:after="283"/>
        <w:jc w:val="left"/>
        <w:rPr/>
      </w:pPr>
      <w:r>
        <w:rPr/>
      </w:r>
    </w:p>
    <w:p>
      <w:pPr>
        <w:pStyle w:val="TextBody"/>
        <w:bidi w:val="0"/>
        <w:spacing w:lineRule="auto" w:line="288" w:before="0" w:after="0"/>
        <w:ind w:left="0" w:right="0" w:hanging="719"/>
        <w:jc w:val="left"/>
        <w:rPr/>
      </w:pPr>
      <w:r>
        <w:rPr>
          <w:rFonts w:ascii="Times New Roman;sans-serif" w:hAnsi="Times New Roman;sans-serif"/>
          <w:b/>
          <w:color w:val="000000"/>
          <w:sz w:val="24"/>
        </w:rPr>
        <w:t>B.</w:t>
      </w:r>
      <w:r>
        <w:rPr>
          <w:rFonts w:ascii="Times New Roman;sans-serif" w:hAnsi="Times New Roman;sans-serif"/>
          <w:b/>
          <w:color w:val="000000"/>
          <w:sz w:val="24"/>
          <w:u w:val="single"/>
        </w:rPr>
        <w:t>Execution of Release</w:t>
      </w:r>
    </w:p>
    <w:p>
      <w:pPr>
        <w:pStyle w:val="TextBody"/>
        <w:bidi w:val="0"/>
        <w:spacing w:lineRule="auto" w:line="288" w:before="274"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Executive agrees that, as a condition to the receipt of the Severance Pay and other compensation and insurance benefits described in Section 1 above, Executive shall execute a release of all claims against Asbury (and its corporate parents, subsidiaries, franchisors, franchisees, management companies, divisions, and affiliates) and the past, present and future officers, directors, agents, officials, employees, insurers and attorneys of Asbury (and its corporate parents, subsidiaries, franchisors, franchisees, management companies, divisions, and affiliates) arising out of Executive’s employment or the end of his employment with Asbury,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5"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74" w:after="283"/>
        <w:jc w:val="both"/>
        <w:rPr>
          <w:rFonts w:ascii="Times New Roman;sans-serif" w:hAnsi="Times New Roman;sans-serif"/>
          <w:b w:val="false"/>
          <w:color w:val="000000"/>
          <w:sz w:val="24"/>
        </w:rPr>
      </w:pPr>
      <w:r>
        <w:rPr>
          <w:rFonts w:ascii="Times New Roman;sans-serif" w:hAnsi="Times New Roman;sans-serif"/>
          <w:b w:val="false"/>
          <w:color w:val="000000"/>
          <w:sz w:val="24"/>
        </w:rPr>
        <w:t>such release to not be revoked by Executive and to completely waive and release any claim of discrimination, harassment or wrongful discharge under local, state or federal law.</w:t>
      </w:r>
    </w:p>
    <w:p>
      <w:pPr>
        <w:pStyle w:val="TextBody"/>
        <w:bidi w:val="0"/>
        <w:spacing w:before="3" w:after="283"/>
        <w:jc w:val="left"/>
        <w:rPr/>
      </w:pPr>
      <w:r>
        <w:rPr/>
      </w:r>
    </w:p>
    <w:p>
      <w:pPr>
        <w:pStyle w:val="TextBody"/>
        <w:bidi w:val="0"/>
        <w:spacing w:lineRule="auto" w:line="288" w:before="0" w:after="0"/>
        <w:ind w:left="0" w:right="0" w:hanging="719"/>
        <w:jc w:val="left"/>
        <w:rPr/>
      </w:pPr>
      <w:r>
        <w:rPr>
          <w:rFonts w:ascii="Times New Roman;sans-serif" w:hAnsi="Times New Roman;sans-serif"/>
          <w:b/>
          <w:color w:val="000000"/>
          <w:sz w:val="24"/>
        </w:rPr>
        <w:t>C.</w:t>
      </w:r>
      <w:r>
        <w:rPr>
          <w:rFonts w:ascii="Times New Roman;sans-serif" w:hAnsi="Times New Roman;sans-serif"/>
          <w:b/>
          <w:color w:val="000000"/>
          <w:sz w:val="24"/>
          <w:u w:val="single"/>
        </w:rPr>
        <w:t>Alternative Dispute Resolution</w:t>
      </w:r>
    </w:p>
    <w:p>
      <w:pPr>
        <w:pStyle w:val="TextBody"/>
        <w:bidi w:val="0"/>
        <w:spacing w:lineRule="auto" w:line="288" w:before="274"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Any disputes arising under or in connection with this Agreement shall be resolved by binding arbitration before an arbitrator (who shall be an attorney with at least ten years’ experience in employment law) in the city where Executive was employed with Asbury and in accordance with the rules and procedures of the most recent employment rules of the American Arbitration Association. Each party may choose to retain legal counsel and shall pay its own attorneys’ fees, regardless of the outcome of the arbitration. Executive may be required to pay a filing fee limited to the equivalent cost of filing in the court of jurisdiction. Asbury will pay the fees and costs of conducting the arbitration. Judgment upon the award rendered by the arbitrator may be entered in any court of jurisdiction.</w:t>
      </w:r>
    </w:p>
    <w:p>
      <w:pPr>
        <w:pStyle w:val="TextBody"/>
        <w:bidi w:val="0"/>
        <w:spacing w:before="2" w:after="283"/>
        <w:jc w:val="left"/>
        <w:rPr/>
      </w:pPr>
      <w:r>
        <w:rPr/>
      </w:r>
    </w:p>
    <w:p>
      <w:pPr>
        <w:pStyle w:val="TextBody"/>
        <w:bidi w:val="0"/>
        <w:spacing w:lineRule="auto" w:line="288" w:before="0" w:after="0"/>
        <w:ind w:left="0" w:right="0" w:hanging="719"/>
        <w:jc w:val="left"/>
        <w:rPr/>
      </w:pPr>
      <w:r>
        <w:rPr>
          <w:rFonts w:ascii="Times New Roman;sans-serif" w:hAnsi="Times New Roman;sans-serif"/>
          <w:b/>
          <w:color w:val="000000"/>
          <w:sz w:val="24"/>
        </w:rPr>
        <w:t>D.</w:t>
      </w:r>
      <w:r>
        <w:rPr>
          <w:rFonts w:ascii="Times New Roman;sans-serif" w:hAnsi="Times New Roman;sans-serif"/>
          <w:b/>
          <w:color w:val="000000"/>
          <w:sz w:val="24"/>
          <w:u w:val="single"/>
        </w:rPr>
        <w:t>Non-Disparagement</w:t>
      </w:r>
    </w:p>
    <w:p>
      <w:pPr>
        <w:pStyle w:val="TextBody"/>
        <w:bidi w:val="0"/>
        <w:spacing w:lineRule="auto" w:line="288" w:before="274"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Executive agrees not to make any disclosures, issue any statements or otherwise cause to be disclosed any information which is designed, intended or might reasonably be anticipated to disparage Asbury, its officers or directors, its business, services, products, technologies and/or personnel. Nothing in this section is intended, nor shall be construed, to: (i) prohibit Executive from any communications to, or participation in any investigation or proceeding conducted by, any governmental agency with jurisdiction concerning the terms, conditions and privileges of employment or jurisdiction over Asbury’s business; (ii) interfere with, restrain, or prevent Executive’s communications regarding the terms and conditions of employment; or (iii) prevent Executive from otherwise engaging in any legally protected activity.</w:t>
      </w:r>
    </w:p>
    <w:p>
      <w:pPr>
        <w:pStyle w:val="TextBody"/>
        <w:bidi w:val="0"/>
        <w:spacing w:before="1" w:after="283"/>
        <w:jc w:val="left"/>
        <w:rPr/>
      </w:pPr>
      <w:r>
        <w:rPr/>
      </w:r>
    </w:p>
    <w:p>
      <w:pPr>
        <w:pStyle w:val="TextBody"/>
        <w:bidi w:val="0"/>
        <w:spacing w:lineRule="auto" w:line="288" w:before="0" w:after="0"/>
        <w:ind w:left="0" w:right="0" w:hanging="719"/>
        <w:jc w:val="left"/>
        <w:rPr/>
      </w:pPr>
      <w:r>
        <w:rPr>
          <w:rFonts w:ascii="Times New Roman;sans-serif" w:hAnsi="Times New Roman;sans-serif"/>
          <w:b/>
          <w:color w:val="000000"/>
          <w:sz w:val="24"/>
        </w:rPr>
        <w:t>E.</w:t>
      </w:r>
      <w:r>
        <w:rPr>
          <w:rFonts w:ascii="Times New Roman;sans-serif" w:hAnsi="Times New Roman;sans-serif"/>
          <w:b/>
          <w:color w:val="000000"/>
          <w:sz w:val="24"/>
          <w:u w:val="single"/>
        </w:rPr>
        <w:t>Other Provisions</w:t>
      </w:r>
    </w:p>
    <w:p>
      <w:pPr>
        <w:pStyle w:val="TextBody"/>
        <w:bidi w:val="0"/>
        <w:spacing w:lineRule="auto" w:line="288" w:before="274"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(a)This Agreement shall be binding upon the heirs, executors, administrators, successors and assigns of Executive and Asbury, including any successor to or assign of Asbury.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(b)Upon the end of Executive’s employment with Asbury for any reason, the provisions of this Agreement shall survive to the extent necessary to give effect to the provisions herein, including Sections 3, 4 and 5.</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(c)The headings and captions are provided for reference and convenience only and shall not be considered part of this Agreement.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(d)Executive also covenants to reasonably cooperate with Asbury if Executive is needed as a witness in any litigation or legal matters involving Asbury.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(e)Any notice or other communication required or permitted to be delivered under this Agreement shall be (i) in writing, (ii) delivered personally, by nationally recognized overnight courier service or by certified or registered mail, first-class postage prepaid and return receipt requested, (iii) deemed to have been received on the date of delivery or on the third business day</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6"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76" w:after="283"/>
        <w:jc w:val="left"/>
        <w:rPr>
          <w:rFonts w:ascii="Times New Roman;sans-serif" w:hAnsi="Times New Roman;sans-serif"/>
          <w:b w:val="false"/>
          <w:color w:val="000000"/>
          <w:sz w:val="24"/>
        </w:rPr>
      </w:pPr>
      <w:r>
        <w:rPr>
          <w:rFonts w:ascii="Times New Roman;sans-serif" w:hAnsi="Times New Roman;sans-serif"/>
          <w:b w:val="false"/>
          <w:color w:val="000000"/>
          <w:sz w:val="24"/>
        </w:rPr>
        <w:t>after mailing, and (iv) addressed as follows (or to such other address as the party entitled to notice shall later designate in accordance with these terms):</w:t>
      </w:r>
    </w:p>
    <w:p>
      <w:pPr>
        <w:pStyle w:val="TextBody"/>
        <w:bidi w:val="0"/>
        <w:spacing w:before="0" w:after="0"/>
        <w:jc w:val="left"/>
        <w:rPr/>
      </w:pPr>
      <w:r>
        <w:rPr/>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If to Asbury:    Asbury Automotive Group, Inc.</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 The Office of the General Counsel 2905 Premiere Parkway, Suite 300</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Duluth, GA 30097</w:t>
      </w:r>
    </w:p>
    <w:p>
      <w:pPr>
        <w:pStyle w:val="TextBody"/>
        <w:bidi w:val="0"/>
        <w:spacing w:lineRule="auto" w:line="288" w:before="276" w:after="283"/>
        <w:ind w:left="0" w:right="0" w:hanging="2161"/>
        <w:jc w:val="left"/>
        <w:rPr>
          <w:rFonts w:ascii="Times New Roman;sans-serif" w:hAnsi="Times New Roman;sans-serif"/>
          <w:b w:val="false"/>
          <w:color w:val="000000"/>
          <w:sz w:val="24"/>
        </w:rPr>
      </w:pPr>
      <w:r>
        <w:rPr>
          <w:rFonts w:ascii="Times New Roman;sans-serif" w:hAnsi="Times New Roman;sans-serif"/>
          <w:b w:val="false"/>
          <w:color w:val="000000"/>
          <w:sz w:val="24"/>
        </w:rPr>
        <w:t>If to Executive:    To the most recent address of Executive set forth in the personnel records of Asbury.</w:t>
      </w:r>
    </w:p>
    <w:p>
      <w:pPr>
        <w:pStyle w:val="TextBody"/>
        <w:bidi w:val="0"/>
        <w:spacing w:lineRule="auto" w:line="288" w:before="276"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(f)This Agreement supersedes any and all prior agreements between Asbury and Executive relating to payments upon Termination of employment or Severance Pay and may only be modified in a writing signed by Asbury and Executive.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(g)This Agreement shall be governed by and construed in accordance with the laws of the State of Georgia.</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(h)All payments hereunder shall be subject to any required withholding of federal, state, local and foreign taxes pursuant to any applicable law or regulation.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(i)If any provision of this Agreement shall be held invalid or unenforceable, such holding shall not affect any other provisions, and this Agreement shall be construed and enforced as if such provisions had not been included. No provision of this Agreement shall be waived unless the waiver is agreed to in writing and signed by Executive and the Chief Human Resources Officer of Asbury. No waiver by either party of any breach of, or of compliance with, any condition or provision of this Agreement by the other party shall be considered a waiver of any other condition or provision or of the same condition or provision at another time.</w:t>
      </w:r>
    </w:p>
    <w:p>
      <w:pPr>
        <w:pStyle w:val="TextBody"/>
        <w:bidi w:val="0"/>
        <w:spacing w:lineRule="auto" w:line="288" w:before="275"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(j)The parties hereto acknowledge and agree that, to the extent applicable, this Agreement shall be interpreted in accordance with, and incorporate the terms and conditions required by, Section 409A of the Code and the Department of Treasury regulations and other interpretive guidance issued thereunder. Notwithstanding any provision of this Agreement to the contrary, in the event that Asbury determines that any amounts payable hereunder will be immediately taxable to Executive under Section 409A of the Code and related Department of Treasury guidance, Asbury and Executive shall cooperate in good faith to (x) adopt such amendments to this Agreement and appropriate policies and procedures, including amendments and policies with retroactive effect, that they mutually determine to be necessary or appropriate to preserve the intended tax treatment of the benefits provided by this Agreement, to preserve the economic benefits of this Agreement and to avoid less favorable accounting or tax consequences for Asbury and/or (y) take such other actions as mutually determined to be necessary or appropriate to exempt the amounts payable hereunder from Section 409A of the Code or to comply with the requirements of Section 409A of the Code and thereby avoid the application of penalty taxes thereunder.</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7"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76"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This Agreement may be executed in one or more counterparts, each of which shall be deemed to be an original, but all of which together will constitute one and the same instrument.</w:t>
      </w:r>
    </w:p>
    <w:p>
      <w:pPr>
        <w:pStyle w:val="TextBody"/>
        <w:bidi w:val="0"/>
        <w:spacing w:before="3" w:after="283"/>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AGREED TO AS OF OCTOBER 21, 2021</w:t>
      </w:r>
    </w:p>
    <w:p>
      <w:pPr>
        <w:pStyle w:val="TextBody"/>
        <w:bidi w:val="0"/>
        <w:spacing w:before="0" w:after="0"/>
        <w:jc w:val="left"/>
        <w:rPr/>
      </w:pPr>
      <w:r>
        <w:rPr/>
      </w:r>
    </w:p>
    <w:tbl>
      <w:tblPr>
        <w:tblW w:w="10046" w:type="dxa"/>
        <w:jc w:val="left"/>
        <w:tblInd w:w="0" w:type="dxa"/>
        <w:tblLayout w:type="fixed"/>
        <w:tblCellMar>
          <w:top w:w="28" w:type="dxa"/>
          <w:left w:w="28" w:type="dxa"/>
          <w:bottom w:w="28" w:type="dxa"/>
          <w:right w:w="28" w:type="dxa"/>
        </w:tblCellMar>
      </w:tblPr>
      <w:tblGrid>
        <w:gridCol w:w="1891"/>
        <w:gridCol w:w="1662"/>
        <w:gridCol w:w="1666"/>
        <w:gridCol w:w="109"/>
        <w:gridCol w:w="109"/>
        <w:gridCol w:w="109"/>
        <w:gridCol w:w="1318"/>
        <w:gridCol w:w="1318"/>
        <w:gridCol w:w="1864"/>
      </w:tblGrid>
      <w:tr>
        <w:trPr/>
        <w:tc>
          <w:tcPr>
            <w:tcW w:w="1891"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EXECUTIVE: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ASBURY AUTOMOTIVE GROUP, INC.</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Michael D. Welch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David W. Hult</w:t>
            </w:r>
          </w:p>
        </w:tc>
      </w:tr>
      <w:tr>
        <w:trPr/>
        <w:tc>
          <w:tcPr>
            <w:tcW w:w="5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Michael D. Welch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David W. Hult</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Senior Vice President &amp;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President &amp; CEO</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38"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73"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A</w:t>
      </w:r>
    </w:p>
    <w:p>
      <w:pPr>
        <w:pStyle w:val="TextBody"/>
        <w:bidi w:val="0"/>
        <w:spacing w:lineRule="auto" w:line="288" w:before="273" w:after="283"/>
        <w:jc w:val="left"/>
        <w:rPr>
          <w:rFonts w:ascii="Times New Roman;sans-serif" w:hAnsi="Times New Roman;sans-serif"/>
          <w:b w:val="false"/>
          <w:color w:val="000000"/>
          <w:sz w:val="24"/>
        </w:rPr>
      </w:pPr>
      <w:r>
        <w:rPr>
          <w:rFonts w:ascii="Times New Roman;sans-serif" w:hAnsi="Times New Roman;sans-serif"/>
          <w:b w:val="false"/>
          <w:color w:val="000000"/>
          <w:sz w:val="24"/>
        </w:rPr>
        <w:t>As used in the Severance Pay Agreement, “Area” means a 50-mile radius from any of the following addresses: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Corporate Headquarters 2905 Premiere Parkway</w:t>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Duluth, GA 30097</w:t>
      </w:r>
    </w:p>
    <w:p>
      <w:pPr>
        <w:pStyle w:val="TextBody"/>
        <w:bidi w:val="0"/>
        <w:spacing w:lineRule="auto" w:line="288" w:before="158"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11505 Alpharetta Highway</w:t>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Roswell, GA 30076</w:t>
      </w:r>
    </w:p>
    <w:p>
      <w:pPr>
        <w:pStyle w:val="TextBody"/>
        <w:bidi w:val="0"/>
        <w:spacing w:lineRule="auto" w:line="288" w:before="159"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10995 Westside Parkway</w:t>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Alpharetta, GA 30009</w:t>
      </w:r>
    </w:p>
    <w:p>
      <w:pPr>
        <w:pStyle w:val="TextBody"/>
        <w:bidi w:val="0"/>
        <w:spacing w:lineRule="auto" w:line="288" w:before="1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1355 Cobb Parkway South Marietta, GA 30060</w:t>
      </w:r>
    </w:p>
    <w:p>
      <w:pPr>
        <w:pStyle w:val="TextBody"/>
        <w:bidi w:val="0"/>
        <w:spacing w:lineRule="auto" w:line="288" w:before="159" w:after="283"/>
        <w:jc w:val="left"/>
        <w:rPr>
          <w:rFonts w:ascii="Times New Roman;sans-serif" w:hAnsi="Times New Roman;sans-serif"/>
          <w:b w:val="false"/>
          <w:color w:val="000000"/>
          <w:sz w:val="24"/>
        </w:rPr>
      </w:pPr>
      <w:r>
        <w:rPr>
          <w:rFonts w:ascii="Times New Roman;sans-serif" w:hAnsi="Times New Roman;sans-serif"/>
          <w:b w:val="false"/>
          <w:color w:val="000000"/>
          <w:sz w:val="24"/>
        </w:rPr>
        <w:t>1606 Church Street</w:t>
      </w:r>
    </w:p>
    <w:p>
      <w:pPr>
        <w:pStyle w:val="TextBody"/>
        <w:bidi w:val="0"/>
        <w:spacing w:lineRule="auto" w:line="288" w:before="2"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Decatur, GA 30033</w:t>
      </w:r>
    </w:p>
    <w:p>
      <w:pPr>
        <w:pStyle w:val="TextBody"/>
        <w:bidi w:val="0"/>
        <w:spacing w:lineRule="auto" w:line="288" w:before="158" w:after="283"/>
        <w:jc w:val="left"/>
        <w:rPr>
          <w:rFonts w:ascii="Times New Roman;sans-serif" w:hAnsi="Times New Roman;sans-serif"/>
          <w:b w:val="false"/>
          <w:color w:val="000000"/>
          <w:sz w:val="24"/>
        </w:rPr>
      </w:pPr>
      <w:r>
        <w:rPr>
          <w:rFonts w:ascii="Times New Roman;sans-serif" w:hAnsi="Times New Roman;sans-serif"/>
          <w:b w:val="false"/>
          <w:color w:val="000000"/>
          <w:sz w:val="24"/>
        </w:rPr>
        <w:t>4197 Jonesboro Road Union City, GA 30291</w:t>
      </w:r>
    </w:p>
    <w:p>
      <w:pPr>
        <w:pStyle w:val="TextBody"/>
        <w:bidi w:val="0"/>
        <w:spacing w:lineRule="auto" w:line="288" w:before="1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7909 Mall Parkway</w:t>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Lithonia, GA 30038</w:t>
      </w:r>
    </w:p>
    <w:p>
      <w:pPr>
        <w:pStyle w:val="TextBody"/>
        <w:bidi w:val="0"/>
        <w:spacing w:lineRule="auto" w:line="288" w:before="158" w:after="283"/>
        <w:jc w:val="left"/>
        <w:rPr>
          <w:rFonts w:ascii="Times New Roman;sans-serif" w:hAnsi="Times New Roman;sans-serif"/>
          <w:b w:val="false"/>
          <w:color w:val="000000"/>
          <w:sz w:val="24"/>
        </w:rPr>
      </w:pPr>
      <w:r>
        <w:rPr>
          <w:rFonts w:ascii="Times New Roman;sans-serif" w:hAnsi="Times New Roman;sans-serif"/>
          <w:b w:val="false"/>
          <w:color w:val="000000"/>
          <w:sz w:val="24"/>
        </w:rPr>
        <w:t>2550 The Nalley Way Atlanta, GA 30360</w:t>
      </w:r>
    </w:p>
    <w:p>
      <w:pPr>
        <w:pStyle w:val="TextBody"/>
        <w:bidi w:val="0"/>
        <w:spacing w:lineRule="auto" w:line="288" w:before="1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2020 Cobb Parkway</w:t>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Marietta, GA 30080</w:t>
      </w:r>
    </w:p>
    <w:p>
      <w:pPr>
        <w:pStyle w:val="TextBody"/>
        <w:bidi w:val="0"/>
        <w:spacing w:lineRule="auto" w:line="288" w:before="1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7849 Mall Parkway</w:t>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Lithonia, GA 30038</w:t>
      </w:r>
    </w:p>
    <w:p>
      <w:pPr>
        <w:pStyle w:val="TextBody"/>
        <w:bidi w:val="0"/>
        <w:spacing w:lineRule="auto" w:line="288" w:before="159" w:after="283"/>
        <w:jc w:val="left"/>
        <w:rPr>
          <w:rFonts w:ascii="Times New Roman;sans-serif" w:hAnsi="Times New Roman;sans-serif"/>
          <w:b w:val="false"/>
          <w:color w:val="000000"/>
          <w:sz w:val="24"/>
        </w:rPr>
      </w:pPr>
      <w:r>
        <w:rPr>
          <w:rFonts w:ascii="Times New Roman;sans-serif" w:hAnsi="Times New Roman;sans-serif"/>
          <w:b w:val="false"/>
          <w:color w:val="000000"/>
          <w:sz w:val="24"/>
        </w:rPr>
        <w:t>2750 South Cobb Parkway Smyrna, GA 30080</w:t>
      </w:r>
    </w:p>
    <w:p>
      <w:pPr>
        <w:pStyle w:val="TextBody"/>
        <w:bidi w:val="0"/>
        <w:spacing w:lineRule="auto" w:line="288" w:before="159" w:after="283"/>
        <w:jc w:val="left"/>
        <w:rPr>
          <w:rFonts w:ascii="Times New Roman;sans-serif" w:hAnsi="Times New Roman;sans-serif"/>
          <w:b w:val="false"/>
          <w:color w:val="000000"/>
          <w:sz w:val="24"/>
        </w:rPr>
      </w:pPr>
      <w:r>
        <w:rPr>
          <w:rFonts w:ascii="Times New Roman;sans-serif" w:hAnsi="Times New Roman;sans-serif"/>
          <w:b w:val="false"/>
          <w:color w:val="000000"/>
          <w:sz w:val="24"/>
        </w:rPr>
        <w:t>980 Mansell Road</w:t>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Roswell, GA 30076</w:t>
      </w:r>
    </w:p>
    <w:p>
      <w:pPr>
        <w:pStyle w:val="TextBody"/>
        <w:bidi w:val="0"/>
        <w:spacing w:lineRule="auto" w:line="288" w:before="159"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11130 Alpharetta Highway</w:t>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Roswell, GA 30076</w:t>
      </w:r>
    </w:p>
    <w:p>
      <w:pPr>
        <w:pStyle w:val="TextBody"/>
        <w:bidi w:val="0"/>
        <w:spacing w:lineRule="auto" w:line="288" w:before="1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7969 Mall Parkway</w:t>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Lithonia, GA 30038</w:t>
      </w:r>
    </w:p>
    <w:p>
      <w:pPr>
        <w:pStyle w:val="TextBody"/>
        <w:bidi w:val="0"/>
        <w:spacing w:lineRule="auto" w:line="288" w:before="158" w:after="283"/>
        <w:jc w:val="left"/>
        <w:rPr>
          <w:rFonts w:ascii="Times New Roman;sans-serif" w:hAnsi="Times New Roman;sans-serif"/>
          <w:b w:val="false"/>
          <w:color w:val="000000"/>
          <w:sz w:val="24"/>
        </w:rPr>
      </w:pPr>
      <w:r>
        <w:rPr>
          <w:rFonts w:ascii="Times New Roman;sans-serif" w:hAnsi="Times New Roman;sans-serif"/>
          <w:b w:val="false"/>
          <w:color w:val="000000"/>
          <w:sz w:val="24"/>
        </w:rPr>
        <w:t>1550 Mansell Road</w:t>
      </w:r>
    </w:p>
    <w:p>
      <w:pPr>
        <w:pStyle w:val="TextBody"/>
        <w:bidi w:val="0"/>
        <w:spacing w:lineRule="auto" w:line="288" w:before="2" w:after="283"/>
        <w:jc w:val="left"/>
        <w:rPr>
          <w:rFonts w:ascii="Times New Roman;sans-serif" w:hAnsi="Times New Roman;sans-serif"/>
          <w:b w:val="false"/>
          <w:color w:val="000000"/>
          <w:sz w:val="24"/>
        </w:rPr>
      </w:pPr>
      <w:r>
        <w:rPr>
          <w:rFonts w:ascii="Times New Roman;sans-serif" w:hAnsi="Times New Roman;sans-serif"/>
          <w:b w:val="false"/>
          <w:color w:val="000000"/>
          <w:sz w:val="24"/>
        </w:rPr>
        <w:t>Alpharetta, GA 30009</w:t>
      </w:r>
    </w:p>
    <w:p>
      <w:pPr>
        <w:pStyle w:val="TextBody"/>
        <w:bidi w:val="0"/>
        <w:spacing w:before="9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2712 Laurens Road</w:t>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Greenville, SC 29607</w:t>
      </w:r>
    </w:p>
    <w:p>
      <w:pPr>
        <w:pStyle w:val="TextBody"/>
        <w:bidi w:val="0"/>
        <w:spacing w:before="158" w:after="283"/>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2668 Laurens Road</w:t>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Greenville, SC 29607</w:t>
      </w:r>
    </w:p>
    <w:p>
      <w:pPr>
        <w:pStyle w:val="TextBody"/>
        <w:bidi w:val="0"/>
        <w:spacing w:lineRule="auto" w:line="288" w:before="159" w:after="283"/>
        <w:jc w:val="left"/>
        <w:rPr>
          <w:rFonts w:ascii="Times New Roman;sans-serif" w:hAnsi="Times New Roman;sans-serif"/>
          <w:b w:val="false"/>
          <w:color w:val="000000"/>
          <w:sz w:val="24"/>
        </w:rPr>
      </w:pPr>
      <w:r>
        <w:rPr>
          <w:rFonts w:ascii="Times New Roman;sans-serif" w:hAnsi="Times New Roman;sans-serif"/>
          <w:b w:val="false"/>
          <w:color w:val="000000"/>
          <w:sz w:val="24"/>
        </w:rPr>
        <w:t>2700 Laurens Road</w:t>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Greenville, SC 29607</w:t>
      </w:r>
    </w:p>
    <w:p>
      <w:pPr>
        <w:pStyle w:val="TextBody"/>
        <w:bidi w:val="0"/>
        <w:spacing w:lineRule="auto" w:line="288" w:before="1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2686 Laurens Road</w:t>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Greenville, SC 29607</w:t>
      </w:r>
    </w:p>
    <w:p>
      <w:pPr>
        <w:pStyle w:val="TextBody"/>
        <w:bidi w:val="0"/>
        <w:spacing w:lineRule="auto" w:line="288" w:before="158"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11654 Olive Boulevard Creve Coeur, MO 63141</w:t>
      </w:r>
    </w:p>
    <w:p>
      <w:pPr>
        <w:pStyle w:val="TextBody"/>
        <w:bidi w:val="0"/>
        <w:spacing w:lineRule="auto" w:line="288" w:before="1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755 North New Ballas Creve Coeur, MO 63141</w:t>
      </w:r>
    </w:p>
    <w:p>
      <w:pPr>
        <w:pStyle w:val="TextBody"/>
        <w:bidi w:val="0"/>
        <w:spacing w:lineRule="auto" w:line="288" w:before="1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777 Decker Lane</w:t>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Creve Coeur, MO 63141</w:t>
      </w:r>
    </w:p>
    <w:p>
      <w:pPr>
        <w:pStyle w:val="TextBody"/>
        <w:bidi w:val="0"/>
        <w:spacing w:lineRule="auto" w:line="288" w:before="158"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11910 Olive Boulevard Creve Coeur, MO 63141</w:t>
      </w:r>
    </w:p>
    <w:p>
      <w:pPr>
        <w:pStyle w:val="TextBody"/>
        <w:bidi w:val="0"/>
        <w:spacing w:lineRule="auto" w:line="288" w:before="1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11830 Olive Boulevard Creve Coeur, MO 63141</w:t>
      </w:r>
    </w:p>
    <w:p>
      <w:pPr>
        <w:pStyle w:val="TextBody"/>
        <w:bidi w:val="0"/>
        <w:spacing w:lineRule="auto" w:line="288" w:before="1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951 Technology Drive</w:t>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O'Fallon, MO 63368</w:t>
      </w:r>
    </w:p>
    <w:p>
      <w:pPr>
        <w:pStyle w:val="TextBody"/>
        <w:bidi w:val="0"/>
        <w:spacing w:lineRule="auto" w:line="288" w:before="159" w:after="283"/>
        <w:jc w:val="left"/>
        <w:rPr>
          <w:rFonts w:ascii="Times New Roman;sans-serif" w:hAnsi="Times New Roman;sans-serif"/>
          <w:b w:val="false"/>
          <w:color w:val="000000"/>
          <w:sz w:val="24"/>
        </w:rPr>
      </w:pPr>
      <w:r>
        <w:rPr>
          <w:rFonts w:ascii="Times New Roman;sans-serif" w:hAnsi="Times New Roman;sans-serif"/>
          <w:b w:val="false"/>
          <w:color w:val="000000"/>
          <w:sz w:val="24"/>
        </w:rPr>
        <w:t>9207 Adamo Drive</w:t>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Tampa, FL 33619</w:t>
      </w:r>
    </w:p>
    <w:p>
      <w:pPr>
        <w:pStyle w:val="TextBody"/>
        <w:bidi w:val="0"/>
        <w:spacing w:lineRule="auto" w:line="288" w:before="158" w:after="283"/>
        <w:jc w:val="left"/>
        <w:rPr>
          <w:rFonts w:ascii="Times New Roman;sans-serif" w:hAnsi="Times New Roman;sans-serif"/>
          <w:b w:val="false"/>
          <w:color w:val="000000"/>
          <w:sz w:val="24"/>
        </w:rPr>
      </w:pPr>
      <w:r>
        <w:rPr>
          <w:rFonts w:ascii="Times New Roman;sans-serif" w:hAnsi="Times New Roman;sans-serif"/>
          <w:b w:val="false"/>
          <w:color w:val="000000"/>
          <w:sz w:val="24"/>
        </w:rPr>
        <w:t>3810 West Hillsborough Avenue Tampa, FL 33614</w:t>
      </w:r>
    </w:p>
    <w:p>
      <w:pPr>
        <w:pStyle w:val="TextBody"/>
        <w:bidi w:val="0"/>
        <w:spacing w:lineRule="auto" w:line="288" w:before="1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9205 Adamo Drive</w:t>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Tampa, FL 33619</w:t>
      </w:r>
    </w:p>
    <w:p>
      <w:pPr>
        <w:pStyle w:val="TextBody"/>
        <w:bidi w:val="0"/>
        <w:spacing w:lineRule="auto" w:line="288" w:before="1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3800 West Hillsborough Avenue Tampa, FL 33614</w:t>
      </w:r>
    </w:p>
    <w:p>
      <w:pPr>
        <w:pStyle w:val="TextBody"/>
        <w:bidi w:val="0"/>
        <w:spacing w:lineRule="auto" w:line="288" w:before="159" w:after="283"/>
        <w:jc w:val="left"/>
        <w:rPr>
          <w:rFonts w:ascii="Times New Roman;sans-serif" w:hAnsi="Times New Roman;sans-serif"/>
          <w:b w:val="false"/>
          <w:color w:val="000000"/>
          <w:sz w:val="24"/>
        </w:rPr>
      </w:pPr>
      <w:r>
        <w:rPr>
          <w:rFonts w:ascii="Times New Roman;sans-serif" w:hAnsi="Times New Roman;sans-serif"/>
          <w:b w:val="false"/>
          <w:color w:val="000000"/>
          <w:sz w:val="24"/>
        </w:rPr>
        <w:t>9210 Adamo Drive</w:t>
      </w:r>
    </w:p>
    <w:p>
      <w:pPr>
        <w:pStyle w:val="TextBody"/>
        <w:bidi w:val="0"/>
        <w:spacing w:lineRule="auto" w:line="288" w:before="2" w:after="283"/>
        <w:jc w:val="left"/>
        <w:rPr>
          <w:rFonts w:ascii="Times New Roman;sans-serif" w:hAnsi="Times New Roman;sans-serif"/>
          <w:b w:val="false"/>
          <w:color w:val="000000"/>
          <w:sz w:val="24"/>
        </w:rPr>
      </w:pPr>
      <w:r>
        <w:rPr>
          <w:rFonts w:ascii="Times New Roman;sans-serif" w:hAnsi="Times New Roman;sans-serif"/>
          <w:b w:val="false"/>
          <w:color w:val="000000"/>
          <w:sz w:val="24"/>
        </w:rPr>
        <w:t>Tampa, FL 33619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39"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6"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1310 Buford Highway</w:t>
      </w:r>
    </w:p>
    <w:p>
      <w:pPr>
        <w:pStyle w:val="TextBody"/>
        <w:bidi w:val="0"/>
        <w:spacing w:lineRule="auto" w:line="288" w:before="2" w:after="283"/>
        <w:jc w:val="left"/>
        <w:rPr>
          <w:rFonts w:ascii="Times New Roman;sans-serif" w:hAnsi="Times New Roman;sans-serif"/>
          <w:b w:val="false"/>
          <w:color w:val="000000"/>
          <w:sz w:val="24"/>
        </w:rPr>
      </w:pPr>
      <w:r>
        <w:rPr>
          <w:rFonts w:ascii="Times New Roman;sans-serif" w:hAnsi="Times New Roman;sans-serif"/>
          <w:b w:val="false"/>
          <w:color w:val="000000"/>
          <w:sz w:val="24"/>
        </w:rPr>
        <w:t>Cumming, GA 30041</w:t>
      </w:r>
    </w:p>
    <w:p>
      <w:pPr>
        <w:pStyle w:val="TextBody"/>
        <w:bidi w:val="0"/>
        <w:spacing w:lineRule="auto" w:line="288" w:before="158" w:after="283"/>
        <w:jc w:val="left"/>
        <w:rPr>
          <w:rFonts w:ascii="Times New Roman;sans-serif" w:hAnsi="Times New Roman;sans-serif"/>
          <w:b w:val="false"/>
          <w:color w:val="000000"/>
          <w:sz w:val="24"/>
        </w:rPr>
      </w:pPr>
      <w:r>
        <w:rPr>
          <w:rFonts w:ascii="Times New Roman;sans-serif" w:hAnsi="Times New Roman;sans-serif"/>
          <w:b w:val="false"/>
          <w:color w:val="000000"/>
          <w:sz w:val="24"/>
        </w:rPr>
        <w:t>4200 Jonesboro Road Union City, GA 30291</w:t>
      </w:r>
    </w:p>
    <w:p>
      <w:pPr>
        <w:pStyle w:val="TextBody"/>
        <w:bidi w:val="0"/>
        <w:spacing w:lineRule="auto" w:line="288" w:before="1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4115 Jonesboro Road Union City, GA 30291</w:t>
      </w:r>
    </w:p>
    <w:p>
      <w:pPr>
        <w:pStyle w:val="TextBody"/>
        <w:bidi w:val="0"/>
        <w:spacing w:lineRule="auto" w:line="288" w:before="1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4400 South US Highway 1 Ft. Pierce, FL 34982</w:t>
      </w:r>
    </w:p>
    <w:p>
      <w:pPr>
        <w:pStyle w:val="TextBody"/>
        <w:bidi w:val="0"/>
        <w:spacing w:lineRule="auto" w:line="288" w:before="159" w:after="283"/>
        <w:jc w:val="left"/>
        <w:rPr>
          <w:rFonts w:ascii="Times New Roman;sans-serif" w:hAnsi="Times New Roman;sans-serif"/>
          <w:b w:val="false"/>
          <w:color w:val="000000"/>
          <w:sz w:val="24"/>
        </w:rPr>
      </w:pPr>
      <w:r>
        <w:rPr>
          <w:rFonts w:ascii="Times New Roman;sans-serif" w:hAnsi="Times New Roman;sans-serif"/>
          <w:b w:val="false"/>
          <w:color w:val="000000"/>
          <w:sz w:val="24"/>
        </w:rPr>
        <w:t>4429 US 1 South</w:t>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Ft. Pierce, FL 33954</w:t>
      </w:r>
    </w:p>
    <w:p>
      <w:pPr>
        <w:pStyle w:val="TextBody"/>
        <w:bidi w:val="0"/>
        <w:spacing w:lineRule="auto" w:line="288" w:before="159" w:after="283"/>
        <w:jc w:val="left"/>
        <w:rPr>
          <w:rFonts w:ascii="Times New Roman;sans-serif" w:hAnsi="Times New Roman;sans-serif"/>
          <w:b w:val="false"/>
          <w:color w:val="000000"/>
          <w:sz w:val="24"/>
        </w:rPr>
      </w:pPr>
      <w:r>
        <w:rPr>
          <w:rFonts w:ascii="Times New Roman;sans-serif" w:hAnsi="Times New Roman;sans-serif"/>
          <w:b w:val="false"/>
          <w:color w:val="000000"/>
          <w:sz w:val="24"/>
        </w:rPr>
        <w:t>7245 Blanding Boulevard</w:t>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Jacksonville, FL 32244</w:t>
      </w:r>
    </w:p>
    <w:p>
      <w:pPr>
        <w:pStyle w:val="TextBody"/>
        <w:bidi w:val="0"/>
        <w:spacing w:before="160" w:after="283"/>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10880 Philips Highway</w:t>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Jacksonville FL 32256</w:t>
      </w:r>
    </w:p>
    <w:p>
      <w:pPr>
        <w:pStyle w:val="TextBody"/>
        <w:bidi w:val="0"/>
        <w:spacing w:lineRule="auto" w:line="288" w:before="158" w:after="283"/>
        <w:jc w:val="left"/>
        <w:rPr>
          <w:rFonts w:ascii="Times New Roman;sans-serif" w:hAnsi="Times New Roman;sans-serif"/>
          <w:b w:val="false"/>
          <w:color w:val="000000"/>
          <w:sz w:val="24"/>
        </w:rPr>
      </w:pPr>
      <w:r>
        <w:rPr>
          <w:rFonts w:ascii="Times New Roman;sans-serif" w:hAnsi="Times New Roman;sans-serif"/>
          <w:b w:val="false"/>
          <w:color w:val="000000"/>
          <w:sz w:val="24"/>
        </w:rPr>
        <w:t>2655 North Volusia Avenue Orange City, FL 32763</w:t>
      </w:r>
    </w:p>
    <w:p>
      <w:pPr>
        <w:pStyle w:val="TextBody"/>
        <w:bidi w:val="0"/>
        <w:spacing w:lineRule="auto" w:line="288" w:before="1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2677 North Volusia Avenue Orange City, FL 32763</w:t>
      </w:r>
    </w:p>
    <w:p>
      <w:pPr>
        <w:pStyle w:val="TextBody"/>
        <w:bidi w:val="0"/>
        <w:spacing w:lineRule="auto" w:line="288" w:before="1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2308 South Woodland Boulevard Deland, FL 32720</w:t>
      </w:r>
    </w:p>
    <w:p>
      <w:pPr>
        <w:pStyle w:val="TextBody"/>
        <w:bidi w:val="0"/>
        <w:spacing w:lineRule="auto" w:line="288" w:before="1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9650 Atlantic Boulevard</w:t>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Jacksonville, FL 32225</w:t>
      </w:r>
    </w:p>
    <w:p>
      <w:pPr>
        <w:pStyle w:val="TextBody"/>
        <w:bidi w:val="0"/>
        <w:spacing w:lineRule="auto" w:line="288" w:before="158"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11003 Atlantic Boulevard</w:t>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Jacksonville, FL 32225</w:t>
      </w:r>
    </w:p>
    <w:p>
      <w:pPr>
        <w:pStyle w:val="TextBody"/>
        <w:bidi w:val="0"/>
        <w:spacing w:lineRule="auto" w:line="288" w:before="1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4450 US 1 South Ft. Pierce, Fl 34982</w:t>
      </w:r>
    </w:p>
    <w:p>
      <w:pPr>
        <w:pStyle w:val="TextBody"/>
        <w:bidi w:val="0"/>
        <w:spacing w:lineRule="auto" w:line="288" w:before="1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11051 South Orange Blossom Trail Orlando FL 32837</w:t>
      </w:r>
    </w:p>
    <w:p>
      <w:pPr>
        <w:pStyle w:val="TextBody"/>
        <w:bidi w:val="0"/>
        <w:spacing w:lineRule="auto" w:line="288" w:before="159" w:after="283"/>
        <w:jc w:val="left"/>
        <w:rPr>
          <w:rFonts w:ascii="Times New Roman;sans-serif" w:hAnsi="Times New Roman;sans-serif"/>
          <w:b w:val="false"/>
          <w:color w:val="000000"/>
          <w:sz w:val="24"/>
        </w:rPr>
      </w:pPr>
      <w:r>
        <w:rPr>
          <w:rFonts w:ascii="Times New Roman;sans-serif" w:hAnsi="Times New Roman;sans-serif"/>
          <w:b w:val="false"/>
          <w:color w:val="000000"/>
          <w:sz w:val="24"/>
        </w:rPr>
        <w:t>2925 US 1 South</w:t>
      </w:r>
    </w:p>
    <w:p>
      <w:pPr>
        <w:pStyle w:val="TextBody"/>
        <w:bidi w:val="0"/>
        <w:spacing w:lineRule="auto" w:line="288" w:before="2" w:after="283"/>
        <w:jc w:val="left"/>
        <w:rPr>
          <w:rFonts w:ascii="Times New Roman;sans-serif" w:hAnsi="Times New Roman;sans-serif"/>
          <w:b w:val="false"/>
          <w:color w:val="000000"/>
          <w:sz w:val="24"/>
        </w:rPr>
      </w:pPr>
      <w:r>
        <w:rPr>
          <w:rFonts w:ascii="Times New Roman;sans-serif" w:hAnsi="Times New Roman;sans-serif"/>
          <w:b w:val="false"/>
          <w:color w:val="000000"/>
          <w:sz w:val="24"/>
        </w:rPr>
        <w:t>St Augustine, FL 32086</w:t>
      </w:r>
    </w:p>
    <w:p>
      <w:pPr>
        <w:pStyle w:val="TextBody"/>
        <w:bidi w:val="0"/>
        <w:spacing w:lineRule="auto" w:line="288" w:before="158"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10600 Atlantic Boulevard</w:t>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Jacksonville, FL 32225</w:t>
      </w:r>
    </w:p>
    <w:p>
      <w:pPr>
        <w:pStyle w:val="TextBody"/>
        <w:bidi w:val="0"/>
        <w:spacing w:lineRule="auto" w:line="288" w:before="1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10859 Philips Highway</w:t>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Jacksonville, FL 32256</w:t>
      </w:r>
    </w:p>
    <w:p>
      <w:pPr>
        <w:pStyle w:val="TextBody"/>
        <w:bidi w:val="0"/>
        <w:spacing w:before="76" w:after="283"/>
        <w:ind w:left="0" w:right="0" w:hanging="61"/>
        <w:jc w:val="left"/>
        <w:rPr/>
      </w:pPr>
      <w:r>
        <w:rPr/>
      </w:r>
    </w:p>
    <w:p>
      <w:pPr>
        <w:pStyle w:val="TextBody"/>
        <w:bidi w:val="0"/>
        <w:spacing w:lineRule="auto" w:line="288" w:before="0" w:after="0"/>
        <w:ind w:left="0" w:right="0" w:hanging="61"/>
        <w:jc w:val="left"/>
        <w:rPr>
          <w:rFonts w:ascii="Times New Roman;sans-serif" w:hAnsi="Times New Roman;sans-serif"/>
          <w:b w:val="false"/>
          <w:color w:val="000000"/>
          <w:sz w:val="24"/>
        </w:rPr>
      </w:pPr>
      <w:r>
        <w:rPr>
          <w:rFonts w:ascii="Times New Roman;sans-serif" w:hAnsi="Times New Roman;sans-serif"/>
          <w:b w:val="false"/>
          <w:color w:val="000000"/>
          <w:sz w:val="24"/>
        </w:rPr>
        <w:t>4600 North Dale Mabry Highway Tampa, FL 33614</w:t>
      </w:r>
    </w:p>
    <w:p>
      <w:pPr>
        <w:pStyle w:val="TextBody"/>
        <w:bidi w:val="0"/>
        <w:spacing w:lineRule="auto" w:line="288" w:before="160" w:after="283"/>
        <w:ind w:left="0" w:right="0" w:hanging="61"/>
        <w:jc w:val="left"/>
        <w:rPr>
          <w:rFonts w:ascii="Times New Roman;sans-serif" w:hAnsi="Times New Roman;sans-serif"/>
          <w:b w:val="false"/>
          <w:color w:val="000000"/>
          <w:sz w:val="24"/>
        </w:rPr>
      </w:pPr>
      <w:r>
        <w:rPr>
          <w:rFonts w:ascii="Times New Roman;sans-serif" w:hAnsi="Times New Roman;sans-serif"/>
          <w:b w:val="false"/>
          <w:color w:val="000000"/>
          <w:sz w:val="24"/>
        </w:rPr>
        <w:t>4400 North Dale Mabry Highway Tampa, FL 33614</w:t>
      </w:r>
    </w:p>
    <w:p>
      <w:pPr>
        <w:pStyle w:val="TextBody"/>
        <w:bidi w:val="0"/>
        <w:spacing w:lineRule="auto" w:line="288" w:before="1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4051 West Plano Parkway Plano, TX 75093</w:t>
      </w:r>
    </w:p>
    <w:p>
      <w:pPr>
        <w:pStyle w:val="TextBody"/>
        <w:bidi w:val="0"/>
        <w:spacing w:lineRule="auto" w:line="288" w:before="1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13553 US Highway 183 North</w:t>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Austin, TX 78750</w:t>
      </w:r>
    </w:p>
    <w:p>
      <w:pPr>
        <w:pStyle w:val="TextBody"/>
        <w:bidi w:val="0"/>
        <w:spacing w:lineRule="auto" w:line="288" w:before="158" w:after="283"/>
        <w:jc w:val="left"/>
        <w:rPr>
          <w:rFonts w:ascii="Times New Roman;sans-serif" w:hAnsi="Times New Roman;sans-serif"/>
          <w:b w:val="false"/>
          <w:color w:val="000000"/>
          <w:sz w:val="24"/>
        </w:rPr>
      </w:pPr>
      <w:r>
        <w:rPr>
          <w:rFonts w:ascii="Times New Roman;sans-serif" w:hAnsi="Times New Roman;sans-serif"/>
          <w:b w:val="false"/>
          <w:color w:val="000000"/>
          <w:sz w:val="24"/>
        </w:rPr>
        <w:t>300 West Loop 820 South Fort Worth, TX 76108</w:t>
      </w:r>
    </w:p>
    <w:p>
      <w:pPr>
        <w:pStyle w:val="TextBody"/>
        <w:bidi w:val="0"/>
        <w:spacing w:lineRule="auto" w:line="288" w:before="1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1601 North Dallas Parkway (7200 State Highway 121)</w:t>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Frisco, TX 75034</w:t>
      </w:r>
    </w:p>
    <w:p>
      <w:pPr>
        <w:pStyle w:val="TextBody"/>
        <w:bidi w:val="0"/>
        <w:spacing w:lineRule="auto" w:line="288" w:before="1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6400 TX Highway 121</w:t>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Frisco, TX 75034</w:t>
      </w:r>
    </w:p>
    <w:p>
      <w:pPr>
        <w:pStyle w:val="TextBody"/>
        <w:bidi w:val="0"/>
        <w:spacing w:lineRule="auto" w:line="288" w:before="158" w:after="283"/>
        <w:jc w:val="left"/>
        <w:rPr>
          <w:rFonts w:ascii="Times New Roman;sans-serif" w:hAnsi="Times New Roman;sans-serif"/>
          <w:b w:val="false"/>
          <w:color w:val="000000"/>
          <w:sz w:val="24"/>
        </w:rPr>
      </w:pPr>
      <w:r>
        <w:rPr>
          <w:rFonts w:ascii="Times New Roman;sans-serif" w:hAnsi="Times New Roman;sans-serif"/>
          <w:b w:val="false"/>
          <w:color w:val="000000"/>
          <w:sz w:val="24"/>
        </w:rPr>
        <w:t>3700 West Airport Freeway Irving, TX 75062</w:t>
      </w:r>
    </w:p>
    <w:p>
      <w:pPr>
        <w:pStyle w:val="TextBody"/>
        <w:bidi w:val="0"/>
        <w:spacing w:lineRule="auto" w:line="288" w:before="1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1300 East State Highway 114 DFW Airport, TX 75261</w:t>
      </w:r>
    </w:p>
    <w:p>
      <w:pPr>
        <w:pStyle w:val="TextBody"/>
        <w:bidi w:val="0"/>
        <w:spacing w:lineRule="auto" w:line="288" w:before="1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901 East State Highway 114</w:t>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Grapevine, TX 76051</w:t>
      </w:r>
    </w:p>
    <w:p>
      <w:pPr>
        <w:pStyle w:val="TextBody"/>
        <w:bidi w:val="0"/>
        <w:spacing w:lineRule="auto" w:line="288" w:before="159" w:after="283"/>
        <w:jc w:val="left"/>
        <w:rPr>
          <w:rFonts w:ascii="Times New Roman;sans-serif" w:hAnsi="Times New Roman;sans-serif"/>
          <w:b w:val="false"/>
          <w:color w:val="000000"/>
          <w:sz w:val="24"/>
        </w:rPr>
      </w:pPr>
      <w:r>
        <w:rPr>
          <w:rFonts w:ascii="Times New Roman;sans-serif" w:hAnsi="Times New Roman;sans-serif"/>
          <w:b w:val="false"/>
          <w:color w:val="000000"/>
          <w:sz w:val="24"/>
        </w:rPr>
        <w:t>6785 Dallas Parkway</w:t>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Plano, TX 75024</w:t>
      </w:r>
    </w:p>
    <w:p>
      <w:pPr>
        <w:pStyle w:val="TextBody"/>
        <w:bidi w:val="0"/>
        <w:spacing w:lineRule="auto" w:line="288" w:before="158" w:after="283"/>
        <w:jc w:val="left"/>
        <w:rPr>
          <w:rFonts w:ascii="Times New Roman;sans-serif" w:hAnsi="Times New Roman;sans-serif"/>
          <w:b w:val="false"/>
          <w:color w:val="000000"/>
          <w:sz w:val="24"/>
        </w:rPr>
      </w:pPr>
      <w:r>
        <w:rPr>
          <w:rFonts w:ascii="Times New Roman;sans-serif" w:hAnsi="Times New Roman;sans-serif"/>
          <w:b w:val="false"/>
          <w:color w:val="000000"/>
          <w:sz w:val="24"/>
        </w:rPr>
        <w:t>4201 Beltway Place</w:t>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Arlington, TX 76018</w:t>
      </w:r>
    </w:p>
    <w:p>
      <w:pPr>
        <w:pStyle w:val="TextBody"/>
        <w:bidi w:val="0"/>
        <w:spacing w:lineRule="auto" w:line="288" w:before="1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6113 Lemmon Avenue</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Dallas, TX 75209</w:t>
      </w:r>
    </w:p>
    <w:p>
      <w:pPr>
        <w:pStyle w:val="TextBody"/>
        <w:bidi w:val="0"/>
        <w:spacing w:lineRule="auto" w:line="288" w:before="1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5601 Bryant Irvin Road Fort Worth, TX 76132</w:t>
      </w:r>
    </w:p>
    <w:p>
      <w:pPr>
        <w:pStyle w:val="TextBody"/>
        <w:bidi w:val="0"/>
        <w:spacing w:lineRule="auto" w:line="288" w:before="159" w:after="283"/>
        <w:jc w:val="left"/>
        <w:rPr>
          <w:rFonts w:ascii="Times New Roman;sans-serif" w:hAnsi="Times New Roman;sans-serif"/>
          <w:b w:val="false"/>
          <w:color w:val="000000"/>
          <w:sz w:val="24"/>
        </w:rPr>
      </w:pPr>
      <w:r>
        <w:rPr>
          <w:rFonts w:ascii="Times New Roman;sans-serif" w:hAnsi="Times New Roman;sans-serif"/>
          <w:b w:val="false"/>
          <w:color w:val="000000"/>
          <w:sz w:val="24"/>
        </w:rPr>
        <w:t>6107 Lemmon Avenue</w:t>
      </w:r>
    </w:p>
    <w:p>
      <w:pPr>
        <w:pStyle w:val="TextBody"/>
        <w:bidi w:val="0"/>
        <w:spacing w:lineRule="auto" w:line="288" w:before="2"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Dallas, TX 75209</w:t>
      </w:r>
    </w:p>
    <w:p>
      <w:pPr>
        <w:pStyle w:val="TextBody"/>
        <w:bidi w:val="0"/>
        <w:spacing w:lineRule="auto" w:line="288" w:before="158" w:after="283"/>
        <w:jc w:val="left"/>
        <w:rPr>
          <w:rFonts w:ascii="Times New Roman;sans-serif" w:hAnsi="Times New Roman;sans-serif"/>
          <w:b w:val="false"/>
          <w:color w:val="000000"/>
          <w:sz w:val="24"/>
        </w:rPr>
      </w:pPr>
      <w:r>
        <w:rPr>
          <w:rFonts w:ascii="Times New Roman;sans-serif" w:hAnsi="Times New Roman;sans-serif"/>
          <w:b w:val="false"/>
          <w:color w:val="000000"/>
          <w:sz w:val="24"/>
        </w:rPr>
        <w:t>3515 Inwood Road</w:t>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Dallas, TX 75209</w:t>
      </w:r>
    </w:p>
    <w:p>
      <w:pPr>
        <w:pStyle w:val="TextBody"/>
        <w:bidi w:val="0"/>
        <w:spacing w:lineRule="auto" w:line="288" w:before="1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2001 Stony Creek Road Noblesville, IN 46060</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0"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76"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11340 Philips Highway</w:t>
      </w:r>
    </w:p>
    <w:p>
      <w:pPr>
        <w:pStyle w:val="TextBody"/>
        <w:bidi w:val="0"/>
        <w:spacing w:lineRule="auto" w:line="288" w:before="2" w:after="283"/>
        <w:jc w:val="left"/>
        <w:rPr>
          <w:rFonts w:ascii="Times New Roman;sans-serif" w:hAnsi="Times New Roman;sans-serif"/>
          <w:b w:val="false"/>
          <w:color w:val="000000"/>
          <w:sz w:val="24"/>
        </w:rPr>
      </w:pPr>
      <w:r>
        <w:rPr>
          <w:rFonts w:ascii="Times New Roman;sans-serif" w:hAnsi="Times New Roman;sans-serif"/>
          <w:b w:val="false"/>
          <w:color w:val="000000"/>
          <w:sz w:val="24"/>
        </w:rPr>
        <w:t>Jacksonville, FL 32256</w:t>
      </w:r>
    </w:p>
    <w:p>
      <w:pPr>
        <w:pStyle w:val="TextBody"/>
        <w:bidi w:val="0"/>
        <w:spacing w:lineRule="auto" w:line="288" w:before="158" w:after="283"/>
        <w:jc w:val="left"/>
        <w:rPr>
          <w:rFonts w:ascii="Times New Roman;sans-serif" w:hAnsi="Times New Roman;sans-serif"/>
          <w:b w:val="false"/>
          <w:color w:val="000000"/>
          <w:sz w:val="24"/>
        </w:rPr>
      </w:pPr>
      <w:r>
        <w:rPr>
          <w:rFonts w:ascii="Times New Roman;sans-serif" w:hAnsi="Times New Roman;sans-serif"/>
          <w:b w:val="false"/>
          <w:color w:val="000000"/>
          <w:sz w:val="24"/>
        </w:rPr>
        <w:t>31975 US Highway 19 North Palm Harbor, FL 34684</w:t>
      </w:r>
    </w:p>
    <w:p>
      <w:pPr>
        <w:pStyle w:val="TextBody"/>
        <w:bidi w:val="0"/>
        <w:spacing w:lineRule="auto" w:line="288" w:before="1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4500 US 1 South</w:t>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Ft. Pierce, FL 34982</w:t>
      </w:r>
    </w:p>
    <w:p>
      <w:pPr>
        <w:pStyle w:val="TextBody"/>
        <w:bidi w:val="0"/>
        <w:spacing w:lineRule="auto" w:line="288" w:before="159"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1295 Richmond Avenue</w:t>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Charlottesville, VA 22911</w:t>
      </w:r>
    </w:p>
    <w:p>
      <w:pPr>
        <w:pStyle w:val="TextBody"/>
        <w:bidi w:val="0"/>
        <w:spacing w:lineRule="auto" w:line="288" w:before="158"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1001 Southpoint Auto Park Boulevard Durham, NC 27713</w:t>
      </w:r>
    </w:p>
    <w:p>
      <w:pPr>
        <w:pStyle w:val="TextBody"/>
        <w:bidi w:val="0"/>
        <w:spacing w:lineRule="auto" w:line="288" w:before="1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436 North McPherson Church Road Fayetteville, NC 28303</w:t>
      </w:r>
    </w:p>
    <w:p>
      <w:pPr>
        <w:pStyle w:val="TextBody"/>
        <w:bidi w:val="0"/>
        <w:spacing w:lineRule="auto" w:line="288" w:before="1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256 Swain Street</w:t>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Fayetteville, NC 28303</w:t>
      </w:r>
    </w:p>
    <w:p>
      <w:pPr>
        <w:pStyle w:val="TextBody"/>
        <w:bidi w:val="0"/>
        <w:spacing w:lineRule="auto" w:line="288" w:before="158" w:after="283"/>
        <w:jc w:val="left"/>
        <w:rPr>
          <w:rFonts w:ascii="Times New Roman;sans-serif" w:hAnsi="Times New Roman;sans-serif"/>
          <w:b w:val="false"/>
          <w:color w:val="000000"/>
          <w:sz w:val="24"/>
        </w:rPr>
      </w:pPr>
      <w:r>
        <w:rPr>
          <w:rFonts w:ascii="Times New Roman;sans-serif" w:hAnsi="Times New Roman;sans-serif"/>
          <w:b w:val="false"/>
          <w:color w:val="000000"/>
          <w:sz w:val="24"/>
        </w:rPr>
        <w:t>3908 West Wendover Avenue Greensboro, NC 27407</w:t>
      </w:r>
    </w:p>
    <w:p>
      <w:pPr>
        <w:pStyle w:val="TextBody"/>
        <w:bidi w:val="0"/>
        <w:spacing w:lineRule="auto" w:line="288" w:before="1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3902 West Wendover Avenue Greensboro, NC 27407</w:t>
      </w:r>
    </w:p>
    <w:p>
      <w:pPr>
        <w:pStyle w:val="TextBody"/>
        <w:bidi w:val="0"/>
        <w:spacing w:lineRule="auto" w:line="288" w:before="1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3710 West Wendover Avenue Greensboro, NC 27407</w:t>
      </w:r>
    </w:p>
    <w:p>
      <w:pPr>
        <w:pStyle w:val="TextBody"/>
        <w:bidi w:val="0"/>
        <w:spacing w:lineRule="auto" w:line="288" w:before="1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3633 West Wendover Avenue Greensboro, NC 27407</w:t>
      </w:r>
    </w:p>
    <w:p>
      <w:pPr>
        <w:pStyle w:val="TextBody"/>
        <w:bidi w:val="0"/>
        <w:spacing w:lineRule="auto" w:line="288" w:before="159" w:after="283"/>
        <w:jc w:val="left"/>
        <w:rPr>
          <w:rFonts w:ascii="Times New Roman;sans-serif" w:hAnsi="Times New Roman;sans-serif"/>
          <w:b w:val="false"/>
          <w:color w:val="000000"/>
          <w:sz w:val="24"/>
        </w:rPr>
      </w:pPr>
      <w:r>
        <w:rPr>
          <w:rFonts w:ascii="Times New Roman;sans-serif" w:hAnsi="Times New Roman;sans-serif"/>
          <w:b w:val="false"/>
          <w:color w:val="000000"/>
          <w:sz w:val="24"/>
        </w:rPr>
        <w:t>3900 West Wendover Avenue Greensboro, NC 27407</w:t>
      </w:r>
    </w:p>
    <w:p>
      <w:pPr>
        <w:pStyle w:val="TextBody"/>
        <w:bidi w:val="0"/>
        <w:spacing w:lineRule="auto" w:line="288" w:before="1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3607 West Wendover Avenue Greensboro, NC 27407</w:t>
      </w:r>
    </w:p>
    <w:p>
      <w:pPr>
        <w:pStyle w:val="TextBody"/>
        <w:bidi w:val="0"/>
        <w:spacing w:lineRule="auto" w:line="288" w:before="1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8704 West Broad Street Richmond, VA 23294</w:t>
      </w:r>
    </w:p>
    <w:p>
      <w:pPr>
        <w:pStyle w:val="TextBody"/>
        <w:bidi w:val="0"/>
        <w:spacing w:lineRule="auto" w:line="288" w:before="159" w:after="283"/>
        <w:jc w:val="left"/>
        <w:rPr>
          <w:rFonts w:ascii="Times New Roman;sans-serif" w:hAnsi="Times New Roman;sans-serif"/>
          <w:b w:val="false"/>
          <w:color w:val="000000"/>
          <w:sz w:val="24"/>
        </w:rPr>
      </w:pPr>
      <w:r>
        <w:rPr>
          <w:rFonts w:ascii="Times New Roman;sans-serif" w:hAnsi="Times New Roman;sans-serif"/>
          <w:b w:val="false"/>
          <w:color w:val="000000"/>
          <w:sz w:val="24"/>
        </w:rPr>
        <w:t>8712 West Broad Street Richmond, VA 23294</w:t>
      </w:r>
    </w:p>
    <w:p>
      <w:pPr>
        <w:pStyle w:val="TextBody"/>
        <w:bidi w:val="0"/>
        <w:spacing w:lineRule="auto" w:line="288" w:before="1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8710 West Broad Street Richmond, VA 23294</w:t>
      </w:r>
    </w:p>
    <w:p>
      <w:pPr>
        <w:pStyle w:val="TextBody"/>
        <w:bidi w:val="0"/>
        <w:spacing w:lineRule="auto" w:line="288" w:before="1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12100 Midlothian Turnpike</w:t>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Midlothian, VA 23113</w:t>
      </w:r>
    </w:p>
    <w:p>
      <w:pPr>
        <w:pStyle w:val="TextBody"/>
        <w:bidi w:val="0"/>
        <w:spacing w:before="76" w:after="283"/>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3477 East Conner Street Noblesville, IN 46060</w:t>
      </w:r>
    </w:p>
    <w:p>
      <w:pPr>
        <w:pStyle w:val="TextBody"/>
        <w:bidi w:val="0"/>
        <w:spacing w:lineRule="auto" w:line="288" w:before="1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8693 East US Highway 36</w:t>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Avon, IN 46123</w:t>
      </w:r>
    </w:p>
    <w:p>
      <w:pPr>
        <w:pStyle w:val="TextBody"/>
        <w:bidi w:val="0"/>
        <w:spacing w:lineRule="auto" w:line="288" w:before="1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4105 West 96th Street Indianapolis, IN 46268</w:t>
      </w:r>
    </w:p>
    <w:p>
      <w:pPr>
        <w:pStyle w:val="TextBody"/>
        <w:bidi w:val="0"/>
        <w:spacing w:lineRule="auto" w:line="288" w:before="1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1920 North Lebanon Street Lebanon, IN 46052</w:t>
      </w:r>
    </w:p>
    <w:p>
      <w:pPr>
        <w:pStyle w:val="TextBody"/>
        <w:bidi w:val="0"/>
        <w:spacing w:lineRule="auto" w:line="288" w:before="159" w:after="283"/>
        <w:jc w:val="left"/>
        <w:rPr>
          <w:rFonts w:ascii="Times New Roman;sans-serif" w:hAnsi="Times New Roman;sans-serif"/>
          <w:b w:val="false"/>
          <w:color w:val="000000"/>
          <w:sz w:val="24"/>
        </w:rPr>
      </w:pPr>
      <w:r>
        <w:rPr>
          <w:rFonts w:ascii="Times New Roman;sans-serif" w:hAnsi="Times New Roman;sans-serif"/>
          <w:b w:val="false"/>
          <w:color w:val="000000"/>
          <w:sz w:val="24"/>
        </w:rPr>
        <w:t>745 East 56th Street Brownsburg, IN 46112</w:t>
      </w:r>
    </w:p>
    <w:p>
      <w:pPr>
        <w:pStyle w:val="TextBody"/>
        <w:bidi w:val="0"/>
        <w:spacing w:lineRule="auto" w:line="288" w:before="1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450 East Northfield Drive Brownsburg, IN 46112</w:t>
      </w:r>
    </w:p>
    <w:p>
      <w:pPr>
        <w:pStyle w:val="TextBody"/>
        <w:bidi w:val="0"/>
        <w:spacing w:lineRule="auto" w:line="288" w:before="1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3232 Harper Road</w:t>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Indianapolis, IN 46240</w:t>
      </w:r>
    </w:p>
    <w:p>
      <w:pPr>
        <w:pStyle w:val="TextBody"/>
        <w:bidi w:val="0"/>
        <w:spacing w:lineRule="auto" w:line="288" w:before="158" w:after="283"/>
        <w:jc w:val="left"/>
        <w:rPr>
          <w:rFonts w:ascii="Times New Roman;sans-serif" w:hAnsi="Times New Roman;sans-serif"/>
          <w:b w:val="false"/>
          <w:color w:val="000000"/>
          <w:sz w:val="24"/>
        </w:rPr>
      </w:pPr>
      <w:r>
        <w:rPr>
          <w:rFonts w:ascii="Times New Roman;sans-serif" w:hAnsi="Times New Roman;sans-serif"/>
          <w:b w:val="false"/>
          <w:color w:val="000000"/>
          <w:sz w:val="24"/>
        </w:rPr>
        <w:t>9900 Pleasant Street</w:t>
      </w:r>
    </w:p>
    <w:p>
      <w:pPr>
        <w:pStyle w:val="TextBody"/>
        <w:bidi w:val="0"/>
        <w:spacing w:lineRule="auto" w:line="288" w:before="2"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Noblesville, IN 46060</w:t>
      </w:r>
    </w:p>
    <w:p>
      <w:pPr>
        <w:pStyle w:val="TextBody"/>
        <w:bidi w:val="0"/>
        <w:spacing w:lineRule="auto" w:line="288" w:before="158" w:after="283"/>
        <w:jc w:val="left"/>
        <w:rPr>
          <w:rFonts w:ascii="Times New Roman;sans-serif" w:hAnsi="Times New Roman;sans-serif"/>
          <w:b w:val="false"/>
          <w:color w:val="000000"/>
          <w:sz w:val="24"/>
        </w:rPr>
      </w:pPr>
      <w:r>
        <w:rPr>
          <w:rFonts w:ascii="Times New Roman;sans-serif" w:hAnsi="Times New Roman;sans-serif"/>
          <w:b w:val="false"/>
          <w:color w:val="000000"/>
          <w:sz w:val="24"/>
        </w:rPr>
        <w:t>1650 West 104th Avenue Denver, CO 80234</w:t>
      </w:r>
    </w:p>
    <w:p>
      <w:pPr>
        <w:pStyle w:val="TextBody"/>
        <w:bidi w:val="0"/>
        <w:spacing w:lineRule="auto" w:line="288" w:before="1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2501 35th Avenue</w:t>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Greeley, CO 80634</w:t>
      </w:r>
    </w:p>
    <w:p>
      <w:pPr>
        <w:pStyle w:val="TextBody"/>
        <w:bidi w:val="0"/>
        <w:spacing w:lineRule="auto" w:line="288" w:before="159" w:after="283"/>
        <w:jc w:val="left"/>
        <w:rPr>
          <w:rFonts w:ascii="Times New Roman;sans-serif" w:hAnsi="Times New Roman;sans-serif"/>
          <w:b w:val="false"/>
          <w:color w:val="000000"/>
          <w:sz w:val="24"/>
        </w:rPr>
      </w:pPr>
      <w:r>
        <w:rPr>
          <w:rFonts w:ascii="Times New Roman;sans-serif" w:hAnsi="Times New Roman;sans-serif"/>
          <w:b w:val="false"/>
          <w:color w:val="000000"/>
          <w:sz w:val="24"/>
        </w:rPr>
        <w:t>4720 West 24th Street Greeley, CO 80634</w:t>
      </w:r>
    </w:p>
    <w:p>
      <w:pPr>
        <w:pStyle w:val="TextBody"/>
        <w:bidi w:val="0"/>
        <w:spacing w:lineRule="auto" w:line="288" w:before="159" w:after="283"/>
        <w:jc w:val="left"/>
        <w:rPr>
          <w:rFonts w:ascii="Times New Roman;sans-serif" w:hAnsi="Times New Roman;sans-serif"/>
          <w:b w:val="false"/>
          <w:color w:val="000000"/>
          <w:sz w:val="24"/>
        </w:rPr>
      </w:pPr>
      <w:r>
        <w:rPr>
          <w:rFonts w:ascii="Times New Roman;sans-serif" w:hAnsi="Times New Roman;sans-serif"/>
          <w:b w:val="false"/>
          <w:color w:val="000000"/>
          <w:sz w:val="24"/>
        </w:rPr>
        <w:t>9899 East Arapahoe Road Centennial, CO 80112</w:t>
      </w:r>
    </w:p>
    <w:p>
      <w:pPr>
        <w:pStyle w:val="TextBody"/>
        <w:bidi w:val="0"/>
        <w:spacing w:lineRule="auto" w:line="288" w:before="1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9899 East Arapahoe Road Centennial, CO 80112</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1"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10.14</w:t>
      </w:r>
    </w:p>
    <w:p>
      <w:pPr>
        <w:pStyle w:val="TextBody"/>
        <w:bidi w:val="0"/>
        <w:spacing w:before="0" w:after="0"/>
        <w:jc w:val="left"/>
        <w:rPr/>
      </w:pPr>
      <w:r>
        <w:rPr/>
      </w:r>
    </w:p>
    <w:p>
      <w:pPr>
        <w:pStyle w:val="TextBody"/>
        <w:bidi w:val="0"/>
        <w:spacing w:before="0" w:after="0"/>
        <w:jc w:val="center"/>
        <w:rPr/>
      </w:pPr>
      <w:r>
        <w:rPr/>
        <w:drawing>
          <wp:inline distT="0" distB="0" distL="0" distR="0">
            <wp:extent cx="2628900" cy="819150"/>
            <wp:effectExtent l="0" t="0" r="0" b="0"/>
            <wp:docPr id="14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4" descr=""/>
                    <pic:cNvPicPr>
                      <a:picLocks noChangeAspect="1" noChangeArrowheads="1"/>
                    </pic:cNvPicPr>
                  </pic:nvPicPr>
                  <pic:blipFill>
                    <a:blip r:embed="rId71"/>
                    <a:stretch>
                      <a:fillRect/>
                    </a:stretch>
                  </pic:blipFill>
                  <pic:spPr bwMode="auto">
                    <a:xfrm>
                      <a:off x="0" y="0"/>
                      <a:ext cx="2628900" cy="819150"/>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SEVERANCE PAY AGREEMENT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FOR KEY EMPLOYEE</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This Agreement is entered into as of July 1, 2024 (the “Effective Date”) between Asbury Automotive Group, Inc. (“Asbury”) and Dean Calloway (“Executive”).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CONSIDERATION of the promises and mutual covenants and agreements contained herein, the Asbury and Executive agree as follows:</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1.Severance Pay Arrangement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 xml:space="preserve">If a Termination (as defined in Section 2 below) of Executive’s employment occurs at any time during Executive’s employment, Asbury will pay Executive 12 months of Executive’s base salary as of the date of Termination (hereinafter such pay shall be referred to as “Severance Pay”). The Severance Pay will be subject to required withholding and will be made by Asbury to Executive monthly over the course of 12 months on the regular payroll dates beginning on the first regular payroll date after the effective date of the release referenced in Section B below that Executive executes.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 xml:space="preserve">In addition to the payment of Severance Pay, if a Termination (as defined in Section 2 below) of Executive’s employment occurs at any time during Executive’s employment with Asbury, to the extent that Executive participates in a bonus compensation plan at the date of Termination, Asbury shall pay Executive a pro rata portion of that bonus for the year of the Termination equal to the amount of the bonus that Executive would have received if Executive’s employment had not been terminated during such year, multiplied by the percentage of such year that has expired through the date of Termination. Such bonus shall be paid at such time as bonuses are paid under the bonus compensation plan to Asbury’s other employees whose employment was not terminated in such year. </w:t>
      </w:r>
    </w:p>
    <w:p>
      <w:pPr>
        <w:pStyle w:val="TextBody"/>
        <w:bidi w:val="0"/>
        <w:spacing w:before="0" w:after="0"/>
        <w:jc w:val="both"/>
        <w:rPr/>
      </w:pPr>
      <w:r>
        <w:rPr/>
      </w:r>
    </w:p>
    <w:p>
      <w:pPr>
        <w:pStyle w:val="TextBody"/>
        <w:bidi w:val="0"/>
        <w:spacing w:lineRule="auto" w:line="288"/>
        <w:jc w:val="both"/>
        <w:rPr>
          <w:color w:val="000000"/>
        </w:rPr>
      </w:pPr>
      <w:r>
        <w:rPr>
          <w:color w:val="000000"/>
        </w:rPr>
        <w:t>    </w:t>
      </w:r>
      <w:r>
        <w:rPr>
          <w:rFonts w:ascii="Times New Roman;sans-serif" w:hAnsi="Times New Roman;sans-serif"/>
          <w:b w:val="false"/>
          <w:color w:val="000000"/>
          <w:sz w:val="24"/>
        </w:rPr>
        <w:t xml:space="preserve">Asbury further agrees that, if Executive, upon a Termination (as defined in Section 2 below) of Executive’s employment occurs at any time during Executive’s employment with Asbury, timely and properly elects COBRA for any medical, dental and vision benefit plans in which Executive was participating immediately prior to the end of Executive’s employment with Asbury, Asbury shall continue to pay its portion of the monthly premium for those COBRA-covered medical, dental and vision benefit plans for a period of 12 months after the last day of Executive’s employment with Asbury. Notwithstanding the above, if Executive obtains other employment (prior to the end of the 12 month COBRA reimbursement period) under which Executive is eligible to be covered by benefits equal to the benefits in his COBRA-elected plans,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51155"/>
                <wp:effectExtent l="0" t="0" r="0" b="0"/>
                <wp:wrapNone/>
                <wp:docPr id="143" name="Frame13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 of 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 of 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Asbury’s obligation to reimburse Executive ceases upon Executive’s eligibility for such equal benefits.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Notwithstanding anything herein to the contrary, if Executive is determined to be a “specified employee” within the meaning of Section 409A of the Internal Revenue Code of 1986, as amended the (“Code”) and if one or more of the payments or benefits to be received by Executive pursuant to this Agreement would be considered deferred compensation subject to Section 409A of the Code, then no such payment shall be made or benefit provided until six (6) months following Executive’s date of Termination.</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2.Termination Triggering Severance Pay</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 xml:space="preserve">A “Termination” triggering the Severance Pay set forth above in Section 1 is defined as a termination of Executive’s employment with Asbury: (1) by Asbury without “cause”, or (2) by Executive because of (x) a material change in the geographic location at which the Executive must perform Executive’s services (which shall in no event include a relocation of Executive’s current principal place of business to a location less than 50 miles away), (y) a material diminution in Executive’s base compensation, or (z) a material diminution in Executive’s authority, duties, or responsibilities. For avoidance of doubt, a “Termination” shall not include a termination of Executive’s employment by Asbury for “cause” or due to Executive’s, death, disability, retirement or voluntary resignation.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 xml:space="preserve">For the purposes of this Agreement, the definition of “cause” is: (a) Executive’s gross negligence or serious misconduct (including, without limitation, any criminal, fraudulent or dishonest conduct) that is or may be injurious to Asbury; or (b) Executive’s being convicted of, or entering a plea of nolo contendere to, any crime that constitutes a felony or involves moral turpitude; or (c) Executive’s breach of Sections 3, 4 or 5 below; or (d) Executive’s willful and continued failure to perform Executive’s duties on behalf of Asbury; or (e) Executive’s material breach of a written policy of Asbury. For purposes of this Agreement, the definition of “disability” is a physical or mental disability or infirmity that prevents the performance by Executive of his duties lasting (or likely to last, based on competent medical evidence presented to Asbury) for a continuous period of six months or longer.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3.Confidential Information and Nondisclosure Provision</w:t>
      </w:r>
    </w:p>
    <w:p>
      <w:pPr>
        <w:pStyle w:val="TextBody"/>
        <w:bidi w:val="0"/>
        <w:spacing w:before="0" w:after="0"/>
        <w:jc w:val="both"/>
        <w:rPr/>
      </w:pPr>
      <w:r>
        <w:rPr/>
      </w:r>
    </w:p>
    <w:p>
      <w:pPr>
        <w:pStyle w:val="TextBody"/>
        <w:bidi w:val="0"/>
        <w:spacing w:lineRule="auto" w:line="288"/>
        <w:jc w:val="both"/>
        <w:rPr>
          <w:color w:val="000000"/>
        </w:rPr>
      </w:pPr>
      <w:r>
        <w:rPr>
          <w:color w:val="000000"/>
        </w:rPr>
        <w:t>    </w:t>
      </w:r>
      <w:r>
        <w:rPr>
          <w:rFonts w:ascii="Times New Roman;sans-serif" w:hAnsi="Times New Roman;sans-serif"/>
          <w:b w:val="false"/>
          <w:color w:val="000000"/>
          <w:sz w:val="24"/>
        </w:rPr>
        <w:t xml:space="preserve">As a condition to the receipt of the Severance Pay and benefits described in Section 1 above, during and after employment with Asbury, Executive shall agree not to disclose to any person (other than to an employee or director of Asbury, or to Asbury’s attorneys, accountants and other advisors or except as may be required by law) and not use to compete with Asbury any confidential or proprietary information, knowledge or data that is not in the public domain that was obtained by Executive while employed by Asbury regarding Asbury or any products, improvements, customers, methods of distribution, sales, prices, profits, costs, contracts, suppliers, business prospects, business methods, techniques, research, trade secrets or know-how of Asbury (collectively, “Confidential Information”). In the event that Executive’s employment with Asbury ends for any reason, Executive will deliver to Asbury on or before the Executive’s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4"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color w:val="000000"/>
                                <w:sz w:val="20"/>
                              </w:rPr>
                              <w:t>2</w:t>
                            </w:r>
                            <w:r>
                              <w:rPr>
                                <w:color w:val="000000"/>
                              </w:rPr>
                              <w:t xml:space="preserve"> </w:t>
                            </w:r>
                            <w:r>
                              <w:rPr>
                                <w:rFonts w:ascii="Times New Roman;sans-serif" w:hAnsi="Times New Roman;sans-serif"/>
                                <w:b w:val="false"/>
                                <w:color w:val="000000"/>
                                <w:sz w:val="20"/>
                              </w:rPr>
                              <w:t xml:space="preserve">of </w:t>
                            </w:r>
                            <w:r>
                              <w:rPr>
                                <w:rFonts w:ascii="Times New Roman;sans-serif" w:hAnsi="Times New Roman;sans-serif"/>
                                <w:b/>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color w:val="000000"/>
                          <w:sz w:val="20"/>
                        </w:rPr>
                        <w:t>2</w:t>
                      </w:r>
                      <w:r>
                        <w:rPr>
                          <w:color w:val="000000"/>
                        </w:rPr>
                        <w:t xml:space="preserve"> </w:t>
                      </w:r>
                      <w:r>
                        <w:rPr>
                          <w:rFonts w:ascii="Times New Roman;sans-serif" w:hAnsi="Times New Roman;sans-serif"/>
                          <w:b w:val="false"/>
                          <w:color w:val="000000"/>
                          <w:sz w:val="20"/>
                        </w:rPr>
                        <w:t xml:space="preserve">of </w:t>
                      </w:r>
                      <w:r>
                        <w:rPr>
                          <w:rFonts w:ascii="Times New Roman;sans-serif" w:hAnsi="Times New Roman;sans-serif"/>
                          <w:b/>
                          <w:color w:val="000000"/>
                          <w:sz w:val="20"/>
                        </w:rPr>
                        <w:t>11</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last day of employment all documents and data of any nature (whether in tangible or electronic form) pertaining to Executive’s work with Asbury and will not take any documents or data or any reproduction, or any documents containing or pertaining to any Confidential Information. Executive agrees that in the event of a breach by Executive of this provision, Asbury shall be entitled to inform all potential or new employers of such breach and to cease payments and benefits that would otherwise be made pursuant to Section 1 above, as well as to obtain injunctive relief and damages, including reasonable attorneys fees, and which may include recovery of amounts paid to Executive under this Agreement.</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4.Non-Solicitation/Non-Hire of Employees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4"/>
        </w:rPr>
        <w:t xml:space="preserve">Executive agrees that, during his employment at Asbury and for a 12-month period after the end of his employment with Asbury for any reason, he will not, directly or indirectly, solicit, recruit or hire any employee of Asbury (or any person who was an employee of Asbury during the 12 month period preceding the last day of Executive’s employment with Asbury) or encourage any such employee to terminate employment with Asbury. The restrictions set forth in this Section 4 shall apply to the following geographic territory: the Area. As used in this Section 4, </w:t>
      </w:r>
      <w:r>
        <w:rPr>
          <w:color w:val="000000"/>
        </w:rPr>
        <w:t>“</w:t>
      </w:r>
      <w:r>
        <w:rPr>
          <w:rFonts w:ascii="Times New Roman;sans-serif" w:hAnsi="Times New Roman;sans-serif"/>
          <w:b/>
          <w:i/>
          <w:color w:val="000000"/>
          <w:sz w:val="24"/>
        </w:rPr>
        <w:t>Area</w:t>
      </w:r>
      <w:r>
        <w:rPr>
          <w:color w:val="000000"/>
        </w:rPr>
        <w:t xml:space="preserve">” </w:t>
      </w:r>
      <w:r>
        <w:rPr>
          <w:rFonts w:ascii="Times New Roman;sans-serif" w:hAnsi="Times New Roman;sans-serif"/>
          <w:b w:val="false"/>
          <w:color w:val="000000"/>
          <w:sz w:val="24"/>
        </w:rPr>
        <w:t>means the combined region generated by all regions within a seventy-five-mile radius of either (i) the Company’s headquarters or (ii) any dealership or other Company facility owned by or affiliated with the Company or its Affiliates, as of the last date of Executive’s employment with the Company. For purposes of this Section 4, Executive acknowledges and agrees that the Company and its Affiliates conduct business in the Area and that the Area is a reasonable geographic limitation.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5.Covenant Not to Compete</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Executive agrees that, during his employment at Asbury and for a 12-month period after the end of his/her employment with Asbury for any reason, he/she will not (except on behalf of or with the prior written consent of Asbury, which consent may be withheld in Asbury’s sole discretion):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provide services of a leadership, management, executive, operational, or advisory capacity and/or participate in the ownership of or provide financial backing to an automotive dealership that is located within a fifty-mile radius of any address set forth on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(the “Area”);</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provide senior/corporate level leadership, executive, operational, or advisory services to any corporate competitor of Asbury who owns or operates one or more automotive dealerships within the Area; and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provide services of a leadership, management, executive, operational or advisory capacity for anyone or any business whose focus is buying, conglomerating, or otherwise acquiring one or more automotive dealerships that are located within the Area.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5"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color w:val="000000"/>
                                <w:sz w:val="20"/>
                              </w:rPr>
                              <w:t>3</w:t>
                            </w:r>
                            <w:r>
                              <w:rPr>
                                <w:color w:val="000000"/>
                              </w:rPr>
                              <w:t xml:space="preserve"> </w:t>
                            </w:r>
                            <w:r>
                              <w:rPr>
                                <w:rFonts w:ascii="Times New Roman;sans-serif" w:hAnsi="Times New Roman;sans-serif"/>
                                <w:b w:val="false"/>
                                <w:color w:val="000000"/>
                                <w:sz w:val="20"/>
                              </w:rPr>
                              <w:t xml:space="preserve">of </w:t>
                            </w:r>
                            <w:r>
                              <w:rPr>
                                <w:rFonts w:ascii="Times New Roman;sans-serif" w:hAnsi="Times New Roman;sans-serif"/>
                                <w:b/>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color w:val="000000"/>
                          <w:sz w:val="20"/>
                        </w:rPr>
                        <w:t>3</w:t>
                      </w:r>
                      <w:r>
                        <w:rPr>
                          <w:color w:val="000000"/>
                        </w:rPr>
                        <w:t xml:space="preserve"> </w:t>
                      </w:r>
                      <w:r>
                        <w:rPr>
                          <w:rFonts w:ascii="Times New Roman;sans-serif" w:hAnsi="Times New Roman;sans-serif"/>
                          <w:b w:val="false"/>
                          <w:color w:val="000000"/>
                          <w:sz w:val="20"/>
                        </w:rPr>
                        <w:t xml:space="preserve">of </w:t>
                      </w:r>
                      <w:r>
                        <w:rPr>
                          <w:rFonts w:ascii="Times New Roman;sans-serif" w:hAnsi="Times New Roman;sans-serif"/>
                          <w:b/>
                          <w:color w:val="000000"/>
                          <w:sz w:val="20"/>
                        </w:rPr>
                        <w:t>11</w:t>
                      </w:r>
                    </w:p>
                  </w:txbxContent>
                </v:textbox>
                <w10:wrap type="none"/>
              </v:rect>
            </w:pict>
          </mc:Fallback>
        </mc:AlternateConten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 xml:space="preserve">For purposes of this Section 5, Executive acknowledges and agrees that Asbury conducts business in the Area and that the Area is a reasonable geographic limitation.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 xml:space="preserve">Notwithstanding anything to the contrary contained in this Agreement, Asbury hereby agrees that the foregoing covenant shall not be deemed breached as a result of the passive ownership by Executive of: (i) less than an aggregate of 5% of any class of stock of a business that competes with Asbury; or (ii) less than an aggregate of 10% in value of any instrument of indebtedness of a business that competes with Asbury. Asbury further agrees that nothing in this Section 5 prohibits Executive from accepting employment from, and performing services for, businesses engaged in the finance industry, and businesses engaged in the manufacturing and/or sale of automobile parts or the provision of automotive service, provided such businesses do not also engage in the retail of automobiles within the Area. By way of example, nothing in this Section 5 would prohibit Executive from working with such businesses as American General Finance, NAPA Auto Parts or Goodyear.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4"/>
        </w:rPr>
        <w:t xml:space="preserve">Within one day of the end of Executive’s employment with Asbury for any reason, Executive agrees to re-confirm his commitment to the post-employment restrictive covenants in this Agreement. Executive further agrees that, as part of that re-confirmation, the term “Area” and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hereto may be amended by Asbury, but only to the extent necessary to list the addresses of Asbury’s headquarters and any automotive dealerships that Asbury owns and/or operates as of the last day of Executive’s employment with Asbury.</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6.Construction/Enforcement of Post-Employment Covenants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 xml:space="preserve">Executive agrees that the provisions of Sections 3, 4 and 5 are reasonable and properly required for the adequate protection of the business and the goodwill of Asbury. However, if a judicial determination is made that any of the provisions of Sections 3, 4 or 5 constitutes an unreasonable or otherwise unenforceable restriction against Executive, such provision(s) shall be modified or severed so as to permit enforcement of the provision(s) to the extent reasonable.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7.Violation of Post-Employment Covenants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Executive agrees that, in the event of a material breach by Executive of any Section of this Agreement, including Sections 3, 4, or 5, Asbury shall be entitled to: (i) inform all potential or new employers of such breach; (ii) cease payments and benefits that would otherwise be made pursuant to Section 1 above (and in lieu of such payments and benefits pay Executive five hundred dollars ($500.00)); (iii) obtain injunctive relief and damages, including reasonable attorney’s fees; and (iv) recover the amounts paid to Executive under this Agreement (other than the above-referenced $500.00) during any period of material breach by Executive. To the extent that Executive is determined through agreement or resolution of any pending claim to not have violated any covenant at issue, he/she shall receive any and all severance that has not been paid under the Agreement and/or which was recovered from Executive under this Section 7. </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GENERAL PROVISIONS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6"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color w:val="000000"/>
                                <w:sz w:val="20"/>
                              </w:rPr>
                              <w:t>4</w:t>
                            </w:r>
                            <w:r>
                              <w:rPr>
                                <w:color w:val="000000"/>
                              </w:rPr>
                              <w:t xml:space="preserve"> </w:t>
                            </w:r>
                            <w:r>
                              <w:rPr>
                                <w:rFonts w:ascii="Times New Roman;sans-serif" w:hAnsi="Times New Roman;sans-serif"/>
                                <w:b w:val="false"/>
                                <w:color w:val="000000"/>
                                <w:sz w:val="20"/>
                              </w:rPr>
                              <w:t xml:space="preserve">of </w:t>
                            </w:r>
                            <w:r>
                              <w:rPr>
                                <w:rFonts w:ascii="Times New Roman;sans-serif" w:hAnsi="Times New Roman;sans-serif"/>
                                <w:b/>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color w:val="000000"/>
                          <w:sz w:val="20"/>
                        </w:rPr>
                        <w:t>4</w:t>
                      </w:r>
                      <w:r>
                        <w:rPr>
                          <w:color w:val="000000"/>
                        </w:rPr>
                        <w:t xml:space="preserve"> </w:t>
                      </w:r>
                      <w:r>
                        <w:rPr>
                          <w:rFonts w:ascii="Times New Roman;sans-serif" w:hAnsi="Times New Roman;sans-serif"/>
                          <w:b w:val="false"/>
                          <w:color w:val="000000"/>
                          <w:sz w:val="20"/>
                        </w:rPr>
                        <w:t xml:space="preserve">of </w:t>
                      </w:r>
                      <w:r>
                        <w:rPr>
                          <w:rFonts w:ascii="Times New Roman;sans-serif" w:hAnsi="Times New Roman;sans-serif"/>
                          <w:b/>
                          <w:color w:val="000000"/>
                          <w:sz w:val="20"/>
                        </w:rPr>
                        <w:t>11</w:t>
                      </w:r>
                    </w:p>
                  </w:txbxContent>
                </v:textbox>
                <w10:wrap type="none"/>
              </v:rect>
            </w:pict>
          </mc:Fallback>
        </mc:AlternateContent>
      </w:r>
    </w:p>
    <w:p>
      <w:pPr>
        <w:pStyle w:val="TextBody"/>
        <w:bidi w:val="0"/>
        <w:spacing w:lineRule="auto" w:line="288" w:before="0" w:after="0"/>
        <w:ind w:left="0" w:right="0" w:hanging="720"/>
        <w:jc w:val="both"/>
        <w:rPr/>
      </w:pPr>
      <w:r>
        <w:rPr>
          <w:rFonts w:ascii="Times New Roman;sans-serif" w:hAnsi="Times New Roman;sans-serif"/>
          <w:b/>
          <w:color w:val="000000"/>
          <w:sz w:val="24"/>
        </w:rPr>
        <w:t>A.</w:t>
      </w:r>
      <w:r>
        <w:rPr>
          <w:rFonts w:ascii="Times New Roman;sans-serif" w:hAnsi="Times New Roman;sans-serif"/>
          <w:b/>
          <w:color w:val="000000"/>
          <w:sz w:val="24"/>
          <w:u w:val="single"/>
        </w:rPr>
        <w:t>Employment is At Will</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Executive and Asbury acknowledge and agree that Executive is an “at will” employee, which means that either Executive or Asbury may terminate the employment relationship at any time, for any reason, with or without cause or notice, and that nothing in this Agreement shall be construed as an express or implied contract of employment.</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color w:val="000000"/>
          <w:sz w:val="24"/>
        </w:rPr>
        <w:t>B.</w:t>
      </w:r>
      <w:r>
        <w:rPr>
          <w:rFonts w:ascii="Times New Roman;sans-serif" w:hAnsi="Times New Roman;sans-serif"/>
          <w:b/>
          <w:color w:val="000000"/>
          <w:sz w:val="24"/>
          <w:u w:val="single"/>
        </w:rPr>
        <w:t>Execution of Release</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Executive agrees that, as a condition to the receipt of the Severance Pay and other compensation and insurance benefits described in Section 1 above, Executive shall execute a release of all claims against Asbury (and its corporate parents, subsidiaries, franchisors, franchisees, management companies, divisions, and affiliates) and the past, present and future officers, directors, agents, officials, employees, insurers and attorneys of Asbury (and its corporate parents, subsidiaries, franchisors, franchisees, management companies, divisions, and affiliates) arising out of Executive’s employment or the end of his employment with Asbury, such release to not be revoked by Executive and to completely waive and release any claim of discrimination, harassment or wrongful discharge under local, state or federal law.</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color w:val="000000"/>
          <w:sz w:val="24"/>
        </w:rPr>
        <w:t>C.</w:t>
      </w:r>
      <w:r>
        <w:rPr>
          <w:rFonts w:ascii="Times New Roman;sans-serif" w:hAnsi="Times New Roman;sans-serif"/>
          <w:b/>
          <w:color w:val="000000"/>
          <w:sz w:val="24"/>
          <w:u w:val="single"/>
        </w:rPr>
        <w:t>Alternative Dispute Resolution</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 xml:space="preserve">Any disputes arising under or in connection with this Agreement shall be resolved by binding arbitration before an arbitrator (who shall be an attorney with at least ten years’ experience in employment law) in the city where Executive was employed with Asbury and in accordance with the rules and procedures of the most recent employment rules of the American Arbitration Association. Each party may choose to retain legal counsel and shall pay its own attorneys’ fees, regardless of the outcome of the arbitration. Executive may be required to pay a filing fee limited to the equivalent cost of filing in the court of jurisdiction. Asbury will pay the fees and costs of conducting the arbitration. Judgment upon the award rendered by the arbitrator may be entered in any court of jurisdiction.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color w:val="000000"/>
          <w:sz w:val="24"/>
        </w:rPr>
        <w:t>D.</w:t>
      </w:r>
      <w:r>
        <w:rPr>
          <w:rFonts w:ascii="Times New Roman;sans-serif" w:hAnsi="Times New Roman;sans-serif"/>
          <w:b/>
          <w:color w:val="000000"/>
          <w:sz w:val="24"/>
          <w:u w:val="single"/>
        </w:rPr>
        <w:t>Non-Disparagement</w:t>
      </w:r>
    </w:p>
    <w:p>
      <w:pPr>
        <w:pStyle w:val="TextBody"/>
        <w:bidi w:val="0"/>
        <w:spacing w:before="0" w:after="0"/>
        <w:jc w:val="both"/>
        <w:rPr/>
      </w:pPr>
      <w:r>
        <w:rPr/>
      </w:r>
    </w:p>
    <w:p>
      <w:pPr>
        <w:pStyle w:val="TextBody"/>
        <w:bidi w:val="0"/>
        <w:spacing w:lineRule="auto" w:line="288"/>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Executive agrees not to make any disclosures, issue any statements or otherwise cause to be disclosed any information which is designed, intended or might reasonably be anticipated to disparage Asbury, its officers or directors, its business, services, products, technologies and/or personnel. Nothing in this section is intended, nor shall be construed, to: (i) prohibit Executive from any communications to, or participation in any investigation or proceeding conducted by, any governmental agency with jurisdiction concerning the terms, conditions and privileges of employment or jurisdiction over Asbury’s business; (ii) interfere with, restrain, or prevent Executive’s communications regarding the terms and conditions of employment; or (iii) prevent Executive from otherwise engaging in any legally protected activity. Nothing in this Agreement shall prohibit Executive from reporting or testifying about possible violations of any law or regulation, including unlawful employment practices, to any governmental agency or entity or </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7"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color w:val="000000"/>
                                <w:sz w:val="20"/>
                              </w:rPr>
                              <w:t>5</w:t>
                            </w:r>
                            <w:r>
                              <w:rPr>
                                <w:color w:val="000000"/>
                              </w:rPr>
                              <w:t xml:space="preserve"> </w:t>
                            </w:r>
                            <w:r>
                              <w:rPr>
                                <w:rFonts w:ascii="Times New Roman;sans-serif" w:hAnsi="Times New Roman;sans-serif"/>
                                <w:b w:val="false"/>
                                <w:color w:val="000000"/>
                                <w:sz w:val="20"/>
                              </w:rPr>
                              <w:t xml:space="preserve">of </w:t>
                            </w:r>
                            <w:r>
                              <w:rPr>
                                <w:rFonts w:ascii="Times New Roman;sans-serif" w:hAnsi="Times New Roman;sans-serif"/>
                                <w:b/>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color w:val="000000"/>
                          <w:sz w:val="20"/>
                        </w:rPr>
                        <w:t>5</w:t>
                      </w:r>
                      <w:r>
                        <w:rPr>
                          <w:color w:val="000000"/>
                        </w:rPr>
                        <w:t xml:space="preserve"> </w:t>
                      </w:r>
                      <w:r>
                        <w:rPr>
                          <w:rFonts w:ascii="Times New Roman;sans-serif" w:hAnsi="Times New Roman;sans-serif"/>
                          <w:b w:val="false"/>
                          <w:color w:val="000000"/>
                          <w:sz w:val="20"/>
                        </w:rPr>
                        <w:t xml:space="preserve">of </w:t>
                      </w:r>
                      <w:r>
                        <w:rPr>
                          <w:rFonts w:ascii="Times New Roman;sans-serif" w:hAnsi="Times New Roman;sans-serif"/>
                          <w:b/>
                          <w:color w:val="000000"/>
                          <w:sz w:val="20"/>
                        </w:rPr>
                        <w:t>11</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making other disclosures that are protected under the whistleblower provisions of federal or state laws or regulations.</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color w:val="000000"/>
          <w:sz w:val="24"/>
        </w:rPr>
        <w:t>E.</w:t>
      </w:r>
      <w:r>
        <w:rPr>
          <w:rFonts w:ascii="Times New Roman;sans-serif" w:hAnsi="Times New Roman;sans-serif"/>
          <w:b/>
          <w:color w:val="000000"/>
          <w:sz w:val="24"/>
          <w:u w:val="single"/>
        </w:rPr>
        <w:t>Other Provisions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This Agreement shall be binding upon the heirs, executors, administrators, successors and assigns of Executive and Asbury, including any successor to or assign of Asbury.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Upon the end of Executive’s employment with Asbury for any reason, the provisions of this Agreement shall survive to the extent necessary to give effect to the provisions herein, including Sections 3, 4 and 5.</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 xml:space="preserve">The headings and captions are provided for reference and convenience only and shall not be considered part of this Agreement.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Executive also covenants to reasonably cooperate with Asbury if Executive is needed as a witness in any litigation or legal matters involving Asbury.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rPr>
        <w:t>Any notice or other communication required or permitted to be delivered under this Agreement shall be (i) in writing, (ii) delivered personally, by nationally recognized overnight courier service or by certified or registered mail, first-class postage prepaid and return receipt requested, (iii) deemed to have been received on the date of delivery or on the third business day after mailing, and (iv) addressed as follows (or to such other address as the party entitled to notice shall later designate in accordance with these terms):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If to Asbury:        Asbury Automotive Group, Inc.</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c/o The Office of the General Counsel</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2905 Premiere Parkway, Suite 300</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Duluth, GA 30097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If to Executive:     To the most recent address of Executive set forth in the                          personnel records of Asbury.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rPr>
        <w:t xml:space="preserve">This Agreement supersedes any and all prior agreements between Asbury and Executive relating to payments upon Termination of employment or Severance Pay and may only be modified in a writing signed by Asbury and Executive.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rPr>
        <w:t>This Agreement shall be governed by and construed in accordance with the laws of the State of Georgia.</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rPr>
        <w:t>All payments hereunder shall be subject to any required withholding of federal, state, local and foreign taxes pursuant to any applicable law or regulation.</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If any provision of this Agreement shall be held invalid or unenforceable, such holding shall not affect any other provisions, and this Agreement shall be construed and enforced </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8"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color w:val="000000"/>
                                <w:sz w:val="20"/>
                              </w:rPr>
                              <w:t>6</w:t>
                            </w:r>
                            <w:r>
                              <w:rPr>
                                <w:color w:val="000000"/>
                              </w:rPr>
                              <w:t xml:space="preserve"> </w:t>
                            </w:r>
                            <w:r>
                              <w:rPr>
                                <w:rFonts w:ascii="Times New Roman;sans-serif" w:hAnsi="Times New Roman;sans-serif"/>
                                <w:b w:val="false"/>
                                <w:color w:val="000000"/>
                                <w:sz w:val="20"/>
                              </w:rPr>
                              <w:t xml:space="preserve">of </w:t>
                            </w:r>
                            <w:r>
                              <w:rPr>
                                <w:rFonts w:ascii="Times New Roman;sans-serif" w:hAnsi="Times New Roman;sans-serif"/>
                                <w:b/>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color w:val="000000"/>
                          <w:sz w:val="20"/>
                        </w:rPr>
                        <w:t>6</w:t>
                      </w:r>
                      <w:r>
                        <w:rPr>
                          <w:color w:val="000000"/>
                        </w:rPr>
                        <w:t xml:space="preserve"> </w:t>
                      </w:r>
                      <w:r>
                        <w:rPr>
                          <w:rFonts w:ascii="Times New Roman;sans-serif" w:hAnsi="Times New Roman;sans-serif"/>
                          <w:b w:val="false"/>
                          <w:color w:val="000000"/>
                          <w:sz w:val="20"/>
                        </w:rPr>
                        <w:t xml:space="preserve">of </w:t>
                      </w:r>
                      <w:r>
                        <w:rPr>
                          <w:rFonts w:ascii="Times New Roman;sans-serif" w:hAnsi="Times New Roman;sans-serif"/>
                          <w:b/>
                          <w:color w:val="000000"/>
                          <w:sz w:val="20"/>
                        </w:rPr>
                        <w:t>11</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as if such provisions had not been included. No provision of this Agreement shall be waived unless the waiver is agreed to in writing and signed by Executive and the Chief Human Resources Officer of Asbury. No waiver by either party of any breach of, or of compliance with, any condition or provision of this Agreement by the other party shall be considered a waiver of any other condition or provision or of the same condition or provision at another time.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(j)</w:t>
      </w:r>
      <w:r>
        <w:rPr>
          <w:rFonts w:ascii="Times New Roman;sans-serif" w:hAnsi="Times New Roman;sans-serif"/>
          <w:b w:val="false"/>
          <w:color w:val="000000"/>
          <w:sz w:val="24"/>
        </w:rPr>
        <w:t>The parties hereto acknowledge and agree that, to the extent applicable, this Agreement shall be interpreted in accordance with, and incorporate the terms and conditions required by, Section 409A of the Code and the Department of Treasury regulations and other interpretive guidance issued thereunder. Notwithstanding any provision of this Agreement to the contrary, in the event that Asbury determines that any amounts payable hereunder will be immediately taxable to Executive under Section 409A of the Code and related Department of Treasury guidance, Asbury and Executive shall cooperate in good faith to (x) adopt such amendments to this Agreement and appropriate policies and procedures, including amendments and policies with retroactive effect, that they mutually determine to be necessary or appropriate to preserve the intended tax treatment of the benefits provided by this Agreement, to preserve the economic benefits of this Agreement and to avoid less favorable accounting or tax consequences for Asbury and/or (y) take such other actions as mutually determined to be necessary or appropriate to exempt the amounts payable hereunder from Section 409A of the Code or to comply with the requirements of Section 409A of the Code and thereby avoid the application of penalty taxes thereunder.</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This Agreement may be executed in one or more counterparts, each of which shall be deemed to be an original, but all of which together will constitute one and the same instrument.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AGREED TO AS OF July 1, 2024</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984"/>
        <w:gridCol w:w="1743"/>
        <w:gridCol w:w="1747"/>
        <w:gridCol w:w="109"/>
        <w:gridCol w:w="109"/>
        <w:gridCol w:w="109"/>
        <w:gridCol w:w="1289"/>
        <w:gridCol w:w="1289"/>
        <w:gridCol w:w="1826"/>
      </w:tblGrid>
      <w:tr>
        <w:trPr/>
        <w:tc>
          <w:tcPr>
            <w:tcW w:w="1984"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EXECUTIVE: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ASBURY AUTOMOTIVE GROUP, INC.</w:t>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Dean Calloway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David W. Hult</w:t>
            </w:r>
          </w:p>
        </w:tc>
      </w:tr>
      <w:tr>
        <w:trPr/>
        <w:tc>
          <w:tcPr>
            <w:tcW w:w="54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Dean Calloway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David W. Hult</w:t>
            </w:r>
          </w:p>
        </w:tc>
      </w:tr>
      <w:tr>
        <w:trPr/>
        <w:tc>
          <w:tcPr>
            <w:tcW w:w="5474" w:type="dxa"/>
            <w:gridSpan w:val="3"/>
            <w:tcBorders/>
            <w:tcMar>
              <w:top w:w="0" w:type="dxa"/>
              <w:left w:w="0" w:type="dxa"/>
              <w:bottom w:w="0" w:type="dxa"/>
              <w:right w:w="0" w:type="dxa"/>
            </w:tcMar>
            <w:vAlign w:val="center"/>
          </w:tcPr>
          <w:p>
            <w:pPr>
              <w:pStyle w:val="TableContents"/>
              <w:bidi w:val="0"/>
              <w:spacing w:lineRule="auto" w:line="288" w:before="0" w:after="0"/>
              <w:ind w:left="0" w:right="0" w:hanging="705"/>
              <w:jc w:val="left"/>
              <w:rPr>
                <w:rFonts w:ascii="Times New Roman;sans-serif" w:hAnsi="Times New Roman;sans-serif"/>
                <w:b w:val="false"/>
                <w:color w:val="000000"/>
                <w:sz w:val="24"/>
              </w:rPr>
            </w:pPr>
            <w:r>
              <w:rPr>
                <w:rFonts w:ascii="Times New Roman;sans-serif" w:hAnsi="Times New Roman;sans-serif"/>
                <w:b w:val="false"/>
                <w:color w:val="000000"/>
                <w:sz w:val="24"/>
              </w:rPr>
              <w:t>Title: Senior Vice President, General Counsel &amp; Secretary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4" w:type="dxa"/>
            <w:gridSpan w:val="3"/>
            <w:tcBorders/>
            <w:tcMar>
              <w:top w:w="0" w:type="dxa"/>
              <w:left w:w="0" w:type="dxa"/>
              <w:bottom w:w="0" w:type="dxa"/>
              <w:right w:w="0" w:type="dxa"/>
            </w:tcMar>
            <w:vAlign w:val="center"/>
          </w:tcPr>
          <w:p>
            <w:pPr>
              <w:pStyle w:val="TableContents"/>
              <w:bidi w:val="0"/>
              <w:spacing w:lineRule="auto" w:line="288" w:before="0" w:after="0"/>
              <w:ind w:left="0" w:right="0" w:hanging="702"/>
              <w:jc w:val="left"/>
              <w:rPr>
                <w:rFonts w:ascii="Times New Roman;sans-serif" w:hAnsi="Times New Roman;sans-serif"/>
                <w:b w:val="false"/>
                <w:color w:val="000000"/>
                <w:sz w:val="24"/>
              </w:rPr>
            </w:pPr>
            <w:r>
              <w:rPr>
                <w:rFonts w:ascii="Times New Roman;sans-serif" w:hAnsi="Times New Roman;sans-serif"/>
                <w:b w:val="false"/>
                <w:color w:val="000000"/>
                <w:sz w:val="24"/>
              </w:rPr>
              <w:t>Title: President &amp; CEO</w:t>
            </w:r>
          </w:p>
        </w:tc>
      </w:tr>
    </w:tbl>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49"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color w:val="000000"/>
                                <w:sz w:val="20"/>
                              </w:rPr>
                              <w:t>7</w:t>
                            </w:r>
                            <w:r>
                              <w:rPr>
                                <w:color w:val="000000"/>
                              </w:rPr>
                              <w:t xml:space="preserve"> </w:t>
                            </w:r>
                            <w:r>
                              <w:rPr>
                                <w:rFonts w:ascii="Times New Roman;sans-serif" w:hAnsi="Times New Roman;sans-serif"/>
                                <w:b w:val="false"/>
                                <w:color w:val="000000"/>
                                <w:sz w:val="20"/>
                              </w:rPr>
                              <w:t xml:space="preserve">of </w:t>
                            </w:r>
                            <w:r>
                              <w:rPr>
                                <w:rFonts w:ascii="Times New Roman;sans-serif" w:hAnsi="Times New Roman;sans-serif"/>
                                <w:b/>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color w:val="000000"/>
                          <w:sz w:val="20"/>
                        </w:rPr>
                        <w:t>7</w:t>
                      </w:r>
                      <w:r>
                        <w:rPr>
                          <w:color w:val="000000"/>
                        </w:rPr>
                        <w:t xml:space="preserve"> </w:t>
                      </w:r>
                      <w:r>
                        <w:rPr>
                          <w:rFonts w:ascii="Times New Roman;sans-serif" w:hAnsi="Times New Roman;sans-serif"/>
                          <w:b w:val="false"/>
                          <w:color w:val="000000"/>
                          <w:sz w:val="20"/>
                        </w:rPr>
                        <w:t xml:space="preserve">of </w:t>
                      </w:r>
                      <w:r>
                        <w:rPr>
                          <w:rFonts w:ascii="Times New Roman;sans-serif" w:hAnsi="Times New Roman;sans-serif"/>
                          <w:b/>
                          <w:color w:val="000000"/>
                          <w:sz w:val="20"/>
                        </w:rPr>
                        <w:t>11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As used in the Severance Pay Agreement, “Area” means a 50-mile radius from any of the following addresses:</w:t>
      </w:r>
    </w:p>
    <w:p>
      <w:pPr>
        <w:pStyle w:val="TextBody"/>
        <w:bidi w:val="0"/>
        <w:spacing w:before="0" w:after="0"/>
        <w:jc w:val="left"/>
        <w:rPr/>
      </w:pPr>
      <w:r>
        <w:rPr/>
      </w:r>
    </w:p>
    <w:tbl>
      <w:tblPr>
        <w:tblW w:w="5943" w:type="dxa"/>
        <w:jc w:val="left"/>
        <w:tblInd w:w="0" w:type="dxa"/>
        <w:tblLayout w:type="fixed"/>
        <w:tblCellMar>
          <w:top w:w="28" w:type="dxa"/>
          <w:left w:w="28" w:type="dxa"/>
          <w:bottom w:w="28" w:type="dxa"/>
          <w:right w:w="28" w:type="dxa"/>
        </w:tblCellMar>
      </w:tblPr>
      <w:tblGrid>
        <w:gridCol w:w="1197"/>
        <w:gridCol w:w="1056"/>
        <w:gridCol w:w="1062"/>
        <w:gridCol w:w="443"/>
        <w:gridCol w:w="443"/>
        <w:gridCol w:w="405"/>
        <w:gridCol w:w="195"/>
        <w:gridCol w:w="195"/>
        <w:gridCol w:w="196"/>
        <w:gridCol w:w="218"/>
        <w:gridCol w:w="218"/>
        <w:gridCol w:w="315"/>
      </w:tblGrid>
      <w:tr>
        <w:trPr/>
        <w:tc>
          <w:tcPr>
            <w:tcW w:w="119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op w:val="single" w:sz="4" w:space="0" w:color="000000"/>
            </w:tcBorders>
            <w:shd w:fill="999999"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4"/>
              </w:rPr>
            </w:pPr>
            <w:r>
              <w:rPr>
                <w:rFonts w:ascii="Times New Roman;sans-serif" w:hAnsi="Times New Roman;sans-serif"/>
                <w:b/>
                <w:i/>
                <w:color w:val="000000"/>
                <w:sz w:val="24"/>
              </w:rPr>
              <w:t>Address</w:t>
            </w:r>
          </w:p>
        </w:tc>
        <w:tc>
          <w:tcPr>
            <w:tcW w:w="1291" w:type="dxa"/>
            <w:gridSpan w:val="3"/>
            <w:tcBorders>
              <w:top w:val="single" w:sz="4" w:space="0" w:color="000000"/>
              <w:left w:val="single" w:sz="4" w:space="0" w:color="000000"/>
            </w:tcBorders>
            <w:shd w:fill="999999" w:val="clear"/>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4"/>
              </w:rPr>
            </w:pPr>
            <w:r>
              <w:rPr>
                <w:rFonts w:ascii="Times New Roman;sans-serif" w:hAnsi="Times New Roman;sans-serif"/>
                <w:b/>
                <w:i/>
                <w:color w:val="000000"/>
                <w:sz w:val="24"/>
              </w:rPr>
              <w:t>City</w:t>
            </w:r>
          </w:p>
        </w:tc>
        <w:tc>
          <w:tcPr>
            <w:tcW w:w="586" w:type="dxa"/>
            <w:gridSpan w:val="3"/>
            <w:tcBorders>
              <w:top w:val="single" w:sz="4" w:space="0" w:color="000000"/>
              <w:left w:val="single" w:sz="4" w:space="0" w:color="000000"/>
            </w:tcBorders>
            <w:shd w:fill="999999" w:val="clear"/>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4"/>
              </w:rPr>
            </w:pPr>
            <w:r>
              <w:rPr>
                <w:rFonts w:ascii="Times New Roman;sans-serif" w:hAnsi="Times New Roman;sans-serif"/>
                <w:b/>
                <w:i/>
                <w:color w:val="000000"/>
                <w:sz w:val="24"/>
              </w:rPr>
              <w:t>State</w:t>
            </w:r>
          </w:p>
        </w:tc>
        <w:tc>
          <w:tcPr>
            <w:tcW w:w="751" w:type="dxa"/>
            <w:gridSpan w:val="3"/>
            <w:tcBorders>
              <w:top w:val="single" w:sz="4" w:space="0" w:color="000000"/>
              <w:left w:val="single" w:sz="4" w:space="0" w:color="000000"/>
              <w:right w:val="single" w:sz="4" w:space="0" w:color="000000"/>
            </w:tcBorders>
            <w:shd w:fill="999999" w:val="clear"/>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i/>
                <w:color w:val="000000"/>
                <w:sz w:val="24"/>
              </w:rPr>
            </w:pPr>
            <w:r>
              <w:rPr>
                <w:rFonts w:ascii="Times New Roman;sans-serif" w:hAnsi="Times New Roman;sans-serif"/>
                <w:b/>
                <w:i/>
                <w:color w:val="000000"/>
                <w:sz w:val="24"/>
              </w:rPr>
              <w:t>Zip</w:t>
            </w:r>
          </w:p>
        </w:tc>
      </w:tr>
      <w:tr>
        <w:trPr/>
        <w:tc>
          <w:tcPr>
            <w:tcW w:w="33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2905 Premiere Parkway</w:t>
            </w:r>
          </w:p>
        </w:tc>
        <w:tc>
          <w:tcPr>
            <w:tcW w:w="1291" w:type="dxa"/>
            <w:gridSpan w:val="3"/>
            <w:tcBorders>
              <w:top w:val="single" w:sz="4" w:space="0" w:color="000000"/>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Duluth</w:t>
            </w:r>
          </w:p>
        </w:tc>
        <w:tc>
          <w:tcPr>
            <w:tcW w:w="586" w:type="dxa"/>
            <w:gridSpan w:val="3"/>
            <w:tcBorders>
              <w:top w:val="single" w:sz="4" w:space="0" w:color="000000"/>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GA</w:t>
            </w:r>
          </w:p>
        </w:tc>
        <w:tc>
          <w:tcPr>
            <w:tcW w:w="751" w:type="dxa"/>
            <w:gridSpan w:val="3"/>
            <w:tcBorders>
              <w:top w:val="single" w:sz="4" w:space="0" w:color="000000"/>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30097</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1355 Cobb Parkway South</w:t>
            </w:r>
          </w:p>
        </w:tc>
        <w:tc>
          <w:tcPr>
            <w:tcW w:w="129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Marietta</w:t>
            </w:r>
          </w:p>
        </w:tc>
        <w:tc>
          <w:tcPr>
            <w:tcW w:w="58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GA</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30060</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11505 Alpharetta Highway</w:t>
            </w:r>
          </w:p>
        </w:tc>
        <w:tc>
          <w:tcPr>
            <w:tcW w:w="129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Roswell</w:t>
            </w:r>
          </w:p>
        </w:tc>
        <w:tc>
          <w:tcPr>
            <w:tcW w:w="58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GA</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30076</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1606 Church Street</w:t>
            </w:r>
          </w:p>
        </w:tc>
        <w:tc>
          <w:tcPr>
            <w:tcW w:w="129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Decatur</w:t>
            </w:r>
          </w:p>
        </w:tc>
        <w:tc>
          <w:tcPr>
            <w:tcW w:w="58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GA</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30033</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4200 Jonesboro Road</w:t>
            </w:r>
          </w:p>
        </w:tc>
        <w:tc>
          <w:tcPr>
            <w:tcW w:w="129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Union City</w:t>
            </w:r>
          </w:p>
        </w:tc>
        <w:tc>
          <w:tcPr>
            <w:tcW w:w="58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GA</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30291</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4197 Jonesboro Road</w:t>
            </w:r>
          </w:p>
        </w:tc>
        <w:tc>
          <w:tcPr>
            <w:tcW w:w="129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Union City</w:t>
            </w:r>
          </w:p>
        </w:tc>
        <w:tc>
          <w:tcPr>
            <w:tcW w:w="58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GA</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30291</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7909 Mall Parkway</w:t>
            </w:r>
          </w:p>
        </w:tc>
        <w:tc>
          <w:tcPr>
            <w:tcW w:w="129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Lithonia</w:t>
            </w:r>
          </w:p>
        </w:tc>
        <w:tc>
          <w:tcPr>
            <w:tcW w:w="58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GA</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30038</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2550 The Nalley Way</w:t>
            </w:r>
          </w:p>
        </w:tc>
        <w:tc>
          <w:tcPr>
            <w:tcW w:w="129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Atlanta</w:t>
            </w:r>
          </w:p>
        </w:tc>
        <w:tc>
          <w:tcPr>
            <w:tcW w:w="58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GA</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30360</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2020 Cobb Parkway</w:t>
            </w:r>
          </w:p>
        </w:tc>
        <w:tc>
          <w:tcPr>
            <w:tcW w:w="129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Marietta</w:t>
            </w:r>
          </w:p>
        </w:tc>
        <w:tc>
          <w:tcPr>
            <w:tcW w:w="58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GA</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30080</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7849 Mall Parkway</w:t>
            </w:r>
          </w:p>
        </w:tc>
        <w:tc>
          <w:tcPr>
            <w:tcW w:w="129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Lithonia</w:t>
            </w:r>
          </w:p>
        </w:tc>
        <w:tc>
          <w:tcPr>
            <w:tcW w:w="58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GA</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30038</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2750 South Cobb Parkway</w:t>
            </w:r>
          </w:p>
        </w:tc>
        <w:tc>
          <w:tcPr>
            <w:tcW w:w="129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Smyrna</w:t>
            </w:r>
          </w:p>
        </w:tc>
        <w:tc>
          <w:tcPr>
            <w:tcW w:w="58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GA</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30080</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980 Mansell Road</w:t>
            </w:r>
          </w:p>
        </w:tc>
        <w:tc>
          <w:tcPr>
            <w:tcW w:w="129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Roswell</w:t>
            </w:r>
          </w:p>
        </w:tc>
        <w:tc>
          <w:tcPr>
            <w:tcW w:w="58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GA</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30076</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7969 Mall Parkway</w:t>
            </w:r>
          </w:p>
        </w:tc>
        <w:tc>
          <w:tcPr>
            <w:tcW w:w="129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Lithonia</w:t>
            </w:r>
          </w:p>
        </w:tc>
        <w:tc>
          <w:tcPr>
            <w:tcW w:w="58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GA</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30038</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11130 Alpharetta Highway</w:t>
            </w:r>
          </w:p>
        </w:tc>
        <w:tc>
          <w:tcPr>
            <w:tcW w:w="129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Roswell</w:t>
            </w:r>
          </w:p>
        </w:tc>
        <w:tc>
          <w:tcPr>
            <w:tcW w:w="58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GA</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30076</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10995 Westside Parkway</w:t>
            </w:r>
          </w:p>
        </w:tc>
        <w:tc>
          <w:tcPr>
            <w:tcW w:w="129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Alpharetta</w:t>
            </w:r>
          </w:p>
        </w:tc>
        <w:tc>
          <w:tcPr>
            <w:tcW w:w="58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GA</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30009</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1550 Mansell Road</w:t>
            </w:r>
          </w:p>
        </w:tc>
        <w:tc>
          <w:tcPr>
            <w:tcW w:w="129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Alpharetta</w:t>
            </w:r>
          </w:p>
        </w:tc>
        <w:tc>
          <w:tcPr>
            <w:tcW w:w="58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GA</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30009</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4115 Jonesboro Road</w:t>
            </w:r>
          </w:p>
        </w:tc>
        <w:tc>
          <w:tcPr>
            <w:tcW w:w="129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Union City</w:t>
            </w:r>
          </w:p>
        </w:tc>
        <w:tc>
          <w:tcPr>
            <w:tcW w:w="58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GA</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30291</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2501 35th Avenue</w:t>
            </w:r>
          </w:p>
        </w:tc>
        <w:tc>
          <w:tcPr>
            <w:tcW w:w="129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Greeley</w:t>
            </w:r>
          </w:p>
        </w:tc>
        <w:tc>
          <w:tcPr>
            <w:tcW w:w="58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80634</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9899 East Arapahoe Road</w:t>
            </w:r>
          </w:p>
        </w:tc>
        <w:tc>
          <w:tcPr>
            <w:tcW w:w="129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Centennial</w:t>
            </w:r>
          </w:p>
        </w:tc>
        <w:tc>
          <w:tcPr>
            <w:tcW w:w="58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80112</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9899 East Arapahoe Road</w:t>
            </w:r>
          </w:p>
        </w:tc>
        <w:tc>
          <w:tcPr>
            <w:tcW w:w="129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Centennial</w:t>
            </w:r>
          </w:p>
        </w:tc>
        <w:tc>
          <w:tcPr>
            <w:tcW w:w="58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80112</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1650 West 104th Avenue</w:t>
            </w:r>
          </w:p>
        </w:tc>
        <w:tc>
          <w:tcPr>
            <w:tcW w:w="129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Denver</w:t>
            </w:r>
          </w:p>
        </w:tc>
        <w:tc>
          <w:tcPr>
            <w:tcW w:w="58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80234</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4720 West 24th Street</w:t>
            </w:r>
          </w:p>
        </w:tc>
        <w:tc>
          <w:tcPr>
            <w:tcW w:w="129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Greeley</w:t>
            </w:r>
          </w:p>
        </w:tc>
        <w:tc>
          <w:tcPr>
            <w:tcW w:w="58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80634</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1920 North Lebanon Street</w:t>
            </w:r>
          </w:p>
        </w:tc>
        <w:tc>
          <w:tcPr>
            <w:tcW w:w="129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Lebanon</w:t>
            </w:r>
          </w:p>
        </w:tc>
        <w:tc>
          <w:tcPr>
            <w:tcW w:w="58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46052</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745 East 56th Street</w:t>
            </w:r>
          </w:p>
        </w:tc>
        <w:tc>
          <w:tcPr>
            <w:tcW w:w="129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Brownsburg</w:t>
            </w:r>
          </w:p>
        </w:tc>
        <w:tc>
          <w:tcPr>
            <w:tcW w:w="58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46112</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2001 Stony Creek Road</w:t>
            </w:r>
          </w:p>
        </w:tc>
        <w:tc>
          <w:tcPr>
            <w:tcW w:w="129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Noblesville</w:t>
            </w:r>
          </w:p>
        </w:tc>
        <w:tc>
          <w:tcPr>
            <w:tcW w:w="58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46060</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3477 East Conner Street</w:t>
            </w:r>
          </w:p>
        </w:tc>
        <w:tc>
          <w:tcPr>
            <w:tcW w:w="129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Noblesville</w:t>
            </w:r>
          </w:p>
        </w:tc>
        <w:tc>
          <w:tcPr>
            <w:tcW w:w="58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46060</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450 East Northfield Drive</w:t>
            </w:r>
          </w:p>
        </w:tc>
        <w:tc>
          <w:tcPr>
            <w:tcW w:w="129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Brownsburg</w:t>
            </w:r>
          </w:p>
        </w:tc>
        <w:tc>
          <w:tcPr>
            <w:tcW w:w="58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46112</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8693 East US Highway 36</w:t>
            </w:r>
          </w:p>
        </w:tc>
        <w:tc>
          <w:tcPr>
            <w:tcW w:w="129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Avon</w:t>
            </w:r>
          </w:p>
        </w:tc>
        <w:tc>
          <w:tcPr>
            <w:tcW w:w="58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46123</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3232 Harper Road</w:t>
            </w:r>
          </w:p>
        </w:tc>
        <w:tc>
          <w:tcPr>
            <w:tcW w:w="129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Indianapolis</w:t>
            </w:r>
          </w:p>
        </w:tc>
        <w:tc>
          <w:tcPr>
            <w:tcW w:w="58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46240</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4105 West 96th Street</w:t>
            </w:r>
          </w:p>
        </w:tc>
        <w:tc>
          <w:tcPr>
            <w:tcW w:w="129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Indianapolis</w:t>
            </w:r>
          </w:p>
        </w:tc>
        <w:tc>
          <w:tcPr>
            <w:tcW w:w="58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46268</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9900 Pleasant Street</w:t>
            </w:r>
          </w:p>
        </w:tc>
        <w:tc>
          <w:tcPr>
            <w:tcW w:w="129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Noblesville</w:t>
            </w:r>
          </w:p>
        </w:tc>
        <w:tc>
          <w:tcPr>
            <w:tcW w:w="58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46060</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2655 North Volusia Avenue</w:t>
            </w:r>
          </w:p>
        </w:tc>
        <w:tc>
          <w:tcPr>
            <w:tcW w:w="129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Orange City</w:t>
            </w:r>
          </w:p>
        </w:tc>
        <w:tc>
          <w:tcPr>
            <w:tcW w:w="58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32763</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2308 South Woodland Boulevard</w:t>
            </w:r>
          </w:p>
        </w:tc>
        <w:tc>
          <w:tcPr>
            <w:tcW w:w="129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Deland</w:t>
            </w:r>
          </w:p>
        </w:tc>
        <w:tc>
          <w:tcPr>
            <w:tcW w:w="58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32720</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2677 North Volusia Avenue</w:t>
            </w:r>
          </w:p>
        </w:tc>
        <w:tc>
          <w:tcPr>
            <w:tcW w:w="129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Orange City</w:t>
            </w:r>
          </w:p>
        </w:tc>
        <w:tc>
          <w:tcPr>
            <w:tcW w:w="58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32763</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4400 South US Highway 1</w:t>
            </w:r>
          </w:p>
        </w:tc>
        <w:tc>
          <w:tcPr>
            <w:tcW w:w="129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Fort Pierce</w:t>
            </w:r>
          </w:p>
        </w:tc>
        <w:tc>
          <w:tcPr>
            <w:tcW w:w="58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34982</w:t>
            </w:r>
          </w:p>
        </w:tc>
      </w:tr>
      <w:tr>
        <w:trPr/>
        <w:tc>
          <w:tcPr>
            <w:tcW w:w="3315" w:type="dxa"/>
            <w:gridSpan w:val="3"/>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9650 Atlantic Boulevard</w:t>
            </w:r>
          </w:p>
        </w:tc>
        <w:tc>
          <w:tcPr>
            <w:tcW w:w="1291" w:type="dxa"/>
            <w:gridSpan w:val="3"/>
            <w:tcBorders>
              <w:top w:val="single" w:sz="4" w:space="0" w:color="999999"/>
              <w:left w:val="single" w:sz="4" w:space="0" w:color="999999"/>
              <w:bottom w:val="single" w:sz="4" w:space="0" w:color="999999"/>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Jacksonville</w:t>
            </w:r>
          </w:p>
        </w:tc>
        <w:tc>
          <w:tcPr>
            <w:tcW w:w="586" w:type="dxa"/>
            <w:gridSpan w:val="3"/>
            <w:tcBorders>
              <w:top w:val="single" w:sz="4" w:space="0" w:color="999999"/>
              <w:left w:val="single" w:sz="4" w:space="0" w:color="999999"/>
              <w:bottom w:val="single" w:sz="4" w:space="0" w:color="999999"/>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w:t>
            </w:r>
          </w:p>
        </w:tc>
        <w:tc>
          <w:tcPr>
            <w:tcW w:w="751" w:type="dxa"/>
            <w:gridSpan w:val="3"/>
            <w:tcBorders>
              <w:top w:val="single" w:sz="4" w:space="0" w:color="999999"/>
              <w:left w:val="single" w:sz="4" w:space="0" w:color="999999"/>
              <w:bottom w:val="single" w:sz="4" w:space="0" w:color="999999"/>
              <w:right w:val="single" w:sz="4" w:space="0" w:color="999999"/>
            </w:tcBorders>
            <w:tcMar>
              <w:top w:w="30" w:type="dxa"/>
              <w:bottom w:w="3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32225</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0"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color w:val="000000"/>
                                <w:sz w:val="20"/>
                              </w:rPr>
                              <w:t>8</w:t>
                            </w:r>
                            <w:r>
                              <w:rPr>
                                <w:color w:val="000000"/>
                              </w:rPr>
                              <w:t xml:space="preserve"> </w:t>
                            </w:r>
                            <w:r>
                              <w:rPr>
                                <w:rFonts w:ascii="Times New Roman;sans-serif" w:hAnsi="Times New Roman;sans-serif"/>
                                <w:b w:val="false"/>
                                <w:color w:val="000000"/>
                                <w:sz w:val="20"/>
                              </w:rPr>
                              <w:t xml:space="preserve">of </w:t>
                            </w:r>
                            <w:r>
                              <w:rPr>
                                <w:rFonts w:ascii="Times New Roman;sans-serif" w:hAnsi="Times New Roman;sans-serif"/>
                                <w:b/>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color w:val="000000"/>
                          <w:sz w:val="20"/>
                        </w:rPr>
                        <w:t>8</w:t>
                      </w:r>
                      <w:r>
                        <w:rPr>
                          <w:color w:val="000000"/>
                        </w:rPr>
                        <w:t xml:space="preserve"> </w:t>
                      </w:r>
                      <w:r>
                        <w:rPr>
                          <w:rFonts w:ascii="Times New Roman;sans-serif" w:hAnsi="Times New Roman;sans-serif"/>
                          <w:b w:val="false"/>
                          <w:color w:val="000000"/>
                          <w:sz w:val="20"/>
                        </w:rPr>
                        <w:t xml:space="preserve">of </w:t>
                      </w:r>
                      <w:r>
                        <w:rPr>
                          <w:rFonts w:ascii="Times New Roman;sans-serif" w:hAnsi="Times New Roman;sans-serif"/>
                          <w:b/>
                          <w:color w:val="000000"/>
                          <w:sz w:val="20"/>
                        </w:rPr>
                        <w:t>11</w:t>
                      </w:r>
                    </w:p>
                  </w:txbxContent>
                </v:textbox>
                <w10:wrap type="none"/>
              </v:rect>
            </w:pict>
          </mc:Fallback>
        </mc:AlternateContent>
      </w:r>
    </w:p>
    <w:tbl>
      <w:tblPr>
        <w:tblW w:w="6286" w:type="dxa"/>
        <w:jc w:val="left"/>
        <w:tblInd w:w="0" w:type="dxa"/>
        <w:tblLayout w:type="fixed"/>
        <w:tblCellMar>
          <w:top w:w="28" w:type="dxa"/>
          <w:left w:w="28" w:type="dxa"/>
          <w:bottom w:w="28" w:type="dxa"/>
          <w:right w:w="28" w:type="dxa"/>
        </w:tblCellMar>
      </w:tblPr>
      <w:tblGrid>
        <w:gridCol w:w="1264"/>
        <w:gridCol w:w="1112"/>
        <w:gridCol w:w="1119"/>
        <w:gridCol w:w="514"/>
        <w:gridCol w:w="514"/>
        <w:gridCol w:w="516"/>
        <w:gridCol w:w="164"/>
        <w:gridCol w:w="164"/>
        <w:gridCol w:w="168"/>
        <w:gridCol w:w="220"/>
        <w:gridCol w:w="220"/>
        <w:gridCol w:w="311"/>
      </w:tblGrid>
      <w:tr>
        <w:trPr/>
        <w:tc>
          <w:tcPr>
            <w:tcW w:w="1264"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31975 US Highway 19 North</w:t>
            </w:r>
          </w:p>
        </w:tc>
        <w:tc>
          <w:tcPr>
            <w:tcW w:w="154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Palm Harbor</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34684</w:t>
            </w:r>
          </w:p>
        </w:tc>
      </w:tr>
      <w:tr>
        <w:trPr/>
        <w:tc>
          <w:tcPr>
            <w:tcW w:w="349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10859 Philips Highway</w:t>
            </w:r>
          </w:p>
        </w:tc>
        <w:tc>
          <w:tcPr>
            <w:tcW w:w="154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Jacksonville</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32256</w:t>
            </w:r>
          </w:p>
        </w:tc>
      </w:tr>
      <w:tr>
        <w:trPr/>
        <w:tc>
          <w:tcPr>
            <w:tcW w:w="349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4429 US 1 South</w:t>
            </w:r>
          </w:p>
        </w:tc>
        <w:tc>
          <w:tcPr>
            <w:tcW w:w="154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Fort Pierce</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33954</w:t>
            </w:r>
          </w:p>
        </w:tc>
      </w:tr>
      <w:tr>
        <w:trPr/>
        <w:tc>
          <w:tcPr>
            <w:tcW w:w="349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4500 US 1 South</w:t>
            </w:r>
          </w:p>
        </w:tc>
        <w:tc>
          <w:tcPr>
            <w:tcW w:w="154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Fort Pierce</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34982</w:t>
            </w:r>
          </w:p>
        </w:tc>
      </w:tr>
      <w:tr>
        <w:trPr/>
        <w:tc>
          <w:tcPr>
            <w:tcW w:w="349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11003 Atlantic Boulevard</w:t>
            </w:r>
          </w:p>
        </w:tc>
        <w:tc>
          <w:tcPr>
            <w:tcW w:w="154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Jacksonville</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32225</w:t>
            </w:r>
          </w:p>
        </w:tc>
      </w:tr>
      <w:tr>
        <w:trPr/>
        <w:tc>
          <w:tcPr>
            <w:tcW w:w="349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11051 South Orange Blossom Trail</w:t>
            </w:r>
          </w:p>
        </w:tc>
        <w:tc>
          <w:tcPr>
            <w:tcW w:w="154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Orlando</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32837</w:t>
            </w:r>
          </w:p>
        </w:tc>
      </w:tr>
      <w:tr>
        <w:trPr/>
        <w:tc>
          <w:tcPr>
            <w:tcW w:w="349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10600 Atlantic Boulevard</w:t>
            </w:r>
          </w:p>
        </w:tc>
        <w:tc>
          <w:tcPr>
            <w:tcW w:w="154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Jacksonville</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32225</w:t>
            </w:r>
          </w:p>
        </w:tc>
      </w:tr>
      <w:tr>
        <w:trPr/>
        <w:tc>
          <w:tcPr>
            <w:tcW w:w="349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11340 Philips Highway</w:t>
            </w:r>
          </w:p>
        </w:tc>
        <w:tc>
          <w:tcPr>
            <w:tcW w:w="154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Jacksonville</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32256</w:t>
            </w:r>
          </w:p>
        </w:tc>
      </w:tr>
      <w:tr>
        <w:trPr/>
        <w:tc>
          <w:tcPr>
            <w:tcW w:w="349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10880 Philips Highway</w:t>
            </w:r>
          </w:p>
        </w:tc>
        <w:tc>
          <w:tcPr>
            <w:tcW w:w="154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Jacksonville</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32256</w:t>
            </w:r>
          </w:p>
        </w:tc>
      </w:tr>
      <w:tr>
        <w:trPr/>
        <w:tc>
          <w:tcPr>
            <w:tcW w:w="349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2925 US 1 South</w:t>
            </w:r>
          </w:p>
        </w:tc>
        <w:tc>
          <w:tcPr>
            <w:tcW w:w="154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St. Augustine</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32086</w:t>
            </w:r>
          </w:p>
        </w:tc>
      </w:tr>
      <w:tr>
        <w:trPr/>
        <w:tc>
          <w:tcPr>
            <w:tcW w:w="349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4450 US 1 South</w:t>
            </w:r>
          </w:p>
        </w:tc>
        <w:tc>
          <w:tcPr>
            <w:tcW w:w="154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Fort Pierce</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34982</w:t>
            </w:r>
          </w:p>
        </w:tc>
      </w:tr>
      <w:tr>
        <w:trPr/>
        <w:tc>
          <w:tcPr>
            <w:tcW w:w="349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7245 Blanding Boulevard</w:t>
            </w:r>
          </w:p>
        </w:tc>
        <w:tc>
          <w:tcPr>
            <w:tcW w:w="154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Jacksonville</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32244</w:t>
            </w:r>
          </w:p>
        </w:tc>
      </w:tr>
      <w:tr>
        <w:trPr/>
        <w:tc>
          <w:tcPr>
            <w:tcW w:w="349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1107 West St.</w:t>
            </w:r>
          </w:p>
        </w:tc>
        <w:tc>
          <w:tcPr>
            <w:tcW w:w="154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Annapolis</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MD</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21401</w:t>
            </w:r>
          </w:p>
        </w:tc>
      </w:tr>
      <w:tr>
        <w:trPr/>
        <w:tc>
          <w:tcPr>
            <w:tcW w:w="349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4045 Lee Hwy.</w:t>
            </w:r>
          </w:p>
        </w:tc>
        <w:tc>
          <w:tcPr>
            <w:tcW w:w="154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Arlington</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VA</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22207</w:t>
            </w:r>
          </w:p>
        </w:tc>
      </w:tr>
      <w:tr>
        <w:trPr/>
        <w:tc>
          <w:tcPr>
            <w:tcW w:w="349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6970 Security Blvd.</w:t>
            </w:r>
          </w:p>
        </w:tc>
        <w:tc>
          <w:tcPr>
            <w:tcW w:w="154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Baltimore</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MD</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21244</w:t>
            </w:r>
          </w:p>
        </w:tc>
      </w:tr>
      <w:tr>
        <w:trPr/>
        <w:tc>
          <w:tcPr>
            <w:tcW w:w="349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6631 Baltimore National Pike</w:t>
            </w:r>
          </w:p>
        </w:tc>
        <w:tc>
          <w:tcPr>
            <w:tcW w:w="154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Catonsville</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MD</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21228</w:t>
            </w:r>
          </w:p>
        </w:tc>
      </w:tr>
      <w:tr>
        <w:trPr/>
        <w:tc>
          <w:tcPr>
            <w:tcW w:w="349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12421 Auto Dr.</w:t>
            </w:r>
          </w:p>
        </w:tc>
        <w:tc>
          <w:tcPr>
            <w:tcW w:w="154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Clarksville</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MD</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21029</w:t>
            </w:r>
          </w:p>
        </w:tc>
      </w:tr>
      <w:tr>
        <w:trPr/>
        <w:tc>
          <w:tcPr>
            <w:tcW w:w="349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6730 Ocean Gateway</w:t>
            </w:r>
          </w:p>
        </w:tc>
        <w:tc>
          <w:tcPr>
            <w:tcW w:w="154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Easton</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MD</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21601</w:t>
            </w:r>
          </w:p>
        </w:tc>
      </w:tr>
      <w:tr>
        <w:trPr/>
        <w:tc>
          <w:tcPr>
            <w:tcW w:w="349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1051 East Broad St.</w:t>
            </w:r>
          </w:p>
        </w:tc>
        <w:tc>
          <w:tcPr>
            <w:tcW w:w="154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Falls Church</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VA</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22044</w:t>
            </w:r>
          </w:p>
        </w:tc>
      </w:tr>
      <w:tr>
        <w:trPr/>
        <w:tc>
          <w:tcPr>
            <w:tcW w:w="349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9610 Reisterstown Rd.</w:t>
            </w:r>
          </w:p>
        </w:tc>
        <w:tc>
          <w:tcPr>
            <w:tcW w:w="154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Owings Mills</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MD</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21117</w:t>
            </w:r>
          </w:p>
        </w:tc>
      </w:tr>
      <w:tr>
        <w:trPr/>
        <w:tc>
          <w:tcPr>
            <w:tcW w:w="349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46869 Harry Byrd Hwy.</w:t>
            </w:r>
          </w:p>
        </w:tc>
        <w:tc>
          <w:tcPr>
            <w:tcW w:w="154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Sterling</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VA</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20164</w:t>
            </w:r>
          </w:p>
        </w:tc>
      </w:tr>
      <w:tr>
        <w:trPr/>
        <w:tc>
          <w:tcPr>
            <w:tcW w:w="349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2000 Chain Bridge Rd.</w:t>
            </w:r>
          </w:p>
        </w:tc>
        <w:tc>
          <w:tcPr>
            <w:tcW w:w="154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Vienna</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VA</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22182</w:t>
            </w:r>
          </w:p>
        </w:tc>
      </w:tr>
      <w:tr>
        <w:trPr/>
        <w:tc>
          <w:tcPr>
            <w:tcW w:w="349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2050 Chain Bridge Rd.</w:t>
            </w:r>
          </w:p>
        </w:tc>
        <w:tc>
          <w:tcPr>
            <w:tcW w:w="154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Vienna</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VA</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22182</w:t>
            </w:r>
          </w:p>
        </w:tc>
      </w:tr>
      <w:tr>
        <w:trPr/>
        <w:tc>
          <w:tcPr>
            <w:tcW w:w="349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8610 Leesburg Pike</w:t>
            </w:r>
          </w:p>
        </w:tc>
        <w:tc>
          <w:tcPr>
            <w:tcW w:w="154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Vienna</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VA</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22182</w:t>
            </w:r>
          </w:p>
        </w:tc>
      </w:tr>
      <w:tr>
        <w:trPr/>
        <w:tc>
          <w:tcPr>
            <w:tcW w:w="349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375 Baltimore Blvd.</w:t>
            </w:r>
          </w:p>
        </w:tc>
        <w:tc>
          <w:tcPr>
            <w:tcW w:w="154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Westminster</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MD</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21157</w:t>
            </w:r>
          </w:p>
        </w:tc>
      </w:tr>
      <w:tr>
        <w:trPr/>
        <w:tc>
          <w:tcPr>
            <w:tcW w:w="349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10207 Philadelphia Rd.</w:t>
            </w:r>
          </w:p>
        </w:tc>
        <w:tc>
          <w:tcPr>
            <w:tcW w:w="154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White Marsh</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MD</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21162</w:t>
            </w:r>
          </w:p>
        </w:tc>
      </w:tr>
      <w:tr>
        <w:trPr/>
        <w:tc>
          <w:tcPr>
            <w:tcW w:w="349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5395 Nottingham Dr.</w:t>
            </w:r>
          </w:p>
        </w:tc>
        <w:tc>
          <w:tcPr>
            <w:tcW w:w="154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White Marsh</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MD</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21162</w:t>
            </w:r>
          </w:p>
        </w:tc>
      </w:tr>
      <w:tr>
        <w:trPr/>
        <w:tc>
          <w:tcPr>
            <w:tcW w:w="349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14530 Richmond Hwy</w:t>
            </w:r>
          </w:p>
        </w:tc>
        <w:tc>
          <w:tcPr>
            <w:tcW w:w="154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Woodbridge</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VA</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22191</w:t>
            </w:r>
          </w:p>
        </w:tc>
      </w:tr>
      <w:tr>
        <w:trPr/>
        <w:tc>
          <w:tcPr>
            <w:tcW w:w="349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13779 Noblewood Plaza</w:t>
            </w:r>
          </w:p>
        </w:tc>
        <w:tc>
          <w:tcPr>
            <w:tcW w:w="154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Woodbridge</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VA</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22193</w:t>
            </w:r>
          </w:p>
        </w:tc>
      </w:tr>
      <w:tr>
        <w:trPr/>
        <w:tc>
          <w:tcPr>
            <w:tcW w:w="349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1880 Opitz Blvd.</w:t>
            </w:r>
          </w:p>
        </w:tc>
        <w:tc>
          <w:tcPr>
            <w:tcW w:w="154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Woodbridge</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VA</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22191</w:t>
            </w:r>
          </w:p>
        </w:tc>
      </w:tr>
      <w:tr>
        <w:trPr/>
        <w:tc>
          <w:tcPr>
            <w:tcW w:w="349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14208 Richmond Hwy.</w:t>
            </w:r>
          </w:p>
        </w:tc>
        <w:tc>
          <w:tcPr>
            <w:tcW w:w="154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Woodbridge</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VA</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22191</w:t>
            </w:r>
          </w:p>
        </w:tc>
      </w:tr>
      <w:tr>
        <w:trPr/>
        <w:tc>
          <w:tcPr>
            <w:tcW w:w="349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755 North 500 West</w:t>
            </w:r>
          </w:p>
        </w:tc>
        <w:tc>
          <w:tcPr>
            <w:tcW w:w="154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West Bountiful</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UT</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84010</w:t>
            </w:r>
          </w:p>
        </w:tc>
      </w:tr>
      <w:tr>
        <w:trPr/>
        <w:tc>
          <w:tcPr>
            <w:tcW w:w="349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8528 Lomas Boulevard NE</w:t>
            </w:r>
          </w:p>
        </w:tc>
        <w:tc>
          <w:tcPr>
            <w:tcW w:w="154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Albuquerque</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NM</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87110</w:t>
            </w:r>
          </w:p>
        </w:tc>
      </w:tr>
      <w:tr>
        <w:trPr/>
        <w:tc>
          <w:tcPr>
            <w:tcW w:w="349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10055 West Papago Freeway </w:t>
            </w:r>
          </w:p>
        </w:tc>
        <w:tc>
          <w:tcPr>
            <w:tcW w:w="154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Avondale</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AZ</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85323</w:t>
            </w:r>
          </w:p>
        </w:tc>
      </w:tr>
      <w:tr>
        <w:trPr/>
        <w:tc>
          <w:tcPr>
            <w:tcW w:w="349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10101 West Papago Freeway </w:t>
            </w:r>
          </w:p>
        </w:tc>
        <w:tc>
          <w:tcPr>
            <w:tcW w:w="154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Avondale</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AZ</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85323</w:t>
            </w:r>
          </w:p>
        </w:tc>
      </w:tr>
      <w:tr>
        <w:trPr/>
        <w:tc>
          <w:tcPr>
            <w:tcW w:w="349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9820 Coors Boulevard NW</w:t>
            </w:r>
          </w:p>
        </w:tc>
        <w:tc>
          <w:tcPr>
            <w:tcW w:w="154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Albuquerque</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NM</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87114</w:t>
            </w:r>
          </w:p>
        </w:tc>
      </w:tr>
      <w:tr>
        <w:trPr/>
        <w:tc>
          <w:tcPr>
            <w:tcW w:w="349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5995 Alameda Boulevard NE</w:t>
            </w:r>
          </w:p>
        </w:tc>
        <w:tc>
          <w:tcPr>
            <w:tcW w:w="154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Albuquerque</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NM</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87113</w:t>
            </w:r>
          </w:p>
        </w:tc>
      </w:tr>
      <w:tr>
        <w:trPr/>
        <w:tc>
          <w:tcPr>
            <w:tcW w:w="349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10030 East Arapahoe Road</w:t>
            </w:r>
          </w:p>
        </w:tc>
        <w:tc>
          <w:tcPr>
            <w:tcW w:w="154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Centennial</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80112</w:t>
            </w:r>
          </w:p>
        </w:tc>
      </w:tr>
      <w:tr>
        <w:trPr/>
        <w:tc>
          <w:tcPr>
            <w:tcW w:w="349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10205 West Papago Freeway</w:t>
            </w:r>
          </w:p>
        </w:tc>
        <w:tc>
          <w:tcPr>
            <w:tcW w:w="154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Avondale</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AZ</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85323</w:t>
            </w:r>
          </w:p>
        </w:tc>
      </w:tr>
      <w:tr>
        <w:trPr/>
        <w:tc>
          <w:tcPr>
            <w:tcW w:w="349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222 South Auto Drive</w:t>
            </w:r>
          </w:p>
        </w:tc>
        <w:tc>
          <w:tcPr>
            <w:tcW w:w="154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Boise</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ID</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83709</w:t>
            </w:r>
          </w:p>
        </w:tc>
      </w:tr>
      <w:tr>
        <w:trPr/>
        <w:tc>
          <w:tcPr>
            <w:tcW w:w="349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11196 West Fairview Avenue</w:t>
            </w:r>
          </w:p>
        </w:tc>
        <w:tc>
          <w:tcPr>
            <w:tcW w:w="154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Boise</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ID</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83713</w:t>
            </w:r>
          </w:p>
        </w:tc>
      </w:tr>
      <w:tr>
        <w:trPr/>
        <w:tc>
          <w:tcPr>
            <w:tcW w:w="3495"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5500 South State Street</w:t>
            </w:r>
          </w:p>
        </w:tc>
        <w:tc>
          <w:tcPr>
            <w:tcW w:w="154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Murray</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UT</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84107</w:t>
            </w:r>
          </w:p>
        </w:tc>
      </w:tr>
      <w:tr>
        <w:trPr/>
        <w:tc>
          <w:tcPr>
            <w:tcW w:w="3495" w:type="dxa"/>
            <w:gridSpan w:val="3"/>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1700 West 6th Street</w:t>
            </w:r>
          </w:p>
        </w:tc>
        <w:tc>
          <w:tcPr>
            <w:tcW w:w="1544" w:type="dxa"/>
            <w:gridSpan w:val="3"/>
            <w:tcBorders>
              <w:top w:val="single" w:sz="4" w:space="0" w:color="999999"/>
              <w:left w:val="single" w:sz="4" w:space="0" w:color="999999"/>
              <w:bottom w:val="single" w:sz="4" w:space="0" w:color="999999"/>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Corona</w:t>
            </w:r>
          </w:p>
        </w:tc>
        <w:tc>
          <w:tcPr>
            <w:tcW w:w="496" w:type="dxa"/>
            <w:gridSpan w:val="3"/>
            <w:tcBorders>
              <w:top w:val="single" w:sz="4" w:space="0" w:color="999999"/>
              <w:left w:val="single" w:sz="4" w:space="0" w:color="999999"/>
              <w:bottom w:val="single" w:sz="4" w:space="0" w:color="999999"/>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CA</w:t>
            </w:r>
          </w:p>
        </w:tc>
        <w:tc>
          <w:tcPr>
            <w:tcW w:w="751" w:type="dxa"/>
            <w:gridSpan w:val="3"/>
            <w:tcBorders>
              <w:top w:val="single" w:sz="4" w:space="0" w:color="999999"/>
              <w:left w:val="single" w:sz="4" w:space="0" w:color="999999"/>
              <w:bottom w:val="single" w:sz="4" w:space="0" w:color="999999"/>
              <w:right w:val="single" w:sz="4" w:space="0" w:color="999999"/>
            </w:tcBorders>
            <w:tcMar>
              <w:top w:w="30" w:type="dxa"/>
              <w:bottom w:w="3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92882</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1"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color w:val="000000"/>
                                <w:sz w:val="20"/>
                              </w:rPr>
                              <w:t>9</w:t>
                            </w:r>
                            <w:r>
                              <w:rPr>
                                <w:color w:val="000000"/>
                              </w:rPr>
                              <w:t xml:space="preserve"> </w:t>
                            </w:r>
                            <w:r>
                              <w:rPr>
                                <w:rFonts w:ascii="Times New Roman;sans-serif" w:hAnsi="Times New Roman;sans-serif"/>
                                <w:b w:val="false"/>
                                <w:color w:val="000000"/>
                                <w:sz w:val="20"/>
                              </w:rPr>
                              <w:t xml:space="preserve">of </w:t>
                            </w:r>
                            <w:r>
                              <w:rPr>
                                <w:rFonts w:ascii="Times New Roman;sans-serif" w:hAnsi="Times New Roman;sans-serif"/>
                                <w:b/>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color w:val="000000"/>
                          <w:sz w:val="20"/>
                        </w:rPr>
                        <w:t>9</w:t>
                      </w:r>
                      <w:r>
                        <w:rPr>
                          <w:color w:val="000000"/>
                        </w:rPr>
                        <w:t xml:space="preserve"> </w:t>
                      </w:r>
                      <w:r>
                        <w:rPr>
                          <w:rFonts w:ascii="Times New Roman;sans-serif" w:hAnsi="Times New Roman;sans-serif"/>
                          <w:b w:val="false"/>
                          <w:color w:val="000000"/>
                          <w:sz w:val="20"/>
                        </w:rPr>
                        <w:t xml:space="preserve">of </w:t>
                      </w:r>
                      <w:r>
                        <w:rPr>
                          <w:rFonts w:ascii="Times New Roman;sans-serif" w:hAnsi="Times New Roman;sans-serif"/>
                          <w:b/>
                          <w:color w:val="000000"/>
                          <w:sz w:val="20"/>
                        </w:rPr>
                        <w:t>11</w:t>
                      </w:r>
                    </w:p>
                  </w:txbxContent>
                </v:textbox>
                <w10:wrap type="none"/>
              </v:rect>
            </w:pict>
          </mc:Fallback>
        </mc:AlternateContent>
      </w:r>
    </w:p>
    <w:tbl>
      <w:tblPr>
        <w:tblW w:w="6540" w:type="dxa"/>
        <w:jc w:val="left"/>
        <w:tblInd w:w="0" w:type="dxa"/>
        <w:tblLayout w:type="fixed"/>
        <w:tblCellMar>
          <w:top w:w="28" w:type="dxa"/>
          <w:left w:w="28" w:type="dxa"/>
          <w:bottom w:w="28" w:type="dxa"/>
          <w:right w:w="28" w:type="dxa"/>
        </w:tblCellMar>
      </w:tblPr>
      <w:tblGrid>
        <w:gridCol w:w="1277"/>
        <w:gridCol w:w="1120"/>
        <w:gridCol w:w="1127"/>
        <w:gridCol w:w="581"/>
        <w:gridCol w:w="581"/>
        <w:gridCol w:w="592"/>
        <w:gridCol w:w="168"/>
        <w:gridCol w:w="168"/>
        <w:gridCol w:w="175"/>
        <w:gridCol w:w="220"/>
        <w:gridCol w:w="220"/>
        <w:gridCol w:w="311"/>
      </w:tblGrid>
      <w:tr>
        <w:trPr/>
        <w:tc>
          <w:tcPr>
            <w:tcW w:w="127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350 South Havana Street</w:t>
            </w:r>
          </w:p>
        </w:tc>
        <w:tc>
          <w:tcPr>
            <w:tcW w:w="175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Aurora</w:t>
            </w:r>
          </w:p>
        </w:tc>
        <w:tc>
          <w:tcPr>
            <w:tcW w:w="51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80012</w:t>
            </w:r>
          </w:p>
        </w:tc>
      </w:tr>
      <w:tr>
        <w:trPr/>
        <w:tc>
          <w:tcPr>
            <w:tcW w:w="352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2727 South Havana Street</w:t>
            </w:r>
          </w:p>
        </w:tc>
        <w:tc>
          <w:tcPr>
            <w:tcW w:w="175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Aurora</w:t>
            </w:r>
          </w:p>
        </w:tc>
        <w:tc>
          <w:tcPr>
            <w:tcW w:w="51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80014</w:t>
            </w:r>
          </w:p>
        </w:tc>
      </w:tr>
      <w:tr>
        <w:trPr/>
        <w:tc>
          <w:tcPr>
            <w:tcW w:w="352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7710 West Gratz Drive</w:t>
            </w:r>
          </w:p>
        </w:tc>
        <w:tc>
          <w:tcPr>
            <w:tcW w:w="175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Boise</w:t>
            </w:r>
          </w:p>
        </w:tc>
        <w:tc>
          <w:tcPr>
            <w:tcW w:w="51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ID</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83709</w:t>
            </w:r>
          </w:p>
        </w:tc>
      </w:tr>
      <w:tr>
        <w:trPr/>
        <w:tc>
          <w:tcPr>
            <w:tcW w:w="352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5808 South State Street</w:t>
            </w:r>
          </w:p>
        </w:tc>
        <w:tc>
          <w:tcPr>
            <w:tcW w:w="175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Murray</w:t>
            </w:r>
          </w:p>
        </w:tc>
        <w:tc>
          <w:tcPr>
            <w:tcW w:w="51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UT</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84107</w:t>
            </w:r>
          </w:p>
        </w:tc>
      </w:tr>
      <w:tr>
        <w:trPr/>
        <w:tc>
          <w:tcPr>
            <w:tcW w:w="352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8425 W Bell Road</w:t>
            </w:r>
          </w:p>
        </w:tc>
        <w:tc>
          <w:tcPr>
            <w:tcW w:w="175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Peoria</w:t>
            </w:r>
          </w:p>
        </w:tc>
        <w:tc>
          <w:tcPr>
            <w:tcW w:w="51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AZ</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85382</w:t>
            </w:r>
          </w:p>
        </w:tc>
      </w:tr>
      <w:tr>
        <w:trPr/>
        <w:tc>
          <w:tcPr>
            <w:tcW w:w="352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10905 South Auto Mall Drive</w:t>
            </w:r>
          </w:p>
        </w:tc>
        <w:tc>
          <w:tcPr>
            <w:tcW w:w="175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Sandy</w:t>
            </w:r>
          </w:p>
        </w:tc>
        <w:tc>
          <w:tcPr>
            <w:tcW w:w="51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UT</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84070</w:t>
            </w:r>
          </w:p>
        </w:tc>
      </w:tr>
      <w:tr>
        <w:trPr/>
        <w:tc>
          <w:tcPr>
            <w:tcW w:w="352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544 South Lindon Park Drive</w:t>
            </w:r>
          </w:p>
        </w:tc>
        <w:tc>
          <w:tcPr>
            <w:tcW w:w="175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Lindon</w:t>
            </w:r>
          </w:p>
        </w:tc>
        <w:tc>
          <w:tcPr>
            <w:tcW w:w="51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UT</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84042</w:t>
            </w:r>
          </w:p>
        </w:tc>
      </w:tr>
      <w:tr>
        <w:trPr/>
        <w:tc>
          <w:tcPr>
            <w:tcW w:w="352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5686 South State Street</w:t>
            </w:r>
          </w:p>
        </w:tc>
        <w:tc>
          <w:tcPr>
            <w:tcW w:w="175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Murray</w:t>
            </w:r>
          </w:p>
        </w:tc>
        <w:tc>
          <w:tcPr>
            <w:tcW w:w="51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UT</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84107</w:t>
            </w:r>
          </w:p>
        </w:tc>
      </w:tr>
      <w:tr>
        <w:trPr/>
        <w:tc>
          <w:tcPr>
            <w:tcW w:w="352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11595 West 6th Avenue</w:t>
            </w:r>
          </w:p>
        </w:tc>
        <w:tc>
          <w:tcPr>
            <w:tcW w:w="175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Lakewood</w:t>
            </w:r>
          </w:p>
        </w:tc>
        <w:tc>
          <w:tcPr>
            <w:tcW w:w="51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80215</w:t>
            </w:r>
          </w:p>
        </w:tc>
      </w:tr>
      <w:tr>
        <w:trPr/>
        <w:tc>
          <w:tcPr>
            <w:tcW w:w="352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8665 West Bell Road </w:t>
            </w:r>
          </w:p>
        </w:tc>
        <w:tc>
          <w:tcPr>
            <w:tcW w:w="175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Peoria</w:t>
            </w:r>
          </w:p>
        </w:tc>
        <w:tc>
          <w:tcPr>
            <w:tcW w:w="51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AZ</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85382</w:t>
            </w:r>
          </w:p>
        </w:tc>
      </w:tr>
      <w:tr>
        <w:trPr/>
        <w:tc>
          <w:tcPr>
            <w:tcW w:w="352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11548 South Lone Peak Parkway</w:t>
            </w:r>
          </w:p>
        </w:tc>
        <w:tc>
          <w:tcPr>
            <w:tcW w:w="175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Draper</w:t>
            </w:r>
          </w:p>
        </w:tc>
        <w:tc>
          <w:tcPr>
            <w:tcW w:w="51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UT</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84020</w:t>
            </w:r>
          </w:p>
        </w:tc>
      </w:tr>
      <w:tr>
        <w:trPr/>
        <w:tc>
          <w:tcPr>
            <w:tcW w:w="352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460 East Auto Center Drive</w:t>
            </w:r>
          </w:p>
        </w:tc>
        <w:tc>
          <w:tcPr>
            <w:tcW w:w="175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Mesa</w:t>
            </w:r>
          </w:p>
        </w:tc>
        <w:tc>
          <w:tcPr>
            <w:tcW w:w="51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AZ</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85204</w:t>
            </w:r>
          </w:p>
        </w:tc>
      </w:tr>
      <w:tr>
        <w:trPr/>
        <w:tc>
          <w:tcPr>
            <w:tcW w:w="352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2025 Riverview Auto Drive</w:t>
            </w:r>
          </w:p>
        </w:tc>
        <w:tc>
          <w:tcPr>
            <w:tcW w:w="175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Mesa</w:t>
            </w:r>
          </w:p>
        </w:tc>
        <w:tc>
          <w:tcPr>
            <w:tcW w:w="51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AZ</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85201</w:t>
            </w:r>
          </w:p>
        </w:tc>
      </w:tr>
      <w:tr>
        <w:trPr/>
        <w:tc>
          <w:tcPr>
            <w:tcW w:w="352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5650 South State Street</w:t>
            </w:r>
          </w:p>
        </w:tc>
        <w:tc>
          <w:tcPr>
            <w:tcW w:w="175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Murray</w:t>
            </w:r>
          </w:p>
        </w:tc>
        <w:tc>
          <w:tcPr>
            <w:tcW w:w="51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UT</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84107</w:t>
            </w:r>
          </w:p>
        </w:tc>
      </w:tr>
      <w:tr>
        <w:trPr/>
        <w:tc>
          <w:tcPr>
            <w:tcW w:w="352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1320 Plum Valley Lane</w:t>
            </w:r>
          </w:p>
        </w:tc>
        <w:tc>
          <w:tcPr>
            <w:tcW w:w="175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Highlands Ranch</w:t>
            </w:r>
          </w:p>
        </w:tc>
        <w:tc>
          <w:tcPr>
            <w:tcW w:w="51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80129</w:t>
            </w:r>
          </w:p>
        </w:tc>
      </w:tr>
      <w:tr>
        <w:trPr/>
        <w:tc>
          <w:tcPr>
            <w:tcW w:w="352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1825 North University Parkway</w:t>
            </w:r>
          </w:p>
        </w:tc>
        <w:tc>
          <w:tcPr>
            <w:tcW w:w="175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Provo</w:t>
            </w:r>
          </w:p>
        </w:tc>
        <w:tc>
          <w:tcPr>
            <w:tcW w:w="51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UT</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84604</w:t>
            </w:r>
          </w:p>
        </w:tc>
      </w:tr>
      <w:tr>
        <w:trPr/>
        <w:tc>
          <w:tcPr>
            <w:tcW w:w="352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2125 North University Parkway</w:t>
            </w:r>
          </w:p>
        </w:tc>
        <w:tc>
          <w:tcPr>
            <w:tcW w:w="175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Provo</w:t>
            </w:r>
          </w:p>
        </w:tc>
        <w:tc>
          <w:tcPr>
            <w:tcW w:w="51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UT</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84604</w:t>
            </w:r>
          </w:p>
        </w:tc>
      </w:tr>
      <w:tr>
        <w:trPr/>
        <w:tc>
          <w:tcPr>
            <w:tcW w:w="352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17336 North 84th Lane</w:t>
            </w:r>
          </w:p>
        </w:tc>
        <w:tc>
          <w:tcPr>
            <w:tcW w:w="175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Peoria</w:t>
            </w:r>
          </w:p>
        </w:tc>
        <w:tc>
          <w:tcPr>
            <w:tcW w:w="51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AZ</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85382</w:t>
            </w:r>
          </w:p>
        </w:tc>
      </w:tr>
      <w:tr>
        <w:trPr/>
        <w:tc>
          <w:tcPr>
            <w:tcW w:w="352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1995 North University Parkway</w:t>
            </w:r>
          </w:p>
        </w:tc>
        <w:tc>
          <w:tcPr>
            <w:tcW w:w="175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Provo</w:t>
            </w:r>
          </w:p>
        </w:tc>
        <w:tc>
          <w:tcPr>
            <w:tcW w:w="51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UT</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84604</w:t>
            </w:r>
          </w:p>
        </w:tc>
      </w:tr>
      <w:tr>
        <w:trPr/>
        <w:tc>
          <w:tcPr>
            <w:tcW w:w="352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8633 West Bell Road</w:t>
            </w:r>
          </w:p>
        </w:tc>
        <w:tc>
          <w:tcPr>
            <w:tcW w:w="175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Peoria</w:t>
            </w:r>
          </w:p>
        </w:tc>
        <w:tc>
          <w:tcPr>
            <w:tcW w:w="51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AZ</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85382</w:t>
            </w:r>
          </w:p>
        </w:tc>
      </w:tr>
      <w:tr>
        <w:trPr/>
        <w:tc>
          <w:tcPr>
            <w:tcW w:w="352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7201 &amp; 7501 Lomas Boulevard NE</w:t>
            </w:r>
          </w:p>
        </w:tc>
        <w:tc>
          <w:tcPr>
            <w:tcW w:w="175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Albuquerque</w:t>
            </w:r>
          </w:p>
        </w:tc>
        <w:tc>
          <w:tcPr>
            <w:tcW w:w="51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NM</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87110</w:t>
            </w:r>
          </w:p>
        </w:tc>
      </w:tr>
      <w:tr>
        <w:trPr/>
        <w:tc>
          <w:tcPr>
            <w:tcW w:w="352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9733 Coors Boulevard NW</w:t>
            </w:r>
          </w:p>
        </w:tc>
        <w:tc>
          <w:tcPr>
            <w:tcW w:w="175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Albuquerque</w:t>
            </w:r>
          </w:p>
        </w:tc>
        <w:tc>
          <w:tcPr>
            <w:tcW w:w="51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NM</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87114</w:t>
            </w:r>
          </w:p>
        </w:tc>
      </w:tr>
      <w:tr>
        <w:trPr/>
        <w:tc>
          <w:tcPr>
            <w:tcW w:w="352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1481 West Riverdale Road</w:t>
            </w:r>
          </w:p>
        </w:tc>
        <w:tc>
          <w:tcPr>
            <w:tcW w:w="175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Riverdale</w:t>
            </w:r>
          </w:p>
        </w:tc>
        <w:tc>
          <w:tcPr>
            <w:tcW w:w="51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UT</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84405</w:t>
            </w:r>
          </w:p>
        </w:tc>
      </w:tr>
      <w:tr>
        <w:trPr/>
        <w:tc>
          <w:tcPr>
            <w:tcW w:w="352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13165 North Autoshow Avenue</w:t>
            </w:r>
          </w:p>
        </w:tc>
        <w:tc>
          <w:tcPr>
            <w:tcW w:w="175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Surprise</w:t>
            </w:r>
          </w:p>
        </w:tc>
        <w:tc>
          <w:tcPr>
            <w:tcW w:w="51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AZ</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85388</w:t>
            </w:r>
          </w:p>
        </w:tc>
      </w:tr>
      <w:tr>
        <w:trPr/>
        <w:tc>
          <w:tcPr>
            <w:tcW w:w="352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11442 South Lone Peak Parkway</w:t>
            </w:r>
          </w:p>
        </w:tc>
        <w:tc>
          <w:tcPr>
            <w:tcW w:w="175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Draper</w:t>
            </w:r>
          </w:p>
        </w:tc>
        <w:tc>
          <w:tcPr>
            <w:tcW w:w="51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UT</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84020</w:t>
            </w:r>
          </w:p>
        </w:tc>
      </w:tr>
      <w:tr>
        <w:trPr/>
        <w:tc>
          <w:tcPr>
            <w:tcW w:w="352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1340 South 500 West</w:t>
            </w:r>
          </w:p>
        </w:tc>
        <w:tc>
          <w:tcPr>
            <w:tcW w:w="175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Salt Lake City</w:t>
            </w:r>
          </w:p>
        </w:tc>
        <w:tc>
          <w:tcPr>
            <w:tcW w:w="51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UT</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84115</w:t>
            </w:r>
          </w:p>
        </w:tc>
      </w:tr>
      <w:tr>
        <w:trPr/>
        <w:tc>
          <w:tcPr>
            <w:tcW w:w="352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1208 West 3rd Avenue</w:t>
            </w:r>
          </w:p>
        </w:tc>
        <w:tc>
          <w:tcPr>
            <w:tcW w:w="175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Spokane</w:t>
            </w:r>
          </w:p>
        </w:tc>
        <w:tc>
          <w:tcPr>
            <w:tcW w:w="51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WA</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99201</w:t>
            </w:r>
          </w:p>
        </w:tc>
      </w:tr>
      <w:tr>
        <w:trPr/>
        <w:tc>
          <w:tcPr>
            <w:tcW w:w="352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8800 Lomas NE</w:t>
            </w:r>
          </w:p>
        </w:tc>
        <w:tc>
          <w:tcPr>
            <w:tcW w:w="175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Albuquerque</w:t>
            </w:r>
          </w:p>
        </w:tc>
        <w:tc>
          <w:tcPr>
            <w:tcW w:w="51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NM</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87112</w:t>
            </w:r>
          </w:p>
        </w:tc>
      </w:tr>
      <w:tr>
        <w:trPr/>
        <w:tc>
          <w:tcPr>
            <w:tcW w:w="352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2500 West 104th Avenue</w:t>
            </w:r>
          </w:p>
        </w:tc>
        <w:tc>
          <w:tcPr>
            <w:tcW w:w="175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Thornton</w:t>
            </w:r>
          </w:p>
        </w:tc>
        <w:tc>
          <w:tcPr>
            <w:tcW w:w="51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80234</w:t>
            </w:r>
          </w:p>
        </w:tc>
      </w:tr>
      <w:tr>
        <w:trPr/>
        <w:tc>
          <w:tcPr>
            <w:tcW w:w="352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7800 East 22nd Street</w:t>
            </w:r>
          </w:p>
        </w:tc>
        <w:tc>
          <w:tcPr>
            <w:tcW w:w="175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Tucson</w:t>
            </w:r>
          </w:p>
        </w:tc>
        <w:tc>
          <w:tcPr>
            <w:tcW w:w="51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AZ</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85710</w:t>
            </w:r>
          </w:p>
        </w:tc>
      </w:tr>
      <w:tr>
        <w:trPr/>
        <w:tc>
          <w:tcPr>
            <w:tcW w:w="352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4220 East 22nd Street</w:t>
            </w:r>
          </w:p>
        </w:tc>
        <w:tc>
          <w:tcPr>
            <w:tcW w:w="175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Tucson</w:t>
            </w:r>
          </w:p>
        </w:tc>
        <w:tc>
          <w:tcPr>
            <w:tcW w:w="51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AZ</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85711</w:t>
            </w:r>
          </w:p>
        </w:tc>
      </w:tr>
      <w:tr>
        <w:trPr/>
        <w:tc>
          <w:tcPr>
            <w:tcW w:w="352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6800 Federal Boulevard</w:t>
            </w:r>
          </w:p>
        </w:tc>
        <w:tc>
          <w:tcPr>
            <w:tcW w:w="175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Lemon Grove</w:t>
            </w:r>
          </w:p>
        </w:tc>
        <w:tc>
          <w:tcPr>
            <w:tcW w:w="51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CA</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91945</w:t>
            </w:r>
          </w:p>
        </w:tc>
      </w:tr>
      <w:tr>
        <w:trPr/>
        <w:tc>
          <w:tcPr>
            <w:tcW w:w="352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900 West AutoMall Drive</w:t>
            </w:r>
          </w:p>
        </w:tc>
        <w:tc>
          <w:tcPr>
            <w:tcW w:w="175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Tucson</w:t>
            </w:r>
          </w:p>
        </w:tc>
        <w:tc>
          <w:tcPr>
            <w:tcW w:w="51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AZ</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85705</w:t>
            </w:r>
          </w:p>
        </w:tc>
      </w:tr>
      <w:tr>
        <w:trPr/>
        <w:tc>
          <w:tcPr>
            <w:tcW w:w="352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10990 South Automall Drive</w:t>
            </w:r>
          </w:p>
        </w:tc>
        <w:tc>
          <w:tcPr>
            <w:tcW w:w="175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Sandy</w:t>
            </w:r>
          </w:p>
        </w:tc>
        <w:tc>
          <w:tcPr>
            <w:tcW w:w="51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UT</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84070</w:t>
            </w:r>
          </w:p>
        </w:tc>
      </w:tr>
      <w:tr>
        <w:trPr/>
        <w:tc>
          <w:tcPr>
            <w:tcW w:w="352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8303 West Colfax Avenue</w:t>
            </w:r>
          </w:p>
        </w:tc>
        <w:tc>
          <w:tcPr>
            <w:tcW w:w="175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Lakewood</w:t>
            </w:r>
          </w:p>
        </w:tc>
        <w:tc>
          <w:tcPr>
            <w:tcW w:w="51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80214</w:t>
            </w:r>
          </w:p>
        </w:tc>
      </w:tr>
      <w:tr>
        <w:trPr/>
        <w:tc>
          <w:tcPr>
            <w:tcW w:w="352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4201 Beltway Place</w:t>
            </w:r>
          </w:p>
        </w:tc>
        <w:tc>
          <w:tcPr>
            <w:tcW w:w="175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Arlington</w:t>
            </w:r>
          </w:p>
        </w:tc>
        <w:tc>
          <w:tcPr>
            <w:tcW w:w="51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TX</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76018</w:t>
            </w:r>
          </w:p>
        </w:tc>
      </w:tr>
      <w:tr>
        <w:trPr/>
        <w:tc>
          <w:tcPr>
            <w:tcW w:w="352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6113 Lemmon Avenue</w:t>
            </w:r>
          </w:p>
        </w:tc>
        <w:tc>
          <w:tcPr>
            <w:tcW w:w="175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Dallas</w:t>
            </w:r>
          </w:p>
        </w:tc>
        <w:tc>
          <w:tcPr>
            <w:tcW w:w="51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TX</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75209</w:t>
            </w:r>
          </w:p>
        </w:tc>
      </w:tr>
      <w:tr>
        <w:trPr/>
        <w:tc>
          <w:tcPr>
            <w:tcW w:w="352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6107 Lemmon Avenue</w:t>
            </w:r>
          </w:p>
        </w:tc>
        <w:tc>
          <w:tcPr>
            <w:tcW w:w="175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Dallas</w:t>
            </w:r>
          </w:p>
        </w:tc>
        <w:tc>
          <w:tcPr>
            <w:tcW w:w="51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TX</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75209</w:t>
            </w:r>
          </w:p>
        </w:tc>
      </w:tr>
      <w:tr>
        <w:trPr/>
        <w:tc>
          <w:tcPr>
            <w:tcW w:w="352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3515 Inwood Road</w:t>
            </w:r>
          </w:p>
        </w:tc>
        <w:tc>
          <w:tcPr>
            <w:tcW w:w="175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Dallas</w:t>
            </w:r>
          </w:p>
        </w:tc>
        <w:tc>
          <w:tcPr>
            <w:tcW w:w="51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TX</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75209</w:t>
            </w:r>
          </w:p>
        </w:tc>
      </w:tr>
      <w:tr>
        <w:trPr/>
        <w:tc>
          <w:tcPr>
            <w:tcW w:w="352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1300 East State Highway 114</w:t>
            </w:r>
          </w:p>
        </w:tc>
        <w:tc>
          <w:tcPr>
            <w:tcW w:w="175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Dallas</w:t>
            </w:r>
          </w:p>
        </w:tc>
        <w:tc>
          <w:tcPr>
            <w:tcW w:w="51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TX</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75261</w:t>
            </w:r>
          </w:p>
        </w:tc>
      </w:tr>
      <w:tr>
        <w:trPr/>
        <w:tc>
          <w:tcPr>
            <w:tcW w:w="352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5601 Bryant Irvin Road</w:t>
            </w:r>
          </w:p>
        </w:tc>
        <w:tc>
          <w:tcPr>
            <w:tcW w:w="175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Fort Worth</w:t>
            </w:r>
          </w:p>
        </w:tc>
        <w:tc>
          <w:tcPr>
            <w:tcW w:w="51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TX</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76132</w:t>
            </w:r>
          </w:p>
        </w:tc>
      </w:tr>
      <w:tr>
        <w:trPr/>
        <w:tc>
          <w:tcPr>
            <w:tcW w:w="352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6785 Dallas Parkway</w:t>
            </w:r>
          </w:p>
        </w:tc>
        <w:tc>
          <w:tcPr>
            <w:tcW w:w="1754"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Plano</w:t>
            </w:r>
          </w:p>
        </w:tc>
        <w:tc>
          <w:tcPr>
            <w:tcW w:w="511"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TX</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75024</w:t>
            </w:r>
          </w:p>
        </w:tc>
      </w:tr>
      <w:tr>
        <w:trPr/>
        <w:tc>
          <w:tcPr>
            <w:tcW w:w="3524" w:type="dxa"/>
            <w:gridSpan w:val="3"/>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901 East State Highway 114</w:t>
            </w:r>
          </w:p>
        </w:tc>
        <w:tc>
          <w:tcPr>
            <w:tcW w:w="1754" w:type="dxa"/>
            <w:gridSpan w:val="3"/>
            <w:tcBorders>
              <w:top w:val="single" w:sz="4" w:space="0" w:color="999999"/>
              <w:left w:val="single" w:sz="4" w:space="0" w:color="999999"/>
              <w:bottom w:val="single" w:sz="4" w:space="0" w:color="999999"/>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Grapevine</w:t>
            </w:r>
          </w:p>
        </w:tc>
        <w:tc>
          <w:tcPr>
            <w:tcW w:w="511" w:type="dxa"/>
            <w:gridSpan w:val="3"/>
            <w:tcBorders>
              <w:top w:val="single" w:sz="4" w:space="0" w:color="999999"/>
              <w:left w:val="single" w:sz="4" w:space="0" w:color="999999"/>
              <w:bottom w:val="single" w:sz="4" w:space="0" w:color="999999"/>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TX</w:t>
            </w:r>
          </w:p>
        </w:tc>
        <w:tc>
          <w:tcPr>
            <w:tcW w:w="751" w:type="dxa"/>
            <w:gridSpan w:val="3"/>
            <w:tcBorders>
              <w:top w:val="single" w:sz="4" w:space="0" w:color="999999"/>
              <w:left w:val="single" w:sz="4" w:space="0" w:color="999999"/>
              <w:bottom w:val="single" w:sz="4" w:space="0" w:color="999999"/>
              <w:right w:val="single" w:sz="4" w:space="0" w:color="999999"/>
            </w:tcBorders>
            <w:tcMar>
              <w:top w:w="30" w:type="dxa"/>
              <w:bottom w:w="3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76051</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2"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color w:val="000000"/>
                                <w:sz w:val="20"/>
                              </w:rPr>
                              <w:t>10</w:t>
                            </w:r>
                            <w:r>
                              <w:rPr>
                                <w:color w:val="000000"/>
                              </w:rPr>
                              <w:t xml:space="preserve"> </w:t>
                            </w:r>
                            <w:r>
                              <w:rPr>
                                <w:rFonts w:ascii="Times New Roman;sans-serif" w:hAnsi="Times New Roman;sans-serif"/>
                                <w:b w:val="false"/>
                                <w:color w:val="000000"/>
                                <w:sz w:val="20"/>
                              </w:rPr>
                              <w:t xml:space="preserve">of </w:t>
                            </w:r>
                            <w:r>
                              <w:rPr>
                                <w:rFonts w:ascii="Times New Roman;sans-serif" w:hAnsi="Times New Roman;sans-serif"/>
                                <w:b/>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color w:val="000000"/>
                          <w:sz w:val="20"/>
                        </w:rPr>
                        <w:t>10</w:t>
                      </w:r>
                      <w:r>
                        <w:rPr>
                          <w:color w:val="000000"/>
                        </w:rPr>
                        <w:t xml:space="preserve"> </w:t>
                      </w:r>
                      <w:r>
                        <w:rPr>
                          <w:rFonts w:ascii="Times New Roman;sans-serif" w:hAnsi="Times New Roman;sans-serif"/>
                          <w:b w:val="false"/>
                          <w:color w:val="000000"/>
                          <w:sz w:val="20"/>
                        </w:rPr>
                        <w:t xml:space="preserve">of </w:t>
                      </w:r>
                      <w:r>
                        <w:rPr>
                          <w:rFonts w:ascii="Times New Roman;sans-serif" w:hAnsi="Times New Roman;sans-serif"/>
                          <w:b/>
                          <w:color w:val="000000"/>
                          <w:sz w:val="20"/>
                        </w:rPr>
                        <w:t>11</w:t>
                      </w:r>
                    </w:p>
                  </w:txbxContent>
                </v:textbox>
                <w10:wrap type="none"/>
              </v:rect>
            </w:pict>
          </mc:Fallback>
        </mc:AlternateContent>
      </w:r>
    </w:p>
    <w:tbl>
      <w:tblPr>
        <w:tblW w:w="6886" w:type="dxa"/>
        <w:jc w:val="left"/>
        <w:tblInd w:w="0" w:type="dxa"/>
        <w:tblLayout w:type="fixed"/>
        <w:tblCellMar>
          <w:top w:w="28" w:type="dxa"/>
          <w:left w:w="28" w:type="dxa"/>
          <w:bottom w:w="28" w:type="dxa"/>
          <w:right w:w="28" w:type="dxa"/>
        </w:tblCellMar>
      </w:tblPr>
      <w:tblGrid>
        <w:gridCol w:w="1565"/>
        <w:gridCol w:w="1376"/>
        <w:gridCol w:w="1379"/>
        <w:gridCol w:w="439"/>
        <w:gridCol w:w="439"/>
        <w:gridCol w:w="441"/>
        <w:gridCol w:w="164"/>
        <w:gridCol w:w="164"/>
        <w:gridCol w:w="168"/>
        <w:gridCol w:w="220"/>
        <w:gridCol w:w="220"/>
        <w:gridCol w:w="311"/>
      </w:tblGrid>
      <w:tr>
        <w:trPr/>
        <w:tc>
          <w:tcPr>
            <w:tcW w:w="1565"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2668 Laurens Road</w:t>
            </w:r>
          </w:p>
        </w:tc>
        <w:tc>
          <w:tcPr>
            <w:tcW w:w="1319"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Greenville</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SC</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29607</w:t>
            </w:r>
          </w:p>
        </w:tc>
      </w:tr>
      <w:tr>
        <w:trPr/>
        <w:tc>
          <w:tcPr>
            <w:tcW w:w="432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2686 Laurens Road</w:t>
            </w:r>
          </w:p>
        </w:tc>
        <w:tc>
          <w:tcPr>
            <w:tcW w:w="1319"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Greenville</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SC</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29607</w:t>
            </w:r>
          </w:p>
        </w:tc>
      </w:tr>
      <w:tr>
        <w:trPr/>
        <w:tc>
          <w:tcPr>
            <w:tcW w:w="432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2700 Laurns Road</w:t>
            </w:r>
          </w:p>
        </w:tc>
        <w:tc>
          <w:tcPr>
            <w:tcW w:w="1319"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Greenville</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SC</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29607</w:t>
            </w:r>
          </w:p>
        </w:tc>
      </w:tr>
      <w:tr>
        <w:trPr/>
        <w:tc>
          <w:tcPr>
            <w:tcW w:w="432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2712 Laurens Road</w:t>
            </w:r>
          </w:p>
        </w:tc>
        <w:tc>
          <w:tcPr>
            <w:tcW w:w="1319"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Greenville</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SC</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29607</w:t>
            </w:r>
          </w:p>
        </w:tc>
      </w:tr>
      <w:tr>
        <w:trPr/>
        <w:tc>
          <w:tcPr>
            <w:tcW w:w="432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11830 Olive Boulevard </w:t>
            </w:r>
          </w:p>
        </w:tc>
        <w:tc>
          <w:tcPr>
            <w:tcW w:w="1319"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Creve Coeur</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MO</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63141</w:t>
            </w:r>
          </w:p>
        </w:tc>
      </w:tr>
      <w:tr>
        <w:trPr/>
        <w:tc>
          <w:tcPr>
            <w:tcW w:w="432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11910 Olive Boulevard</w:t>
            </w:r>
          </w:p>
        </w:tc>
        <w:tc>
          <w:tcPr>
            <w:tcW w:w="1319"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Creve Coeur</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MO</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63141</w:t>
            </w:r>
          </w:p>
        </w:tc>
      </w:tr>
      <w:tr>
        <w:trPr/>
        <w:tc>
          <w:tcPr>
            <w:tcW w:w="432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755 North New Ballas</w:t>
            </w:r>
          </w:p>
        </w:tc>
        <w:tc>
          <w:tcPr>
            <w:tcW w:w="1319"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Creve Coeur</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MO</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63141</w:t>
            </w:r>
          </w:p>
        </w:tc>
      </w:tr>
      <w:tr>
        <w:trPr/>
        <w:tc>
          <w:tcPr>
            <w:tcW w:w="432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11654 Olive Boulevard</w:t>
            </w:r>
          </w:p>
        </w:tc>
        <w:tc>
          <w:tcPr>
            <w:tcW w:w="1319"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Creve Coeur</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MO</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63141</w:t>
            </w:r>
          </w:p>
        </w:tc>
      </w:tr>
      <w:tr>
        <w:trPr/>
        <w:tc>
          <w:tcPr>
            <w:tcW w:w="432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951 Technology Drive</w:t>
            </w:r>
          </w:p>
        </w:tc>
        <w:tc>
          <w:tcPr>
            <w:tcW w:w="1319"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O'Fallon</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MO</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63368</w:t>
            </w:r>
          </w:p>
        </w:tc>
      </w:tr>
      <w:tr>
        <w:trPr/>
        <w:tc>
          <w:tcPr>
            <w:tcW w:w="432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444 South Havana Street</w:t>
            </w:r>
          </w:p>
        </w:tc>
        <w:tc>
          <w:tcPr>
            <w:tcW w:w="1319"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Aurora</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80012</w:t>
            </w:r>
          </w:p>
        </w:tc>
      </w:tr>
      <w:tr>
        <w:trPr/>
        <w:tc>
          <w:tcPr>
            <w:tcW w:w="432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801 Denver West Colorado Mills Boulevard</w:t>
            </w:r>
          </w:p>
        </w:tc>
        <w:tc>
          <w:tcPr>
            <w:tcW w:w="1319"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Lakewood</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80401</w:t>
            </w:r>
          </w:p>
        </w:tc>
      </w:tr>
      <w:tr>
        <w:trPr/>
        <w:tc>
          <w:tcPr>
            <w:tcW w:w="432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8337 Rasberry Way</w:t>
            </w:r>
          </w:p>
        </w:tc>
        <w:tc>
          <w:tcPr>
            <w:tcW w:w="1319"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Frederick</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80504</w:t>
            </w:r>
          </w:p>
        </w:tc>
      </w:tr>
      <w:tr>
        <w:trPr/>
        <w:tc>
          <w:tcPr>
            <w:tcW w:w="432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15000 West Colfax Avenue</w:t>
            </w:r>
          </w:p>
        </w:tc>
        <w:tc>
          <w:tcPr>
            <w:tcW w:w="1319"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Lakewood</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80401</w:t>
            </w:r>
          </w:p>
        </w:tc>
      </w:tr>
      <w:tr>
        <w:trPr/>
        <w:tc>
          <w:tcPr>
            <w:tcW w:w="432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780 Denver West Colorado Mills Boulevard</w:t>
            </w:r>
          </w:p>
        </w:tc>
        <w:tc>
          <w:tcPr>
            <w:tcW w:w="1319"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Lakewood</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80401</w:t>
            </w:r>
          </w:p>
        </w:tc>
      </w:tr>
      <w:tr>
        <w:trPr/>
        <w:tc>
          <w:tcPr>
            <w:tcW w:w="432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7999 West Colfax Avenue</w:t>
            </w:r>
          </w:p>
        </w:tc>
        <w:tc>
          <w:tcPr>
            <w:tcW w:w="1319"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Lakewood</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80214</w:t>
            </w:r>
          </w:p>
        </w:tc>
      </w:tr>
      <w:tr>
        <w:trPr/>
        <w:tc>
          <w:tcPr>
            <w:tcW w:w="432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5500 South Broadway</w:t>
            </w:r>
          </w:p>
        </w:tc>
        <w:tc>
          <w:tcPr>
            <w:tcW w:w="1319"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Littleton</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80121</w:t>
            </w:r>
          </w:p>
        </w:tc>
      </w:tr>
      <w:tr>
        <w:trPr/>
        <w:tc>
          <w:tcPr>
            <w:tcW w:w="432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8177 Raspberry Way</w:t>
            </w:r>
          </w:p>
        </w:tc>
        <w:tc>
          <w:tcPr>
            <w:tcW w:w="1319"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Frederick</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80504</w:t>
            </w:r>
          </w:p>
        </w:tc>
      </w:tr>
      <w:tr>
        <w:trPr/>
        <w:tc>
          <w:tcPr>
            <w:tcW w:w="432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9207 Adamo Drive</w:t>
            </w:r>
          </w:p>
        </w:tc>
        <w:tc>
          <w:tcPr>
            <w:tcW w:w="1319"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Tampa</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33619</w:t>
            </w:r>
          </w:p>
        </w:tc>
      </w:tr>
      <w:tr>
        <w:trPr/>
        <w:tc>
          <w:tcPr>
            <w:tcW w:w="432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4600 North Dale Mabry Highway</w:t>
            </w:r>
          </w:p>
        </w:tc>
        <w:tc>
          <w:tcPr>
            <w:tcW w:w="1319"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Tampa</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33614</w:t>
            </w:r>
          </w:p>
        </w:tc>
      </w:tr>
      <w:tr>
        <w:trPr/>
        <w:tc>
          <w:tcPr>
            <w:tcW w:w="432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4400 North Dale Mabry Highway</w:t>
            </w:r>
          </w:p>
        </w:tc>
        <w:tc>
          <w:tcPr>
            <w:tcW w:w="1319"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Tampa</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33614</w:t>
            </w:r>
          </w:p>
        </w:tc>
      </w:tr>
      <w:tr>
        <w:trPr/>
        <w:tc>
          <w:tcPr>
            <w:tcW w:w="432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3800 West Hillsborough Avenue</w:t>
            </w:r>
          </w:p>
        </w:tc>
        <w:tc>
          <w:tcPr>
            <w:tcW w:w="1319"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Tampa</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33614</w:t>
            </w:r>
          </w:p>
        </w:tc>
      </w:tr>
      <w:tr>
        <w:trPr/>
        <w:tc>
          <w:tcPr>
            <w:tcW w:w="432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3810 West Hillsborough Avenue</w:t>
            </w:r>
          </w:p>
        </w:tc>
        <w:tc>
          <w:tcPr>
            <w:tcW w:w="1319"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Tampa</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33614</w:t>
            </w:r>
          </w:p>
        </w:tc>
      </w:tr>
      <w:tr>
        <w:trPr/>
        <w:tc>
          <w:tcPr>
            <w:tcW w:w="432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9205 Adamo Drive</w:t>
            </w:r>
          </w:p>
        </w:tc>
        <w:tc>
          <w:tcPr>
            <w:tcW w:w="1319"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Tampa</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33619</w:t>
            </w:r>
          </w:p>
        </w:tc>
      </w:tr>
      <w:tr>
        <w:trPr/>
        <w:tc>
          <w:tcPr>
            <w:tcW w:w="432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9210 Adamo Drive</w:t>
            </w:r>
          </w:p>
        </w:tc>
        <w:tc>
          <w:tcPr>
            <w:tcW w:w="1319"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Tampa</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33619</w:t>
            </w:r>
          </w:p>
        </w:tc>
      </w:tr>
      <w:tr>
        <w:trPr/>
        <w:tc>
          <w:tcPr>
            <w:tcW w:w="432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300 West Loop 820 South</w:t>
            </w:r>
          </w:p>
        </w:tc>
        <w:tc>
          <w:tcPr>
            <w:tcW w:w="1319"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Ft. Worth</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TX</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76108</w:t>
            </w:r>
          </w:p>
        </w:tc>
      </w:tr>
      <w:tr>
        <w:trPr/>
        <w:tc>
          <w:tcPr>
            <w:tcW w:w="432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1601 North Dallas Parkway </w:t>
              <w:br/>
              <w:t>(7200 State Highway 121)</w:t>
            </w:r>
          </w:p>
        </w:tc>
        <w:tc>
          <w:tcPr>
            <w:tcW w:w="1319"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Frisco</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TX</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75034</w:t>
            </w:r>
          </w:p>
        </w:tc>
      </w:tr>
      <w:tr>
        <w:trPr/>
        <w:tc>
          <w:tcPr>
            <w:tcW w:w="432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3700 West Airport Freeway</w:t>
            </w:r>
          </w:p>
        </w:tc>
        <w:tc>
          <w:tcPr>
            <w:tcW w:w="1319"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Irving</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TX</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75062</w:t>
            </w:r>
          </w:p>
        </w:tc>
      </w:tr>
      <w:tr>
        <w:trPr/>
        <w:tc>
          <w:tcPr>
            <w:tcW w:w="432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6645 Dallas Parkway</w:t>
            </w:r>
          </w:p>
        </w:tc>
        <w:tc>
          <w:tcPr>
            <w:tcW w:w="1319"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Plano</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TX</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75024</w:t>
            </w:r>
          </w:p>
        </w:tc>
      </w:tr>
      <w:tr>
        <w:trPr/>
        <w:tc>
          <w:tcPr>
            <w:tcW w:w="432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6400 TX-121</w:t>
            </w:r>
          </w:p>
        </w:tc>
        <w:tc>
          <w:tcPr>
            <w:tcW w:w="1319"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Frisco</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TX</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75034</w:t>
            </w:r>
          </w:p>
        </w:tc>
      </w:tr>
      <w:tr>
        <w:trPr/>
        <w:tc>
          <w:tcPr>
            <w:tcW w:w="432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8704 West Broad Street</w:t>
            </w:r>
          </w:p>
        </w:tc>
        <w:tc>
          <w:tcPr>
            <w:tcW w:w="1319"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Richmond</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VA</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23294</w:t>
            </w:r>
          </w:p>
        </w:tc>
      </w:tr>
      <w:tr>
        <w:trPr/>
        <w:tc>
          <w:tcPr>
            <w:tcW w:w="4320"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12100 Midlothian Turnpike</w:t>
            </w:r>
          </w:p>
        </w:tc>
        <w:tc>
          <w:tcPr>
            <w:tcW w:w="1319"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Midlothian</w:t>
            </w:r>
          </w:p>
        </w:tc>
        <w:tc>
          <w:tcPr>
            <w:tcW w:w="49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VA</w:t>
            </w:r>
          </w:p>
        </w:tc>
        <w:tc>
          <w:tcPr>
            <w:tcW w:w="751" w:type="dxa"/>
            <w:gridSpan w:val="3"/>
            <w:tcBorders>
              <w:top w:val="single" w:sz="4" w:space="0" w:color="999999"/>
              <w:left w:val="single" w:sz="4" w:space="0" w:color="999999"/>
              <w:right w:val="single" w:sz="4" w:space="0" w:color="999999"/>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23113</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8710 West Broad Street </w:t>
            </w:r>
          </w:p>
        </w:tc>
        <w:tc>
          <w:tcPr>
            <w:tcW w:w="1319" w:type="dxa"/>
            <w:gridSpan w:val="3"/>
            <w:tcBorders>
              <w:left w:val="single" w:sz="4" w:space="0" w:color="999999"/>
            </w:tcBorders>
            <w:tcMar>
              <w:top w:w="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Richmond</w:t>
            </w:r>
          </w:p>
        </w:tc>
        <w:tc>
          <w:tcPr>
            <w:tcW w:w="496" w:type="dxa"/>
            <w:gridSpan w:val="3"/>
            <w:tcBorders>
              <w:left w:val="single" w:sz="4" w:space="0" w:color="999999"/>
            </w:tcBorders>
            <w:tcMar>
              <w:top w:w="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VA</w:t>
            </w:r>
          </w:p>
        </w:tc>
        <w:tc>
          <w:tcPr>
            <w:tcW w:w="751" w:type="dxa"/>
            <w:gridSpan w:val="3"/>
            <w:tcBorders>
              <w:left w:val="single" w:sz="4" w:space="0" w:color="999999"/>
              <w:right w:val="single" w:sz="4" w:space="0" w:color="999999"/>
            </w:tcBorders>
            <w:tcMar>
              <w:top w:w="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23294</w:t>
            </w:r>
          </w:p>
        </w:tc>
      </w:tr>
      <w:tr>
        <w:trPr/>
        <w:tc>
          <w:tcPr>
            <w:tcW w:w="4320" w:type="dxa"/>
            <w:gridSpan w:val="3"/>
            <w:tcBorders>
              <w:bottom w:val="single" w:sz="4" w:space="0" w:color="999999"/>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8712 West Broad Street </w:t>
            </w:r>
          </w:p>
        </w:tc>
        <w:tc>
          <w:tcPr>
            <w:tcW w:w="1319" w:type="dxa"/>
            <w:gridSpan w:val="3"/>
            <w:tcBorders>
              <w:left w:val="single" w:sz="4" w:space="0" w:color="999999"/>
              <w:bottom w:val="single" w:sz="4" w:space="0" w:color="999999"/>
            </w:tcBorders>
            <w:tcMar>
              <w:top w:w="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Richmond</w:t>
            </w:r>
          </w:p>
        </w:tc>
        <w:tc>
          <w:tcPr>
            <w:tcW w:w="496" w:type="dxa"/>
            <w:gridSpan w:val="3"/>
            <w:tcBorders>
              <w:left w:val="single" w:sz="4" w:space="0" w:color="999999"/>
              <w:bottom w:val="single" w:sz="4" w:space="0" w:color="999999"/>
            </w:tcBorders>
            <w:tcMar>
              <w:top w:w="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VA</w:t>
            </w:r>
          </w:p>
        </w:tc>
        <w:tc>
          <w:tcPr>
            <w:tcW w:w="751" w:type="dxa"/>
            <w:gridSpan w:val="3"/>
            <w:tcBorders>
              <w:left w:val="single" w:sz="4" w:space="0" w:color="999999"/>
              <w:bottom w:val="single" w:sz="4" w:space="0" w:color="999999"/>
              <w:right w:val="single" w:sz="4" w:space="0" w:color="999999"/>
            </w:tcBorders>
            <w:tcMar>
              <w:top w:w="0" w:type="dxa"/>
              <w:bottom w:w="3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23294</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3"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color w:val="000000"/>
                                <w:sz w:val="20"/>
                              </w:rPr>
                              <w:t>11</w:t>
                            </w:r>
                            <w:r>
                              <w:rPr>
                                <w:color w:val="000000"/>
                              </w:rPr>
                              <w:t xml:space="preserve"> </w:t>
                            </w:r>
                            <w:r>
                              <w:rPr>
                                <w:rFonts w:ascii="Times New Roman;sans-serif" w:hAnsi="Times New Roman;sans-serif"/>
                                <w:b w:val="false"/>
                                <w:color w:val="000000"/>
                                <w:sz w:val="20"/>
                              </w:rPr>
                              <w:t xml:space="preserve">of </w:t>
                            </w:r>
                            <w:r>
                              <w:rPr>
                                <w:rFonts w:ascii="Times New Roman;sans-serif" w:hAnsi="Times New Roman;sans-serif"/>
                                <w:b/>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color w:val="000000"/>
                          <w:sz w:val="20"/>
                        </w:rPr>
                        <w:t>11</w:t>
                      </w:r>
                      <w:r>
                        <w:rPr>
                          <w:color w:val="000000"/>
                        </w:rPr>
                        <w:t xml:space="preserve"> </w:t>
                      </w:r>
                      <w:r>
                        <w:rPr>
                          <w:rFonts w:ascii="Times New Roman;sans-serif" w:hAnsi="Times New Roman;sans-serif"/>
                          <w:b w:val="false"/>
                          <w:color w:val="000000"/>
                          <w:sz w:val="20"/>
                        </w:rPr>
                        <w:t xml:space="preserve">of </w:t>
                      </w:r>
                      <w:r>
                        <w:rPr>
                          <w:rFonts w:ascii="Times New Roman;sans-serif" w:hAnsi="Times New Roman;sans-serif"/>
                          <w:b/>
                          <w:color w:val="000000"/>
                          <w:sz w:val="20"/>
                        </w:rPr>
                        <w:t>11</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10.17</w:t>
      </w:r>
    </w:p>
    <w:p>
      <w:pPr>
        <w:pStyle w:val="TextBody"/>
        <w:bidi w:val="0"/>
        <w:spacing w:before="0" w:after="0"/>
        <w:jc w:val="left"/>
        <w:rPr/>
      </w:pPr>
      <w:r>
        <w:rPr/>
        <w:drawing>
          <wp:inline distT="0" distB="0" distL="0" distR="0">
            <wp:extent cx="2524125" cy="809625"/>
            <wp:effectExtent l="0" t="0" r="0" b="0"/>
            <wp:docPr id="15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5" descr=""/>
                    <pic:cNvPicPr>
                      <a:picLocks noChangeAspect="1" noChangeArrowheads="1"/>
                    </pic:cNvPicPr>
                  </pic:nvPicPr>
                  <pic:blipFill>
                    <a:blip r:embed="rId72"/>
                    <a:stretch>
                      <a:fillRect/>
                    </a:stretch>
                  </pic:blipFill>
                  <pic:spPr bwMode="auto">
                    <a:xfrm>
                      <a:off x="0" y="0"/>
                      <a:ext cx="2524125" cy="809625"/>
                    </a:xfrm>
                    <a:prstGeom prst="rect">
                      <a:avLst/>
                    </a:prstGeom>
                  </pic:spPr>
                </pic:pic>
              </a:graphicData>
            </a:graphic>
          </wp:inline>
        </w:drawing>
      </w:r>
    </w:p>
    <w:p>
      <w:pPr>
        <w:pStyle w:val="TextBody"/>
        <w:bidi w:val="0"/>
        <w:spacing w:before="18" w:after="283"/>
        <w:jc w:val="left"/>
        <w:rPr/>
      </w:pPr>
      <w:r>
        <w:rPr/>
      </w:r>
    </w:p>
    <w:p>
      <w:pPr>
        <w:pStyle w:val="TextBody"/>
        <w:bidi w:val="0"/>
        <w:spacing w:lineRule="auto" w:line="288" w:before="0" w:after="0"/>
        <w:ind w:left="0" w:right="0" w:hanging="574"/>
        <w:jc w:val="left"/>
        <w:rPr>
          <w:rFonts w:ascii="Times New Roman;sans-serif" w:hAnsi="Times New Roman;sans-serif"/>
          <w:b/>
          <w:color w:val="000000"/>
          <w:sz w:val="24"/>
        </w:rPr>
      </w:pPr>
      <w:r>
        <w:rPr>
          <w:rFonts w:ascii="Times New Roman;sans-serif" w:hAnsi="Times New Roman;sans-serif"/>
          <w:b/>
          <w:color w:val="000000"/>
          <w:sz w:val="24"/>
        </w:rPr>
        <w:t>SEVERANCE PAY AGREEMENT FOR KEY EMPLOYEE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is entered into as of March 8, 2022 (the “Effective Date”) between Asbury Automotive Group, Inc. (“Asbury”) and Miran Maric (“Executive”).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CONSIDERATION of the promises and mutual covenants and agreements contained herein, the Asbury and Executive agree as follows: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1.Severance Pay Arrangement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a Termination (as defined in Section 2 below) of Executive’s employment occurs at any time during Executive’s employment, Asbury will pay Executive 12 months of Executive’s base salary as of the date of Termination (hereinafter such pay shall be referred to as “Severance Pay”). The Severance Pay will be subject to required withholding and will be made by Asbury to Executive monthly over the course of 12 months on the regular payroll dates beginning on the first regular payroll date after the effective date of the release referenced in Section B below that Executive executes.</w:t>
      </w:r>
    </w:p>
    <w:p>
      <w:pPr>
        <w:pStyle w:val="TextBody"/>
        <w:bidi w:val="0"/>
        <w:spacing w:before="0" w:after="0"/>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to the payment of Severance Pay, if a Termination (as defined in Section 2 below) of Executive’s employment occurs at any time during Executive’s employment with Asbury, to the extent that Executive participates in a bonus compensation plan at the date of Termination, Asbury shall pay Executive a pro rata portion of that bonus for the year of the Termination equal to the amount of the bonus that Executive would have received if Executive’s employment had not been terminated during such year, multiplied by the percentage of such year that has expired through the date of Termination. Such bonus shall be paid at such time as bonuses are paid under the bonus compensation plan to Asbury’s other employees whose employment was not terminated in such year.</w:t>
      </w:r>
    </w:p>
    <w:p>
      <w:pPr>
        <w:pStyle w:val="TextBody"/>
        <w:bidi w:val="0"/>
        <w:spacing w:lineRule="auto" w:line="288" w:before="275"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Asbury further agrees that, if Executive, upon a Termination (as defined in Section 2 below) of Executive’s employment occurs at any time during Executive’s employment with Asbury, timely and properly elects COBRA for any medical, dental and vision benefit plans in which Executive was participating immediately prior to the end of Executive’s employment with Asbury, Asbury shall continue to pay its portion of the monthly premium for those COBRA- covered medical, dental and vision benefit plans for a period of 12 months after the last day of Executive’s employment with Asbury. Notwithstanding the above, if Executive obtains other employment (prior to the end of the 12 month COBRA reimbursement period) under which Executive is eligible to be covered by benefits equal to the benefits in his COBRA-elected plans, Asbury’s obligation to reimburse Executive ceases upon Executive’s eligibility for such equal benefits.</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herein to the contrary, if Executive is determined to be a “specified employee” within the meaning of Section 409A of the Internal Revenue Code of 1986, as amended the (“Code”) and if one or more of the payments or benefits to be received by Executive pursuant to this Agreement would be considered deferred compensation subject to Section 409A of the Code, then no such payment shall be made or benefit provided until six (6) months following Executive’s date of Termination.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hanging="719"/>
        <w:jc w:val="left"/>
        <w:rPr>
          <w:rFonts w:ascii="Times New Roman;sans-serif" w:hAnsi="Times New Roman;sans-serif"/>
          <w:b/>
          <w:color w:val="000000"/>
          <w:sz w:val="24"/>
        </w:rPr>
      </w:pPr>
      <w:r>
        <w:rPr>
          <w:rFonts w:ascii="Times New Roman;sans-serif" w:hAnsi="Times New Roman;sans-serif"/>
          <w:b/>
          <w:color w:val="000000"/>
          <w:sz w:val="24"/>
        </w:rPr>
        <w:t>2.Termination Triggering Severance Pay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“Termination” triggering the Severance Pay set forth above in Section 1 is defined as a termination of Executive’s employment with Asbury: (1) by Asbury without “cause”, or (2) by Executive because of (x) a material change in the geographic location at which the Executive must perform Executive’s services (which shall in no event include a relocation of Executive’s current principal place of business to a location less than 50 miles away), (y) a material diminution in Executive’s base compensation, or (z) a material diminution in Executive’s authority, duties, or responsibilities. For avoidance of doubt, a “Termination” shall not include a termination of Executive’s employment by Asbury for “cause” or due to Executive’s, death, disability, retirement or voluntary resignation.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the purposes of this Agreement, the definition of “cause” is: (a) Executive’s gross negligence or serious misconduct (including, without limitation, any criminal, fraudulent or dishonest conduct) that is or may be injurious to Asbury; or (b) Executive’s being convicted of, or entering a plea of nolo contendere to, any crime that constitutes a felony or involves moral turpitude; or (c) Executive’s breach of Sections 3, 4 or 5 below; or (d) Executive’s willful and continued failure to perform Executive’s duties on behalf of Asbury; or (e) Executive’s material breach of a written policy of Asbury. For purposes of this Agreement, the definition of “disability” is a physical or mental disability or infirmity that prevents the performance by Executive of his duties lasting (or likely to last, based on competent medical evidence presented to Asbury) for a continuous period of six months or longer.</w:t>
      </w:r>
    </w:p>
    <w:p>
      <w:pPr>
        <w:pStyle w:val="TextBody"/>
        <w:bidi w:val="0"/>
        <w:spacing w:lineRule="auto" w:line="288" w:before="275" w:after="283"/>
        <w:ind w:left="0" w:right="0" w:hanging="719"/>
        <w:jc w:val="left"/>
        <w:rPr>
          <w:rFonts w:ascii="Times New Roman;sans-serif" w:hAnsi="Times New Roman;sans-serif"/>
          <w:b/>
          <w:color w:val="000000"/>
          <w:sz w:val="24"/>
        </w:rPr>
      </w:pPr>
      <w:r>
        <w:rPr>
          <w:rFonts w:ascii="Times New Roman;sans-serif" w:hAnsi="Times New Roman;sans-serif"/>
          <w:b/>
          <w:color w:val="000000"/>
          <w:sz w:val="24"/>
        </w:rPr>
        <w:t>3.Confidential Information and Nondisclosure Provision</w:t>
      </w:r>
    </w:p>
    <w:p>
      <w:pPr>
        <w:pStyle w:val="TextBody"/>
        <w:bidi w:val="0"/>
        <w:spacing w:before="0" w:after="0"/>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As a condition to the receipt of the Severance Pay and benefits described in Section 1 above, during and after employment with Asbury, Executive shall agree not to disclose to any person (other than to an employee or director of Asbury, or to Asbury’s attorneys, accountants and other advisors or except as may be required by law) and not use to compete with Asbury any confidential or proprietary information, knowledge or data that is not in the public domain that was obtained by Executive while employed by Asbury regarding Asbury or any products, improvements, customers, methods of distribution, sales, prices, profits, costs, contracts, suppliers, business prospects, business methods, techniques, research, trade secrets or know-how of Asbury (collectively, “Confidential Information”). In the event that Executive’s employment with Asbury ends for any reason, Executive will deliver to Asbury on or before the Executive’s last day of employment all documents and data of any nature (whether in tangible or electronic form) pertaining to Executive’s work with Asbury and will not take any documents or data or any reproduction, or any documents containing or pertaining to any Confidential Information. Executive agrees that in the event of a breach by Executive of this provision, Asbury shall be entitled to inform all potential or new employers of such breach and to cease payments and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benefits that would otherwise be made pursuant to Section 1 above, as well as to obtain injunctive relief and damages, including reasonable attorneys fees, and which may include recovery of amounts paid to Executive under this Agreement.</w:t>
      </w:r>
    </w:p>
    <w:p>
      <w:pPr>
        <w:pStyle w:val="TextBody"/>
        <w:bidi w:val="0"/>
        <w:spacing w:before="0" w:after="0"/>
        <w:jc w:val="left"/>
        <w:rPr/>
      </w:pPr>
      <w:r>
        <w:rPr/>
      </w:r>
    </w:p>
    <w:p>
      <w:pPr>
        <w:pStyle w:val="TextBody"/>
        <w:bidi w:val="0"/>
        <w:spacing w:lineRule="auto" w:line="288" w:before="0" w:after="0"/>
        <w:ind w:left="0" w:right="0" w:hanging="719"/>
        <w:jc w:val="left"/>
        <w:rPr>
          <w:rFonts w:ascii="Times New Roman;sans-serif" w:hAnsi="Times New Roman;sans-serif"/>
          <w:b/>
          <w:color w:val="000000"/>
          <w:sz w:val="24"/>
        </w:rPr>
      </w:pPr>
      <w:r>
        <w:rPr>
          <w:rFonts w:ascii="Times New Roman;sans-serif" w:hAnsi="Times New Roman;sans-serif"/>
          <w:b/>
          <w:color w:val="000000"/>
          <w:sz w:val="24"/>
        </w:rPr>
        <w:t>4.Non-Solicitation/Non-Hire of Employees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Executive agrees that, during his employment at Asbury and for a 12-month period after the end of his employment with Asbury for any reason, he will not, directly or indirectly, solicit, recruit or hire any employee of Asbury (or any person who was an employee of Asbury during the 12 month period preceding the last day of Executive’s employment with Asbury) or encourage any such employee to terminate employment with Asbury.</w:t>
      </w:r>
    </w:p>
    <w:p>
      <w:pPr>
        <w:pStyle w:val="TextBody"/>
        <w:bidi w:val="0"/>
        <w:spacing w:before="0" w:after="0"/>
        <w:jc w:val="left"/>
        <w:rPr/>
      </w:pPr>
      <w:r>
        <w:rPr/>
      </w:r>
    </w:p>
    <w:p>
      <w:pPr>
        <w:pStyle w:val="TextBody"/>
        <w:bidi w:val="0"/>
        <w:spacing w:lineRule="auto" w:line="288" w:before="0" w:after="0"/>
        <w:ind w:left="0" w:right="0" w:hanging="719"/>
        <w:jc w:val="left"/>
        <w:rPr>
          <w:rFonts w:ascii="Times New Roman;sans-serif" w:hAnsi="Times New Roman;sans-serif"/>
          <w:b/>
          <w:color w:val="000000"/>
          <w:sz w:val="24"/>
        </w:rPr>
      </w:pPr>
      <w:r>
        <w:rPr>
          <w:rFonts w:ascii="Times New Roman;sans-serif" w:hAnsi="Times New Roman;sans-serif"/>
          <w:b/>
          <w:color w:val="000000"/>
          <w:sz w:val="24"/>
        </w:rPr>
        <w:t>5.Covenant Not to Compete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Executive agrees that, during his employment at Asbury and for a 12-month period after the end of his employment with Asbury for any reason, he will not (except on behalf of or with the prior written consent of Asbury, which consent may be withheld in Asbury’s sole discretion):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 xml:space="preserve">(a)provide services of a leadership, management, executive, operational, or advisory capacity and/or participate in the ownership of or provide financial backing to an automotive dealership that is located within a fifty-mile radius of any address set forth on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(the “Area”);</w:t>
      </w:r>
    </w:p>
    <w:p>
      <w:pPr>
        <w:pStyle w:val="TextBody"/>
        <w:bidi w:val="0"/>
        <w:spacing w:before="0" w:after="0"/>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(b)provide senior/corporate level leadership, executive, operational, or advisory services to any corporate competitor of Asbury who owns or operates one or more automotive dealerships within the Area; and</w:t>
      </w:r>
    </w:p>
    <w:p>
      <w:pPr>
        <w:pStyle w:val="TextBody"/>
        <w:bidi w:val="0"/>
        <w:spacing w:lineRule="auto" w:line="288" w:before="274"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(c)provide services of a leadership, management, executive, operational or advisory capacity for anyone or any business whose focus is buying, conglomerating, or otherwise acquiring one or more automotive dealerships that are located within the Area.</w:t>
      </w:r>
    </w:p>
    <w:p>
      <w:pPr>
        <w:pStyle w:val="TextBody"/>
        <w:bidi w:val="0"/>
        <w:spacing w:before="0" w:after="0"/>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this Section 5, Executive acknowledges and agrees that Asbury conducts business in the Area and that the Area is a reasonable geographic limitation.</w:t>
      </w:r>
    </w:p>
    <w:p>
      <w:pPr>
        <w:pStyle w:val="TextBody"/>
        <w:bidi w:val="0"/>
        <w:spacing w:lineRule="auto" w:line="288" w:before="276"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to the contrary contained in this Agreement, Asbury hereby agrees that the foregoing covenant shall not be deemed breached as a result of the passive ownership by Executive of: (i) less than an aggregate of 5% of any class of stock of a business that competes with Asbury; or (ii) less than an aggregate of 10% in value of any instrument of indebtedness of a business that competes with Asbury. Asbury further agrees that nothing in this Section 5 prohibits Executive from accepting employment from, and performing services for, businesses engaged in the finance industry, and businesses engaged in the manufacturing and/or sale of automobile parts or the provision of automotive service, provided such businesses do not also engage in the retail of automobiles within the Area. By way of example, nothing in this Section 5 would prohibit Executive from working with such businesses as American General Finance, NAPA Auto Parts or Goodyear.</w:t>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ind w:left="0" w:right="0" w:firstLine="720"/>
        <w:jc w:val="both"/>
        <w:rPr/>
      </w:pPr>
      <w:r>
        <w:rPr>
          <w:rFonts w:ascii="Times New Roman;sans-serif" w:hAnsi="Times New Roman;sans-serif"/>
          <w:b w:val="false"/>
          <w:color w:val="000000"/>
          <w:sz w:val="24"/>
        </w:rPr>
        <w:t xml:space="preserve">Within one day of the end of Executive’s employment with Asbury for any reason, Executive agrees to re-confirm his commitment to the post-employment restrictive covenants in this Agreement. Executive further agrees that, as part of that re-confirmation, the term “Area” and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hereto may be amended by Asbury, but only to the extent necessary to list the addresses of Asbury’s headquarters and any automotive dealerships that Asbury owns and/or operates as of the last day of Executive’s employment with Asbury.</w:t>
      </w:r>
    </w:p>
    <w:p>
      <w:pPr>
        <w:pStyle w:val="TextBody"/>
        <w:bidi w:val="0"/>
        <w:spacing w:before="0" w:after="0"/>
        <w:jc w:val="left"/>
        <w:rPr/>
      </w:pPr>
      <w:r>
        <w:rPr/>
      </w:r>
    </w:p>
    <w:p>
      <w:pPr>
        <w:pStyle w:val="TextBody"/>
        <w:bidi w:val="0"/>
        <w:spacing w:lineRule="auto" w:line="288" w:before="0" w:after="0"/>
        <w:ind w:left="0" w:right="0" w:hanging="719"/>
        <w:jc w:val="left"/>
        <w:rPr>
          <w:rFonts w:ascii="Times New Roman;sans-serif" w:hAnsi="Times New Roman;sans-serif"/>
          <w:b/>
          <w:color w:val="000000"/>
          <w:sz w:val="24"/>
        </w:rPr>
      </w:pPr>
      <w:r>
        <w:rPr>
          <w:rFonts w:ascii="Times New Roman;sans-serif" w:hAnsi="Times New Roman;sans-serif"/>
          <w:b/>
          <w:color w:val="000000"/>
          <w:sz w:val="24"/>
        </w:rPr>
        <w:t>6.Construction/Enforcement of Post-Employment Covenants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Executive agrees that the provisions of Sections 3, 4 and 5 are reasonable and properly required for the adequate protection of the business and the goodwill of Asbury. However, if a judicial determination is made that any of the provisions of Sections 3, 4 or 5 constitutes an unreasonable or otherwise unenforceable restriction against Executive, such provision(s) shall be modified or severed so as to permit enforcement of the provision(s) to the extent reasonable.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7.Violation of Post-Employment Covenants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Executive agrees that, in the event of a material breach by Executive of any Section of this Agreement, including Sections 3, 4, or 5, Asbury shall be entitled to: (i) inform all potential or new employers of such breach; (ii) cease payments and benefits that would otherwise be made pursuant to Section 1 above (and in lieu of such payments and benefits pay Executive five hundred dollars ($500.00)); (iii) obtain injunctive relief and damages, including reasonable attorney’s fees; and (iv) recover the amounts paid to Executive under this Agreement (other than the above- referenced $500.00) during any period of material breach by Executive. To the extent that Executive is determined through agreement or resolution of any pending claim to not have violated any covenant at issue, he shall receive any and all severance that has not been paid under the Agreement and/or which was recovered from Executive under this Section 7.</w:t>
      </w:r>
    </w:p>
    <w:p>
      <w:pPr>
        <w:pStyle w:val="TextBody"/>
        <w:bidi w:val="0"/>
        <w:spacing w:lineRule="auto" w:line="288" w:before="275"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GENERAL PROVISIONS</w:t>
      </w:r>
    </w:p>
    <w:p>
      <w:pPr>
        <w:pStyle w:val="TextBody"/>
        <w:bidi w:val="0"/>
        <w:spacing w:before="0" w:after="0"/>
        <w:jc w:val="left"/>
        <w:rPr/>
      </w:pPr>
      <w:r>
        <w:rPr/>
      </w:r>
    </w:p>
    <w:p>
      <w:pPr>
        <w:pStyle w:val="TextBody"/>
        <w:bidi w:val="0"/>
        <w:spacing w:lineRule="auto" w:line="288" w:before="1" w:after="283"/>
        <w:ind w:left="0" w:right="0" w:hanging="719"/>
        <w:jc w:val="left"/>
        <w:rPr/>
      </w:pPr>
      <w:r>
        <w:rPr>
          <w:rFonts w:ascii="Times New Roman;sans-serif" w:hAnsi="Times New Roman;sans-serif"/>
          <w:b/>
          <w:color w:val="000000"/>
          <w:sz w:val="24"/>
        </w:rPr>
        <w:t>A.</w:t>
      </w:r>
      <w:r>
        <w:rPr>
          <w:rFonts w:ascii="Times New Roman;sans-serif" w:hAnsi="Times New Roman;sans-serif"/>
          <w:b/>
          <w:color w:val="000000"/>
          <w:sz w:val="24"/>
          <w:u w:val="single"/>
        </w:rPr>
        <w:t>Employment is At Will</w:t>
      </w:r>
    </w:p>
    <w:p>
      <w:pPr>
        <w:pStyle w:val="TextBody"/>
        <w:bidi w:val="0"/>
        <w:spacing w:lineRule="auto" w:line="288" w:before="276"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Executive and Asbury acknowledge and agree that Executive is an “at will” employee, which means that either Executive or Asbury may terminate the employment relationship at any time, for any reason, with or without cause or notice, and that nothing in this Agreement shall be construed as an express or implied contract of employment.</w:t>
      </w:r>
    </w:p>
    <w:p>
      <w:pPr>
        <w:pStyle w:val="TextBody"/>
        <w:bidi w:val="0"/>
        <w:spacing w:lineRule="auto" w:line="288" w:before="276" w:after="283"/>
        <w:ind w:left="0" w:right="0" w:hanging="719"/>
        <w:jc w:val="left"/>
        <w:rPr/>
      </w:pPr>
      <w:r>
        <w:rPr>
          <w:rFonts w:ascii="Times New Roman;sans-serif" w:hAnsi="Times New Roman;sans-serif"/>
          <w:b/>
          <w:color w:val="000000"/>
          <w:sz w:val="24"/>
        </w:rPr>
        <w:t>B.</w:t>
      </w:r>
      <w:r>
        <w:rPr>
          <w:rFonts w:ascii="Times New Roman;sans-serif" w:hAnsi="Times New Roman;sans-serif"/>
          <w:b/>
          <w:color w:val="000000"/>
          <w:sz w:val="24"/>
          <w:u w:val="single"/>
        </w:rPr>
        <w:t>Execution of Release</w:t>
      </w:r>
    </w:p>
    <w:p>
      <w:pPr>
        <w:pStyle w:val="TextBody"/>
        <w:bidi w:val="0"/>
        <w:spacing w:lineRule="auto" w:line="288" w:before="276"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Executive agrees that, as a condition to the receipt of the Severance Pay and other compensation and insurance benefits described in Section 1 above, Executive shall execute a release of all claims against Asbury (and its corporate parents, subsidiaries, franchisors, franchisees, management companies, divisions, and affiliates) and the past, present and future officers, directors, agents, officials, employees, insurers and attorneys of Asbury (and its corporate parents, subsidiaries, franchisors, franchisees, management companies, divisions, and affiliates) arising out of Executive’s employment or the end of his employment with Asbury, such release to</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not be revoked by Executive and to completely waive and release any claim of discrimination, harassment or wrongful discharge under local, state or federal law.</w:t>
      </w:r>
    </w:p>
    <w:p>
      <w:pPr>
        <w:pStyle w:val="TextBody"/>
        <w:bidi w:val="0"/>
        <w:spacing w:before="0" w:after="0"/>
        <w:jc w:val="left"/>
        <w:rPr/>
      </w:pPr>
      <w:r>
        <w:rPr/>
      </w:r>
    </w:p>
    <w:p>
      <w:pPr>
        <w:pStyle w:val="TextBody"/>
        <w:bidi w:val="0"/>
        <w:spacing w:lineRule="auto" w:line="288" w:before="0" w:after="0"/>
        <w:ind w:left="0" w:right="0" w:hanging="719"/>
        <w:jc w:val="left"/>
        <w:rPr/>
      </w:pPr>
      <w:r>
        <w:rPr>
          <w:rFonts w:ascii="Times New Roman;sans-serif" w:hAnsi="Times New Roman;sans-serif"/>
          <w:b/>
          <w:color w:val="000000"/>
          <w:sz w:val="24"/>
        </w:rPr>
        <w:t>C.</w:t>
      </w:r>
      <w:r>
        <w:rPr>
          <w:rFonts w:ascii="Times New Roman;sans-serif" w:hAnsi="Times New Roman;sans-serif"/>
          <w:b/>
          <w:color w:val="000000"/>
          <w:sz w:val="24"/>
          <w:u w:val="single"/>
        </w:rPr>
        <w:t>Alternative Dispute Resolution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Any disputes arising under or in connection with this Agreement shall be resolved by binding arbitration before an arbitrator (who shall be an attorney with at least ten years’ experience in employment law) in the city where Executive was employed with Asbury and in accordance with the rules and procedures of the most recent employment rules of the American Arbitration Association. Each party may choose to retain legal counsel and shall pay its own attorneys’ fees, regardless of the outcome of the arbitration. Executive may be required to pay a filing fee limited to the equivalent cost of filing in the court of jurisdiction. Asbury will pay the fees and costs of conducting the arbitration. Judgment upon the award rendered by the arbitrator may be entered in any court of jurisdiction.</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ans-serif" w:hAnsi="Times New Roman;sans-serif"/>
          <w:b/>
          <w:color w:val="000000"/>
          <w:sz w:val="24"/>
        </w:rPr>
        <w:t>D.</w:t>
      </w:r>
      <w:r>
        <w:rPr>
          <w:rFonts w:ascii="Times New Roman;sans-serif" w:hAnsi="Times New Roman;sans-serif"/>
          <w:b/>
          <w:color w:val="000000"/>
          <w:sz w:val="24"/>
          <w:u w:val="single"/>
        </w:rPr>
        <w:t>Non-Disparagement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Executive agrees not to make any disclosures, issue any statements or otherwise cause to be disclosed any information which is designed, intended or might reasonably be anticipated to disparage Asbury, its officers or directors, its business, services, products, technologies and/or personnel. Nothing in this section is intended, nor shall be construed, to: (i) prohibit Executive from any communications to, or participation in any investigation or proceeding conducted by, any governmental agency with jurisdiction concerning the terms, conditions and privileges of employment or jurisdiction over Asbury’s business; (ii) interfere with, restrain, or prevent Executive’s communications regarding the terms and conditions of employment; or (iii) prevent Executive from otherwise engaging in any legally protected activity.</w:t>
      </w:r>
    </w:p>
    <w:p>
      <w:pPr>
        <w:pStyle w:val="TextBody"/>
        <w:bidi w:val="0"/>
        <w:spacing w:lineRule="auto" w:line="288" w:before="275" w:after="283"/>
        <w:ind w:left="0" w:right="0" w:hanging="719"/>
        <w:jc w:val="left"/>
        <w:rPr/>
      </w:pPr>
      <w:r>
        <w:rPr>
          <w:rFonts w:ascii="Times New Roman;sans-serif" w:hAnsi="Times New Roman;sans-serif"/>
          <w:b/>
          <w:color w:val="000000"/>
          <w:sz w:val="24"/>
        </w:rPr>
        <w:t>E.</w:t>
      </w:r>
      <w:r>
        <w:rPr>
          <w:rFonts w:ascii="Times New Roman;sans-serif" w:hAnsi="Times New Roman;sans-serif"/>
          <w:b/>
          <w:color w:val="000000"/>
          <w:sz w:val="24"/>
          <w:u w:val="single"/>
        </w:rPr>
        <w:t>Other Provisions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(a)This Agreement shall be binding upon the heirs, executors, administrators, successors and assigns of Executive and Asbury, including any successor to or assign of Asbury.</w:t>
      </w:r>
    </w:p>
    <w:p>
      <w:pPr>
        <w:pStyle w:val="TextBody"/>
        <w:bidi w:val="0"/>
        <w:spacing w:before="0" w:after="0"/>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(b)Upon the end of Executive’s employment with Asbury for any reason, the provisions of this Agreement shall survive to the extent necessary to give effect to the provisions herein, including Sections 3, 4 and 5.</w:t>
      </w:r>
    </w:p>
    <w:p>
      <w:pPr>
        <w:pStyle w:val="TextBody"/>
        <w:bidi w:val="0"/>
        <w:spacing w:lineRule="auto" w:line="288" w:before="276"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(c)The headings and captions are provided for reference and convenience only and shall not be considered part of this Agreement.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(d)Executive also covenants to reasonably cooperate with Asbury if Executive is needed as a witness in any litigation or legal matters involving Asbury.</w:t>
      </w:r>
    </w:p>
    <w:p>
      <w:pPr>
        <w:pStyle w:val="TextBody"/>
        <w:bidi w:val="0"/>
        <w:spacing w:before="0" w:after="0"/>
        <w:jc w:val="left"/>
        <w:rPr/>
      </w:pPr>
      <w:r>
        <w:rPr/>
      </w:r>
    </w:p>
    <w:p>
      <w:pPr>
        <w:pStyle w:val="TextBody"/>
        <w:bidi w:val="0"/>
        <w:spacing w:lineRule="auto" w:line="288"/>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(e)Any notice or other communication required or permitted to be delivered under this Agreement shall be (i) in writing, (ii) delivered personally, by nationally recognized overnight </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courier service or by certified or registered mail, first-class postage prepaid and return receipt requested, (iii) deemed to have been received on the date of delivery or on the third business day</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6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after mailing, and (iv) addressed as follows (or to such other address as the party entitled to notice shall later designate in accordance with these terms):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If to Asbury:    Asbury Automotive Group, Inc.</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 The Office of the General Counsel 2905 Premiere Parkway, Suite 300</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Duluth, GA 30097</w:t>
      </w:r>
    </w:p>
    <w:p>
      <w:pPr>
        <w:pStyle w:val="TextBody"/>
        <w:bidi w:val="0"/>
        <w:spacing w:before="0" w:after="0"/>
        <w:jc w:val="left"/>
        <w:rPr/>
      </w:pPr>
      <w:r>
        <w:rPr/>
      </w:r>
    </w:p>
    <w:p>
      <w:pPr>
        <w:pStyle w:val="TextBody"/>
        <w:bidi w:val="0"/>
        <w:spacing w:lineRule="auto" w:line="288" w:before="0" w:after="0"/>
        <w:ind w:left="0" w:right="0" w:hanging="2161"/>
        <w:jc w:val="left"/>
        <w:rPr>
          <w:rFonts w:ascii="Times New Roman;sans-serif" w:hAnsi="Times New Roman;sans-serif"/>
          <w:b w:val="false"/>
          <w:color w:val="000000"/>
          <w:sz w:val="24"/>
        </w:rPr>
      </w:pPr>
      <w:r>
        <w:rPr>
          <w:rFonts w:ascii="Times New Roman;sans-serif" w:hAnsi="Times New Roman;sans-serif"/>
          <w:b w:val="false"/>
          <w:color w:val="000000"/>
          <w:sz w:val="24"/>
        </w:rPr>
        <w:t>If to Executive:    To the most recent address of Executive set forth in the personnel records of Asbury.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(f)This Agreement supersedes any and all prior agreements between Asbury and Executive relating to payments upon Termination of employment or Severance Pay and may only be modified in a writing signed by Asbury and Executive.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(g)This Agreement shall be governed by and construed in accordance with the laws of the State of Georgia.</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(h)All payments hereunder shall be subject to any required withholding of federal, state, local and foreign taxes pursuant to any applicable law or regulation.</w:t>
      </w:r>
    </w:p>
    <w:p>
      <w:pPr>
        <w:pStyle w:val="TextBody"/>
        <w:bidi w:val="0"/>
        <w:spacing w:before="0" w:after="0"/>
        <w:jc w:val="left"/>
        <w:rPr/>
      </w:pPr>
      <w:r>
        <w:rPr/>
      </w:r>
    </w:p>
    <w:p>
      <w:pPr>
        <w:pStyle w:val="TextBody"/>
        <w:bidi w:val="0"/>
        <w:spacing w:lineRule="auto" w:line="288" w:before="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(i)If any provision of this Agreement shall be held invalid or unenforceable, such holding shall not affect any other provisions, and this Agreement shall be construed and enforced as if such provisions had not been included. No provision of this Agreement shall be waived unless the waiver is agreed to in writing and signed by Executive and the Chief Human Resources Officer of Asbury. No waiver by either party of any breach of, or of compliance with, any condition or provision of this Agreement by the other party shall be considered a waiver of any other condition or provision or of the same condition or provision at another time.</w:t>
      </w:r>
    </w:p>
    <w:p>
      <w:pPr>
        <w:pStyle w:val="TextBody"/>
        <w:bidi w:val="0"/>
        <w:spacing w:lineRule="auto" w:line="288" w:before="274"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(j)The parties hereto acknowledge and agree that, to the extent applicable, this Agreement shall be interpreted in accordance with, and incorporate the terms and conditions required by, Section 409A of the Code and the Department of Treasury regulations and other interpretive guidance issued thereunder. Notwithstanding any provision of this Agreement to the contrary, in the event that Asbury determines that any amounts payable hereunder will be immediately taxable to Executive under Section 409A of the Code and related Department of Treasury guidance, Asbury and Executive shall cooperate in good faith to (x) adopt such amendments to this Agreement and appropriate policies and procedures, including amendments and policies with retroactive effect, that they mutually determine to be necessary or appropriate to preserve the intended tax treatment of the benefits provided by this Agreement, to preserve the economic benefits of this Agreement and to avoid less favorable accounting or tax consequences for Asbury and/or (y) take such other actions as mutually determined to be necessary or appropriate to exempt the amounts payable hereunder from Section 409A of the Code or to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74" w:after="283"/>
        <w:jc w:val="both"/>
        <w:rPr>
          <w:rFonts w:ascii="Times New Roman;sans-serif" w:hAnsi="Times New Roman;sans-serif"/>
          <w:b w:val="false"/>
          <w:color w:val="000000"/>
          <w:sz w:val="24"/>
        </w:rPr>
      </w:pPr>
      <w:r>
        <w:rPr>
          <w:rFonts w:ascii="Times New Roman;sans-serif" w:hAnsi="Times New Roman;sans-serif"/>
          <w:b w:val="false"/>
          <w:color w:val="000000"/>
          <w:sz w:val="24"/>
        </w:rPr>
        <w:t>comply with the requirements of Section 409A of the Code and thereby avoid the application of penalty taxes thereunder.</w:t>
      </w:r>
    </w:p>
    <w:p>
      <w:pPr>
        <w:pStyle w:val="TextBody"/>
        <w:bidi w:val="0"/>
        <w:spacing w:before="0" w:after="0"/>
        <w:jc w:val="both"/>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This Agreement may be executed in one or more counterparts, each of which shall be deemed to be an original, but all of which together will constitute one and the same instrument.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AGREED TO AS OF March 8, 2022</w:t>
      </w:r>
    </w:p>
    <w:p>
      <w:pPr>
        <w:pStyle w:val="TextBody"/>
        <w:bidi w:val="0"/>
        <w:spacing w:before="1" w:after="283"/>
        <w:jc w:val="left"/>
        <w:rPr/>
      </w:pPr>
      <w:r>
        <w:rPr/>
      </w:r>
    </w:p>
    <w:tbl>
      <w:tblPr>
        <w:tblW w:w="9777" w:type="dxa"/>
        <w:jc w:val="left"/>
        <w:tblInd w:w="0" w:type="dxa"/>
        <w:tblLayout w:type="fixed"/>
        <w:tblCellMar>
          <w:top w:w="28" w:type="dxa"/>
          <w:left w:w="28" w:type="dxa"/>
          <w:bottom w:w="28" w:type="dxa"/>
          <w:right w:w="28" w:type="dxa"/>
        </w:tblCellMar>
      </w:tblPr>
      <w:tblGrid>
        <w:gridCol w:w="1795"/>
        <w:gridCol w:w="1576"/>
        <w:gridCol w:w="1579"/>
        <w:gridCol w:w="109"/>
        <w:gridCol w:w="109"/>
        <w:gridCol w:w="109"/>
        <w:gridCol w:w="1318"/>
        <w:gridCol w:w="1318"/>
        <w:gridCol w:w="1864"/>
      </w:tblGrid>
      <w:tr>
        <w:trPr/>
        <w:tc>
          <w:tcPr>
            <w:tcW w:w="1795"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EXECUTIVE: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ASBURY AUTOMOTIVE GROUP, INC.</w:t>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Miran Maric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David W. Hult</w:t>
            </w:r>
          </w:p>
        </w:tc>
      </w:tr>
      <w:tr>
        <w:trPr/>
        <w:tc>
          <w:tcPr>
            <w:tcW w:w="4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Miran Maric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David W. Hult</w:t>
            </w:r>
          </w:p>
        </w:tc>
      </w:tr>
      <w:tr>
        <w:trPr/>
        <w:tc>
          <w:tcPr>
            <w:tcW w:w="4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Senior Vice President, Strategy &amp; Innovation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President &amp; CEO</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As used in the Severance Pay Agreement, “Area” means a 50-mile radius from any of the following addresses:</w:t>
      </w:r>
    </w:p>
    <w:p>
      <w:pPr>
        <w:pStyle w:val="TextBody"/>
        <w:bidi w:val="0"/>
        <w:spacing w:before="46" w:after="283"/>
        <w:jc w:val="left"/>
        <w:rPr/>
      </w:pPr>
      <w:r>
        <w:rPr/>
      </w:r>
    </w:p>
    <w:tbl>
      <w:tblPr>
        <w:tblW w:w="5971" w:type="dxa"/>
        <w:jc w:val="left"/>
        <w:tblInd w:w="0" w:type="dxa"/>
        <w:tblLayout w:type="fixed"/>
        <w:tblCellMar>
          <w:top w:w="28" w:type="dxa"/>
          <w:left w:w="28" w:type="dxa"/>
          <w:bottom w:w="28" w:type="dxa"/>
          <w:right w:w="28" w:type="dxa"/>
        </w:tblCellMar>
      </w:tblPr>
      <w:tblGrid>
        <w:gridCol w:w="1197"/>
        <w:gridCol w:w="1056"/>
        <w:gridCol w:w="1062"/>
        <w:gridCol w:w="432"/>
        <w:gridCol w:w="432"/>
        <w:gridCol w:w="455"/>
        <w:gridCol w:w="195"/>
        <w:gridCol w:w="195"/>
        <w:gridCol w:w="196"/>
        <w:gridCol w:w="218"/>
        <w:gridCol w:w="218"/>
        <w:gridCol w:w="315"/>
      </w:tblGrid>
      <w:tr>
        <w:trPr/>
        <w:tc>
          <w:tcPr>
            <w:tcW w:w="119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op w:val="single" w:sz="4" w:space="0" w:color="000000"/>
            </w:tcBorders>
            <w:shd w:fill="999999" w:val="clear"/>
            <w:tcMar>
              <w:top w:w="30" w:type="dxa"/>
              <w:left w:w="0" w:type="dxa"/>
              <w:bottom w:w="0" w:type="dxa"/>
              <w:right w:w="0" w:type="dxa"/>
            </w:tcMar>
            <w:vAlign w:val="center"/>
          </w:tcPr>
          <w:p>
            <w:pPr>
              <w:pStyle w:val="TableContents"/>
              <w:bidi w:val="0"/>
              <w:spacing w:lineRule="atLeast" w:line="255" w:before="69" w:after="283"/>
              <w:jc w:val="left"/>
              <w:rPr>
                <w:rFonts w:ascii="Times New Roman;sans-serif" w:hAnsi="Times New Roman;sans-serif"/>
                <w:b/>
                <w:i/>
                <w:color w:val="000000"/>
                <w:sz w:val="24"/>
              </w:rPr>
            </w:pPr>
            <w:r>
              <w:rPr>
                <w:rFonts w:ascii="Times New Roman;sans-serif" w:hAnsi="Times New Roman;sans-serif"/>
                <w:b/>
                <w:i/>
                <w:color w:val="000000"/>
                <w:sz w:val="24"/>
              </w:rPr>
              <w:t>Address</w:t>
            </w:r>
          </w:p>
        </w:tc>
        <w:tc>
          <w:tcPr>
            <w:tcW w:w="1319" w:type="dxa"/>
            <w:gridSpan w:val="3"/>
            <w:tcBorders>
              <w:top w:val="single" w:sz="4" w:space="0" w:color="000000"/>
              <w:left w:val="single" w:sz="4" w:space="0" w:color="000000"/>
            </w:tcBorders>
            <w:shd w:fill="999999" w:val="clear"/>
            <w:tcMar>
              <w:top w:w="30" w:type="dxa"/>
              <w:bottom w:w="0" w:type="dxa"/>
              <w:right w:w="0" w:type="dxa"/>
            </w:tcMar>
            <w:vAlign w:val="center"/>
          </w:tcPr>
          <w:p>
            <w:pPr>
              <w:pStyle w:val="TableContents"/>
              <w:bidi w:val="0"/>
              <w:spacing w:lineRule="atLeast" w:line="255" w:before="69" w:after="283"/>
              <w:jc w:val="left"/>
              <w:rPr>
                <w:rFonts w:ascii="Times New Roman;sans-serif" w:hAnsi="Times New Roman;sans-serif"/>
                <w:b/>
                <w:i/>
                <w:color w:val="000000"/>
                <w:sz w:val="24"/>
              </w:rPr>
            </w:pPr>
            <w:r>
              <w:rPr>
                <w:rFonts w:ascii="Times New Roman;sans-serif" w:hAnsi="Times New Roman;sans-serif"/>
                <w:b/>
                <w:i/>
                <w:color w:val="000000"/>
                <w:sz w:val="24"/>
              </w:rPr>
              <w:t>City</w:t>
            </w:r>
          </w:p>
        </w:tc>
        <w:tc>
          <w:tcPr>
            <w:tcW w:w="586" w:type="dxa"/>
            <w:gridSpan w:val="3"/>
            <w:tcBorders>
              <w:top w:val="single" w:sz="4" w:space="0" w:color="000000"/>
              <w:left w:val="single" w:sz="4" w:space="0" w:color="000000"/>
            </w:tcBorders>
            <w:shd w:fill="999999" w:val="clear"/>
            <w:tcMar>
              <w:top w:w="30" w:type="dxa"/>
              <w:bottom w:w="0" w:type="dxa"/>
              <w:right w:w="0" w:type="dxa"/>
            </w:tcMar>
            <w:vAlign w:val="center"/>
          </w:tcPr>
          <w:p>
            <w:pPr>
              <w:pStyle w:val="TableContents"/>
              <w:bidi w:val="0"/>
              <w:spacing w:lineRule="atLeast" w:line="255" w:before="69" w:after="283"/>
              <w:jc w:val="left"/>
              <w:rPr>
                <w:rFonts w:ascii="Times New Roman;sans-serif" w:hAnsi="Times New Roman;sans-serif"/>
                <w:b/>
                <w:i/>
                <w:color w:val="000000"/>
                <w:sz w:val="24"/>
              </w:rPr>
            </w:pPr>
            <w:r>
              <w:rPr>
                <w:rFonts w:ascii="Times New Roman;sans-serif" w:hAnsi="Times New Roman;sans-serif"/>
                <w:b/>
                <w:i/>
                <w:color w:val="000000"/>
                <w:sz w:val="24"/>
              </w:rPr>
              <w:t>State</w:t>
            </w:r>
          </w:p>
        </w:tc>
        <w:tc>
          <w:tcPr>
            <w:tcW w:w="751" w:type="dxa"/>
            <w:gridSpan w:val="3"/>
            <w:tcBorders>
              <w:top w:val="single" w:sz="4" w:space="0" w:color="000000"/>
              <w:left w:val="single" w:sz="4" w:space="0" w:color="000000"/>
              <w:right w:val="single" w:sz="4" w:space="0" w:color="000000"/>
            </w:tcBorders>
            <w:shd w:fill="999999" w:val="clear"/>
            <w:tcMar>
              <w:top w:w="30" w:type="dxa"/>
              <w:bottom w:w="0" w:type="dxa"/>
            </w:tcMar>
            <w:vAlign w:val="center"/>
          </w:tcPr>
          <w:p>
            <w:pPr>
              <w:pStyle w:val="TableContents"/>
              <w:bidi w:val="0"/>
              <w:spacing w:lineRule="atLeast" w:line="255" w:before="69" w:after="283"/>
              <w:jc w:val="left"/>
              <w:rPr>
                <w:rFonts w:ascii="Times New Roman;sans-serif" w:hAnsi="Times New Roman;sans-serif"/>
                <w:b/>
                <w:i/>
                <w:color w:val="000000"/>
                <w:sz w:val="24"/>
              </w:rPr>
            </w:pPr>
            <w:r>
              <w:rPr>
                <w:rFonts w:ascii="Times New Roman;sans-serif" w:hAnsi="Times New Roman;sans-serif"/>
                <w:b/>
                <w:i/>
                <w:color w:val="000000"/>
                <w:sz w:val="24"/>
              </w:rPr>
              <w:t>Zip</w:t>
            </w:r>
          </w:p>
        </w:tc>
      </w:tr>
      <w:tr>
        <w:trPr/>
        <w:tc>
          <w:tcPr>
            <w:tcW w:w="3315"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2905 Premiere Parkway</w:t>
            </w:r>
          </w:p>
        </w:tc>
        <w:tc>
          <w:tcPr>
            <w:tcW w:w="1319" w:type="dxa"/>
            <w:gridSpan w:val="3"/>
            <w:tcBorders>
              <w:top w:val="single" w:sz="4" w:space="0" w:color="000000"/>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Duluth</w:t>
            </w:r>
          </w:p>
        </w:tc>
        <w:tc>
          <w:tcPr>
            <w:tcW w:w="586" w:type="dxa"/>
            <w:gridSpan w:val="3"/>
            <w:tcBorders>
              <w:top w:val="single" w:sz="4" w:space="0" w:color="000000"/>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GA</w:t>
            </w:r>
          </w:p>
        </w:tc>
        <w:tc>
          <w:tcPr>
            <w:tcW w:w="751" w:type="dxa"/>
            <w:gridSpan w:val="3"/>
            <w:tcBorders>
              <w:top w:val="single" w:sz="4" w:space="0" w:color="000000"/>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30097</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1355 Cobb Parkway South</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Marietta</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GA</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30060</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11505 Alpharetta Highway</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Roswell</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GA</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1"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30076</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1606 Church Street</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Decatur</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GA</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30033</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4200 Jonesboro Road</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City</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GA</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30291</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4197 Jonesboro Road</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City</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GA</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1"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30291</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7909 Mall Parkway</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Lithonia</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GA</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30038</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2550 The Nalley Way</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Atlanta</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GA</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30360</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2020 Cobb Parkway</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Marietta</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GA</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1"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30080</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7849 Mall Parkway</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Lithonia</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GA</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30038</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2750 South Cobb Parkway</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Smyrna</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GA</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30080</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980 Mansell Road</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Roswell</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GA</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1"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30076</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1310 Buford Highway</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Cumming</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GA</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30041</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7969 Mall Parkway</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Lithonia</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GA</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30038</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11130 Alpharetta Highway</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Roswell</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GA</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30076</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10995 Westside Parkway</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Alpharetta</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GA</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1"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30009</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1550 Mansell Road</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Alpharetta</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GA</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30009</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4115 Jonesboro Road</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City</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GA</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30291</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2501 35th Avenue</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Greeley</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1"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80634</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9899 East Arapahoe Road</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Centennial</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80112</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9899 East Arapahoe Road</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Centennial</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80112</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1650 West 104th Avenue</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Denver</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1"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80234</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4720 West 24th Street</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Greeley</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80634</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1920 North Lebanon Street</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Lebanon</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IN</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46052</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745 East 56th Street</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Brownsburg</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1"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46112</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2001 Stony Creek Road</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Noblesville</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IN</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46060</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3477 East Conner Street</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Noblesville</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IN</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46060</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450 East Northfield Drive</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Brownsburg</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1"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46112</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8693 East US Highway 36</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Avon</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IN</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46123</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3232 Harper Road</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Indianapolis</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IN</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46240</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4105 West 96th Street</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Indianapolis</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IN</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46268</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9900 Pleasant Street</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Noblesville</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1"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46060</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2655 North Volusia Avenue</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Orange City</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FL</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32763</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2308 South Woodland Boulevard</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Deland</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FL</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32720</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2677 North Volusia Avenue</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Orange City</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1"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32763</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4400 South US Highway 1</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Fort Pierce</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FL</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34982</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9650 Atlantic Boulevard</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Jacksonville</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FL</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32225</w:t>
            </w:r>
          </w:p>
        </w:tc>
      </w:tr>
      <w:tr>
        <w:trPr/>
        <w:tc>
          <w:tcPr>
            <w:tcW w:w="3315"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31975 US Highway 19 North</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Palm Harbor</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1"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34684</w:t>
            </w:r>
          </w:p>
        </w:tc>
      </w:tr>
      <w:tr>
        <w:trPr/>
        <w:tc>
          <w:tcPr>
            <w:tcW w:w="3315" w:type="dxa"/>
            <w:gridSpan w:val="3"/>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10859 Philips Highway</w:t>
            </w:r>
          </w:p>
        </w:tc>
        <w:tc>
          <w:tcPr>
            <w:tcW w:w="1319" w:type="dxa"/>
            <w:gridSpan w:val="3"/>
            <w:tcBorders>
              <w:top w:val="single" w:sz="4" w:space="0" w:color="999999"/>
              <w:left w:val="single" w:sz="4" w:space="0" w:color="999999"/>
              <w:bottom w:val="single" w:sz="4" w:space="0" w:color="999999"/>
            </w:tcBorders>
            <w:tcMar>
              <w:top w:w="30" w:type="dxa"/>
              <w:bottom w:w="3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Jacksonville</w:t>
            </w:r>
          </w:p>
        </w:tc>
        <w:tc>
          <w:tcPr>
            <w:tcW w:w="586" w:type="dxa"/>
            <w:gridSpan w:val="3"/>
            <w:tcBorders>
              <w:top w:val="single" w:sz="4" w:space="0" w:color="999999"/>
              <w:left w:val="single" w:sz="4" w:space="0" w:color="999999"/>
              <w:bottom w:val="single" w:sz="4" w:space="0" w:color="999999"/>
            </w:tcBorders>
            <w:tcMar>
              <w:top w:w="30" w:type="dxa"/>
              <w:bottom w:w="3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FL</w:t>
            </w:r>
          </w:p>
        </w:tc>
        <w:tc>
          <w:tcPr>
            <w:tcW w:w="751" w:type="dxa"/>
            <w:gridSpan w:val="3"/>
            <w:tcBorders>
              <w:top w:val="single" w:sz="4" w:space="0" w:color="999999"/>
              <w:left w:val="single" w:sz="4" w:space="0" w:color="999999"/>
              <w:bottom w:val="single" w:sz="4" w:space="0" w:color="999999"/>
              <w:right w:val="single" w:sz="4" w:space="0" w:color="999999"/>
            </w:tcBorders>
            <w:tcMar>
              <w:top w:w="30" w:type="dxa"/>
              <w:bottom w:w="3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32256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600" w:type="dxa"/>
        <w:jc w:val="left"/>
        <w:tblInd w:w="0" w:type="dxa"/>
        <w:tblLayout w:type="fixed"/>
        <w:tblCellMar>
          <w:top w:w="28" w:type="dxa"/>
          <w:left w:w="28" w:type="dxa"/>
          <w:bottom w:w="28" w:type="dxa"/>
          <w:right w:w="28" w:type="dxa"/>
        </w:tblCellMar>
      </w:tblPr>
      <w:tblGrid>
        <w:gridCol w:w="1264"/>
        <w:gridCol w:w="1113"/>
        <w:gridCol w:w="1117"/>
        <w:gridCol w:w="585"/>
        <w:gridCol w:w="585"/>
        <w:gridCol w:w="599"/>
        <w:gridCol w:w="195"/>
        <w:gridCol w:w="195"/>
        <w:gridCol w:w="196"/>
        <w:gridCol w:w="218"/>
        <w:gridCol w:w="218"/>
        <w:gridCol w:w="315"/>
      </w:tblGrid>
      <w:tr>
        <w:trPr/>
        <w:tc>
          <w:tcPr>
            <w:tcW w:w="1264"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4" w:space="0" w:color="000000"/>
            </w:tcBorders>
            <w:shd w:fill="999999" w:val="clear"/>
            <w:tcMar>
              <w:top w:w="30" w:type="dxa"/>
              <w:left w:w="0" w:type="dxa"/>
              <w:bottom w:w="0" w:type="dxa"/>
              <w:right w:w="0" w:type="dxa"/>
            </w:tcMar>
            <w:vAlign w:val="center"/>
          </w:tcPr>
          <w:p>
            <w:pPr>
              <w:pStyle w:val="TableContents"/>
              <w:bidi w:val="0"/>
              <w:spacing w:lineRule="atLeast" w:line="255" w:before="69" w:after="283"/>
              <w:jc w:val="left"/>
              <w:rPr>
                <w:rFonts w:ascii="Times New Roman;sans-serif" w:hAnsi="Times New Roman;sans-serif"/>
                <w:b/>
                <w:i/>
                <w:color w:val="000000"/>
                <w:sz w:val="24"/>
              </w:rPr>
            </w:pPr>
            <w:r>
              <w:rPr>
                <w:rFonts w:ascii="Times New Roman;sans-serif" w:hAnsi="Times New Roman;sans-serif"/>
                <w:b/>
                <w:i/>
                <w:color w:val="000000"/>
                <w:sz w:val="24"/>
              </w:rPr>
              <w:t>Address</w:t>
            </w:r>
          </w:p>
        </w:tc>
        <w:tc>
          <w:tcPr>
            <w:tcW w:w="1769" w:type="dxa"/>
            <w:gridSpan w:val="3"/>
            <w:tcBorders>
              <w:top w:val="single" w:sz="4" w:space="0" w:color="000000"/>
              <w:left w:val="single" w:sz="4" w:space="0" w:color="000000"/>
            </w:tcBorders>
            <w:shd w:fill="999999" w:val="clear"/>
            <w:tcMar>
              <w:top w:w="30" w:type="dxa"/>
              <w:bottom w:w="0" w:type="dxa"/>
              <w:right w:w="0" w:type="dxa"/>
            </w:tcMar>
            <w:vAlign w:val="center"/>
          </w:tcPr>
          <w:p>
            <w:pPr>
              <w:pStyle w:val="TableContents"/>
              <w:bidi w:val="0"/>
              <w:spacing w:lineRule="atLeast" w:line="255" w:before="69" w:after="283"/>
              <w:jc w:val="left"/>
              <w:rPr>
                <w:rFonts w:ascii="Times New Roman;sans-serif" w:hAnsi="Times New Roman;sans-serif"/>
                <w:b/>
                <w:i/>
                <w:color w:val="000000"/>
                <w:sz w:val="24"/>
              </w:rPr>
            </w:pPr>
            <w:r>
              <w:rPr>
                <w:rFonts w:ascii="Times New Roman;sans-serif" w:hAnsi="Times New Roman;sans-serif"/>
                <w:b/>
                <w:i/>
                <w:color w:val="000000"/>
                <w:sz w:val="24"/>
              </w:rPr>
              <w:t>City</w:t>
            </w:r>
          </w:p>
        </w:tc>
        <w:tc>
          <w:tcPr>
            <w:tcW w:w="586" w:type="dxa"/>
            <w:gridSpan w:val="3"/>
            <w:tcBorders>
              <w:top w:val="single" w:sz="4" w:space="0" w:color="000000"/>
              <w:left w:val="single" w:sz="4" w:space="0" w:color="000000"/>
            </w:tcBorders>
            <w:shd w:fill="999999" w:val="clear"/>
            <w:tcMar>
              <w:top w:w="30" w:type="dxa"/>
              <w:bottom w:w="0" w:type="dxa"/>
              <w:right w:w="0" w:type="dxa"/>
            </w:tcMar>
            <w:vAlign w:val="center"/>
          </w:tcPr>
          <w:p>
            <w:pPr>
              <w:pStyle w:val="TableContents"/>
              <w:bidi w:val="0"/>
              <w:spacing w:lineRule="atLeast" w:line="255" w:before="69" w:after="283"/>
              <w:jc w:val="left"/>
              <w:rPr>
                <w:rFonts w:ascii="Times New Roman;sans-serif" w:hAnsi="Times New Roman;sans-serif"/>
                <w:b/>
                <w:i/>
                <w:color w:val="000000"/>
                <w:sz w:val="24"/>
              </w:rPr>
            </w:pPr>
            <w:r>
              <w:rPr>
                <w:rFonts w:ascii="Times New Roman;sans-serif" w:hAnsi="Times New Roman;sans-serif"/>
                <w:b/>
                <w:i/>
                <w:color w:val="000000"/>
                <w:sz w:val="24"/>
              </w:rPr>
              <w:t>State</w:t>
            </w:r>
          </w:p>
        </w:tc>
        <w:tc>
          <w:tcPr>
            <w:tcW w:w="751" w:type="dxa"/>
            <w:gridSpan w:val="3"/>
            <w:tcBorders>
              <w:top w:val="single" w:sz="4" w:space="0" w:color="000000"/>
              <w:left w:val="single" w:sz="4" w:space="0" w:color="000000"/>
              <w:right w:val="single" w:sz="4" w:space="0" w:color="000000"/>
            </w:tcBorders>
            <w:shd w:fill="999999" w:val="clear"/>
            <w:tcMar>
              <w:top w:w="30" w:type="dxa"/>
              <w:bottom w:w="0" w:type="dxa"/>
            </w:tcMar>
            <w:vAlign w:val="center"/>
          </w:tcPr>
          <w:p>
            <w:pPr>
              <w:pStyle w:val="TableContents"/>
              <w:bidi w:val="0"/>
              <w:spacing w:lineRule="atLeast" w:line="255" w:before="69" w:after="283"/>
              <w:jc w:val="left"/>
              <w:rPr>
                <w:rFonts w:ascii="Times New Roman;sans-serif" w:hAnsi="Times New Roman;sans-serif"/>
                <w:b/>
                <w:i/>
                <w:color w:val="000000"/>
                <w:sz w:val="24"/>
              </w:rPr>
            </w:pPr>
            <w:r>
              <w:rPr>
                <w:rFonts w:ascii="Times New Roman;sans-serif" w:hAnsi="Times New Roman;sans-serif"/>
                <w:b/>
                <w:i/>
                <w:color w:val="000000"/>
                <w:sz w:val="24"/>
              </w:rPr>
              <w:t>Zip</w:t>
            </w:r>
          </w:p>
        </w:tc>
      </w:tr>
      <w:tr>
        <w:trPr/>
        <w:tc>
          <w:tcPr>
            <w:tcW w:w="349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4429 US 1 South</w:t>
            </w:r>
          </w:p>
        </w:tc>
        <w:tc>
          <w:tcPr>
            <w:tcW w:w="1769" w:type="dxa"/>
            <w:gridSpan w:val="3"/>
            <w:tcBorders>
              <w:top w:val="single" w:sz="4" w:space="0" w:color="000000"/>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Fort Pierce</w:t>
            </w:r>
          </w:p>
        </w:tc>
        <w:tc>
          <w:tcPr>
            <w:tcW w:w="586" w:type="dxa"/>
            <w:gridSpan w:val="3"/>
            <w:tcBorders>
              <w:top w:val="single" w:sz="4" w:space="0" w:color="000000"/>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FL</w:t>
            </w:r>
          </w:p>
        </w:tc>
        <w:tc>
          <w:tcPr>
            <w:tcW w:w="751" w:type="dxa"/>
            <w:gridSpan w:val="3"/>
            <w:tcBorders>
              <w:top w:val="single" w:sz="4" w:space="0" w:color="000000"/>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33954</w:t>
            </w:r>
          </w:p>
        </w:tc>
      </w:tr>
      <w:tr>
        <w:trPr/>
        <w:tc>
          <w:tcPr>
            <w:tcW w:w="349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4500 US 1 South</w:t>
            </w:r>
          </w:p>
        </w:tc>
        <w:tc>
          <w:tcPr>
            <w:tcW w:w="17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Fort Pierce</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FL</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34982</w:t>
            </w:r>
          </w:p>
        </w:tc>
      </w:tr>
      <w:tr>
        <w:trPr/>
        <w:tc>
          <w:tcPr>
            <w:tcW w:w="349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11003 Atlantic Boulevard</w:t>
            </w:r>
          </w:p>
        </w:tc>
        <w:tc>
          <w:tcPr>
            <w:tcW w:w="17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Jacksonville</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1"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32225</w:t>
            </w:r>
          </w:p>
        </w:tc>
      </w:tr>
      <w:tr>
        <w:trPr/>
        <w:tc>
          <w:tcPr>
            <w:tcW w:w="349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11051 South Orange Blossom Trail</w:t>
            </w:r>
          </w:p>
        </w:tc>
        <w:tc>
          <w:tcPr>
            <w:tcW w:w="17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Orlando</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FL</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32837</w:t>
            </w:r>
          </w:p>
        </w:tc>
      </w:tr>
      <w:tr>
        <w:trPr/>
        <w:tc>
          <w:tcPr>
            <w:tcW w:w="349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10600 Atlantic Boulevard</w:t>
            </w:r>
          </w:p>
        </w:tc>
        <w:tc>
          <w:tcPr>
            <w:tcW w:w="17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Jacksonville</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FL</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32225</w:t>
            </w:r>
          </w:p>
        </w:tc>
      </w:tr>
      <w:tr>
        <w:trPr/>
        <w:tc>
          <w:tcPr>
            <w:tcW w:w="349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11340 Philips Highway</w:t>
            </w:r>
          </w:p>
        </w:tc>
        <w:tc>
          <w:tcPr>
            <w:tcW w:w="17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Jacksonville</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1"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32256</w:t>
            </w:r>
          </w:p>
        </w:tc>
      </w:tr>
      <w:tr>
        <w:trPr/>
        <w:tc>
          <w:tcPr>
            <w:tcW w:w="349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10880 Philips Highway</w:t>
            </w:r>
          </w:p>
        </w:tc>
        <w:tc>
          <w:tcPr>
            <w:tcW w:w="17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Jacksonville</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FL</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32256</w:t>
            </w:r>
          </w:p>
        </w:tc>
      </w:tr>
      <w:tr>
        <w:trPr/>
        <w:tc>
          <w:tcPr>
            <w:tcW w:w="349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2925 US 1 South</w:t>
            </w:r>
          </w:p>
        </w:tc>
        <w:tc>
          <w:tcPr>
            <w:tcW w:w="17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St. Augustine</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FL</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32086</w:t>
            </w:r>
          </w:p>
        </w:tc>
      </w:tr>
      <w:tr>
        <w:trPr/>
        <w:tc>
          <w:tcPr>
            <w:tcW w:w="349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4450 US 1 South</w:t>
            </w:r>
          </w:p>
        </w:tc>
        <w:tc>
          <w:tcPr>
            <w:tcW w:w="17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Fort Pierce</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1"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34982</w:t>
            </w:r>
          </w:p>
        </w:tc>
      </w:tr>
      <w:tr>
        <w:trPr/>
        <w:tc>
          <w:tcPr>
            <w:tcW w:w="349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7245 Blanding Boulevard</w:t>
            </w:r>
          </w:p>
        </w:tc>
        <w:tc>
          <w:tcPr>
            <w:tcW w:w="17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Jacksonville</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FL</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32244</w:t>
            </w:r>
          </w:p>
        </w:tc>
      </w:tr>
      <w:tr>
        <w:trPr/>
        <w:tc>
          <w:tcPr>
            <w:tcW w:w="349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755 North 500 West</w:t>
            </w:r>
          </w:p>
        </w:tc>
        <w:tc>
          <w:tcPr>
            <w:tcW w:w="17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West Bountiful</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UT</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84010</w:t>
            </w:r>
          </w:p>
        </w:tc>
      </w:tr>
      <w:tr>
        <w:trPr/>
        <w:tc>
          <w:tcPr>
            <w:tcW w:w="349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1128 West 3rd Avenue</w:t>
            </w:r>
          </w:p>
        </w:tc>
        <w:tc>
          <w:tcPr>
            <w:tcW w:w="17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Spokane</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WA</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1"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99201</w:t>
            </w:r>
          </w:p>
        </w:tc>
      </w:tr>
      <w:tr>
        <w:trPr/>
        <w:tc>
          <w:tcPr>
            <w:tcW w:w="349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8528 Lomas Boulevard NE</w:t>
            </w:r>
          </w:p>
        </w:tc>
        <w:tc>
          <w:tcPr>
            <w:tcW w:w="17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Albuquerque</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NM</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87110</w:t>
            </w:r>
          </w:p>
        </w:tc>
      </w:tr>
      <w:tr>
        <w:trPr/>
        <w:tc>
          <w:tcPr>
            <w:tcW w:w="349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10055 West Papago Freeway</w:t>
            </w:r>
          </w:p>
        </w:tc>
        <w:tc>
          <w:tcPr>
            <w:tcW w:w="17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Avondale</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AZ</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85323</w:t>
            </w:r>
          </w:p>
        </w:tc>
      </w:tr>
      <w:tr>
        <w:trPr/>
        <w:tc>
          <w:tcPr>
            <w:tcW w:w="349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10101 West Papago Freeway</w:t>
            </w:r>
          </w:p>
        </w:tc>
        <w:tc>
          <w:tcPr>
            <w:tcW w:w="17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Avondale</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AZ</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1"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85323</w:t>
            </w:r>
          </w:p>
        </w:tc>
      </w:tr>
      <w:tr>
        <w:trPr/>
        <w:tc>
          <w:tcPr>
            <w:tcW w:w="349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9820 Coors Boulevard NW</w:t>
            </w:r>
          </w:p>
        </w:tc>
        <w:tc>
          <w:tcPr>
            <w:tcW w:w="1769"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Albuquerque</w:t>
            </w:r>
          </w:p>
        </w:tc>
        <w:tc>
          <w:tcPr>
            <w:tcW w:w="586" w:type="dxa"/>
            <w:gridSpan w:val="3"/>
            <w:tcBorders>
              <w:top w:val="single" w:sz="4" w:space="0" w:color="999999"/>
              <w:left w:val="single" w:sz="4" w:space="0" w:color="999999"/>
            </w:tcBorders>
            <w:tcMar>
              <w:top w:w="30" w:type="dxa"/>
              <w:left w:w="76"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NM</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87114</w:t>
            </w:r>
          </w:p>
        </w:tc>
      </w:tr>
      <w:tr>
        <w:trPr/>
        <w:tc>
          <w:tcPr>
            <w:tcW w:w="349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5995 Alameda Boulevard NE</w:t>
            </w:r>
          </w:p>
        </w:tc>
        <w:tc>
          <w:tcPr>
            <w:tcW w:w="17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Albuquerque</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NM</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87113</w:t>
            </w:r>
          </w:p>
        </w:tc>
      </w:tr>
      <w:tr>
        <w:trPr/>
        <w:tc>
          <w:tcPr>
            <w:tcW w:w="349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10030 East Arapahoe Road</w:t>
            </w:r>
          </w:p>
        </w:tc>
        <w:tc>
          <w:tcPr>
            <w:tcW w:w="17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Centennial</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80112</w:t>
            </w:r>
          </w:p>
        </w:tc>
      </w:tr>
      <w:tr>
        <w:trPr/>
        <w:tc>
          <w:tcPr>
            <w:tcW w:w="349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10401 Copper Avenue NE</w:t>
            </w:r>
          </w:p>
        </w:tc>
        <w:tc>
          <w:tcPr>
            <w:tcW w:w="17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Albuquerque</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NM</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87123</w:t>
            </w:r>
          </w:p>
        </w:tc>
      </w:tr>
      <w:tr>
        <w:trPr/>
        <w:tc>
          <w:tcPr>
            <w:tcW w:w="349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10205 West Papago Freeway</w:t>
            </w:r>
          </w:p>
        </w:tc>
        <w:tc>
          <w:tcPr>
            <w:tcW w:w="17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Avondale</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AZ</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1"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85323</w:t>
            </w:r>
          </w:p>
        </w:tc>
      </w:tr>
      <w:tr>
        <w:trPr/>
        <w:tc>
          <w:tcPr>
            <w:tcW w:w="349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222 South Auto Drive</w:t>
            </w:r>
          </w:p>
        </w:tc>
        <w:tc>
          <w:tcPr>
            <w:tcW w:w="17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Boise</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ID</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83709</w:t>
            </w:r>
          </w:p>
        </w:tc>
      </w:tr>
      <w:tr>
        <w:trPr/>
        <w:tc>
          <w:tcPr>
            <w:tcW w:w="349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11196 West Fairview Avenue</w:t>
            </w:r>
          </w:p>
        </w:tc>
        <w:tc>
          <w:tcPr>
            <w:tcW w:w="17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Boise</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ID</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83713</w:t>
            </w:r>
          </w:p>
        </w:tc>
      </w:tr>
      <w:tr>
        <w:trPr/>
        <w:tc>
          <w:tcPr>
            <w:tcW w:w="349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2465 48th Court</w:t>
            </w:r>
          </w:p>
        </w:tc>
        <w:tc>
          <w:tcPr>
            <w:tcW w:w="17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Boulder</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1"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80301</w:t>
            </w:r>
          </w:p>
        </w:tc>
      </w:tr>
      <w:tr>
        <w:trPr/>
        <w:tc>
          <w:tcPr>
            <w:tcW w:w="349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9380 West Fairview Avenue</w:t>
            </w:r>
          </w:p>
        </w:tc>
        <w:tc>
          <w:tcPr>
            <w:tcW w:w="17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Boise</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ID</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83704</w:t>
            </w:r>
          </w:p>
        </w:tc>
      </w:tr>
      <w:tr>
        <w:trPr/>
        <w:tc>
          <w:tcPr>
            <w:tcW w:w="349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5500 South State Street</w:t>
            </w:r>
          </w:p>
        </w:tc>
        <w:tc>
          <w:tcPr>
            <w:tcW w:w="17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Murray</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UT</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84107</w:t>
            </w:r>
          </w:p>
        </w:tc>
      </w:tr>
      <w:tr>
        <w:trPr/>
        <w:tc>
          <w:tcPr>
            <w:tcW w:w="349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1700 West 6th Street</w:t>
            </w:r>
          </w:p>
        </w:tc>
        <w:tc>
          <w:tcPr>
            <w:tcW w:w="17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Corona</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CA</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1"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92882</w:t>
            </w:r>
          </w:p>
        </w:tc>
      </w:tr>
      <w:tr>
        <w:trPr/>
        <w:tc>
          <w:tcPr>
            <w:tcW w:w="349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350 South Havana Street</w:t>
            </w:r>
          </w:p>
        </w:tc>
        <w:tc>
          <w:tcPr>
            <w:tcW w:w="17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Aurora</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80012</w:t>
            </w:r>
          </w:p>
        </w:tc>
      </w:tr>
      <w:tr>
        <w:trPr/>
        <w:tc>
          <w:tcPr>
            <w:tcW w:w="349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2727 South Havana Street</w:t>
            </w:r>
          </w:p>
        </w:tc>
        <w:tc>
          <w:tcPr>
            <w:tcW w:w="17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Aurora</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80014</w:t>
            </w:r>
          </w:p>
        </w:tc>
      </w:tr>
      <w:tr>
        <w:trPr/>
        <w:tc>
          <w:tcPr>
            <w:tcW w:w="349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2400 West 104th Avenue</w:t>
            </w:r>
          </w:p>
        </w:tc>
        <w:tc>
          <w:tcPr>
            <w:tcW w:w="17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Denver</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1"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80234</w:t>
            </w:r>
          </w:p>
        </w:tc>
      </w:tr>
      <w:tr>
        <w:trPr/>
        <w:tc>
          <w:tcPr>
            <w:tcW w:w="349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7710 West Gratz Drive</w:t>
            </w:r>
          </w:p>
        </w:tc>
        <w:tc>
          <w:tcPr>
            <w:tcW w:w="17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Boise</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ID</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83709</w:t>
            </w:r>
          </w:p>
        </w:tc>
      </w:tr>
      <w:tr>
        <w:trPr/>
        <w:tc>
          <w:tcPr>
            <w:tcW w:w="349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5808 South State Street</w:t>
            </w:r>
          </w:p>
        </w:tc>
        <w:tc>
          <w:tcPr>
            <w:tcW w:w="17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Murray</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UT</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84107</w:t>
            </w:r>
          </w:p>
        </w:tc>
      </w:tr>
      <w:tr>
        <w:trPr/>
        <w:tc>
          <w:tcPr>
            <w:tcW w:w="349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8425 W Bell Road</w:t>
            </w:r>
          </w:p>
        </w:tc>
        <w:tc>
          <w:tcPr>
            <w:tcW w:w="17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Peoria</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AZ</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1"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85382</w:t>
            </w:r>
          </w:p>
        </w:tc>
      </w:tr>
      <w:tr>
        <w:trPr/>
        <w:tc>
          <w:tcPr>
            <w:tcW w:w="349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10905 South Auto Mall Drive</w:t>
            </w:r>
          </w:p>
        </w:tc>
        <w:tc>
          <w:tcPr>
            <w:tcW w:w="17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Sandy</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UT</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84070</w:t>
            </w:r>
          </w:p>
        </w:tc>
      </w:tr>
      <w:tr>
        <w:trPr/>
        <w:tc>
          <w:tcPr>
            <w:tcW w:w="349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5686 South State Street</w:t>
            </w:r>
          </w:p>
        </w:tc>
        <w:tc>
          <w:tcPr>
            <w:tcW w:w="17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Murray</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UT</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84107</w:t>
            </w:r>
          </w:p>
        </w:tc>
      </w:tr>
      <w:tr>
        <w:trPr/>
        <w:tc>
          <w:tcPr>
            <w:tcW w:w="349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544 South Lindon Park Drive</w:t>
            </w:r>
          </w:p>
        </w:tc>
        <w:tc>
          <w:tcPr>
            <w:tcW w:w="17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Lindon</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UT</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1"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84042</w:t>
            </w:r>
          </w:p>
        </w:tc>
      </w:tr>
      <w:tr>
        <w:trPr/>
        <w:tc>
          <w:tcPr>
            <w:tcW w:w="349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11595 West 6th Avenue</w:t>
            </w:r>
          </w:p>
        </w:tc>
        <w:tc>
          <w:tcPr>
            <w:tcW w:w="17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Lakewood</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80215</w:t>
            </w:r>
          </w:p>
        </w:tc>
      </w:tr>
      <w:tr>
        <w:trPr/>
        <w:tc>
          <w:tcPr>
            <w:tcW w:w="349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5115 New Car Drive</w:t>
            </w:r>
          </w:p>
        </w:tc>
        <w:tc>
          <w:tcPr>
            <w:tcW w:w="17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Colorado Springs</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80923</w:t>
            </w:r>
          </w:p>
        </w:tc>
      </w:tr>
      <w:tr>
        <w:trPr/>
        <w:tc>
          <w:tcPr>
            <w:tcW w:w="349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8665 West Bell Road</w:t>
            </w:r>
          </w:p>
        </w:tc>
        <w:tc>
          <w:tcPr>
            <w:tcW w:w="17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Peoria</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AZ</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85382</w:t>
            </w:r>
          </w:p>
        </w:tc>
      </w:tr>
      <w:tr>
        <w:trPr/>
        <w:tc>
          <w:tcPr>
            <w:tcW w:w="349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11548 South Lone Peak Parkway</w:t>
            </w:r>
          </w:p>
        </w:tc>
        <w:tc>
          <w:tcPr>
            <w:tcW w:w="17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Draper</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UT</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1"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84020</w:t>
            </w:r>
          </w:p>
        </w:tc>
      </w:tr>
      <w:tr>
        <w:trPr/>
        <w:tc>
          <w:tcPr>
            <w:tcW w:w="349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460 East Auto Center Drive</w:t>
            </w:r>
          </w:p>
        </w:tc>
        <w:tc>
          <w:tcPr>
            <w:tcW w:w="17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Mesa</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AZ</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85204</w:t>
            </w:r>
          </w:p>
        </w:tc>
      </w:tr>
      <w:tr>
        <w:trPr/>
        <w:tc>
          <w:tcPr>
            <w:tcW w:w="349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2025 Riverview Auto Drive</w:t>
            </w:r>
          </w:p>
        </w:tc>
        <w:tc>
          <w:tcPr>
            <w:tcW w:w="17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Mesa</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AZ</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85201</w:t>
            </w:r>
          </w:p>
        </w:tc>
      </w:tr>
      <w:tr>
        <w:trPr/>
        <w:tc>
          <w:tcPr>
            <w:tcW w:w="349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5650 South State Street</w:t>
            </w:r>
          </w:p>
        </w:tc>
        <w:tc>
          <w:tcPr>
            <w:tcW w:w="17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Murray</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UT</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1"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84107</w:t>
            </w:r>
          </w:p>
        </w:tc>
      </w:tr>
      <w:tr>
        <w:trPr/>
        <w:tc>
          <w:tcPr>
            <w:tcW w:w="3494" w:type="dxa"/>
            <w:gridSpan w:val="3"/>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1320 Plum Valley Lane</w:t>
            </w:r>
          </w:p>
        </w:tc>
        <w:tc>
          <w:tcPr>
            <w:tcW w:w="1769" w:type="dxa"/>
            <w:gridSpan w:val="3"/>
            <w:tcBorders>
              <w:top w:val="single" w:sz="4" w:space="0" w:color="999999"/>
              <w:left w:val="single" w:sz="4" w:space="0" w:color="999999"/>
              <w:bottom w:val="single" w:sz="4" w:space="0" w:color="999999"/>
            </w:tcBorders>
            <w:tcMar>
              <w:top w:w="30" w:type="dxa"/>
              <w:bottom w:w="3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Highlands Ranch</w:t>
            </w:r>
          </w:p>
        </w:tc>
        <w:tc>
          <w:tcPr>
            <w:tcW w:w="586" w:type="dxa"/>
            <w:gridSpan w:val="3"/>
            <w:tcBorders>
              <w:top w:val="single" w:sz="4" w:space="0" w:color="999999"/>
              <w:left w:val="single" w:sz="4" w:space="0" w:color="999999"/>
              <w:bottom w:val="single" w:sz="4" w:space="0" w:color="999999"/>
            </w:tcBorders>
            <w:tcMar>
              <w:top w:w="30" w:type="dxa"/>
              <w:bottom w:w="3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w:t>
            </w:r>
          </w:p>
        </w:tc>
        <w:tc>
          <w:tcPr>
            <w:tcW w:w="751" w:type="dxa"/>
            <w:gridSpan w:val="3"/>
            <w:tcBorders>
              <w:top w:val="single" w:sz="4" w:space="0" w:color="999999"/>
              <w:left w:val="single" w:sz="4" w:space="0" w:color="999999"/>
              <w:bottom w:val="single" w:sz="4" w:space="0" w:color="999999"/>
              <w:right w:val="single" w:sz="4" w:space="0" w:color="999999"/>
            </w:tcBorders>
            <w:tcMar>
              <w:top w:w="30" w:type="dxa"/>
              <w:bottom w:w="3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80129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466" w:type="dxa"/>
        <w:jc w:val="left"/>
        <w:tblInd w:w="0" w:type="dxa"/>
        <w:tblLayout w:type="fixed"/>
        <w:tblCellMar>
          <w:top w:w="28" w:type="dxa"/>
          <w:left w:w="28" w:type="dxa"/>
          <w:bottom w:w="28" w:type="dxa"/>
          <w:right w:w="28" w:type="dxa"/>
        </w:tblCellMar>
      </w:tblPr>
      <w:tblGrid>
        <w:gridCol w:w="1321"/>
        <w:gridCol w:w="1162"/>
        <w:gridCol w:w="1177"/>
        <w:gridCol w:w="484"/>
        <w:gridCol w:w="484"/>
        <w:gridCol w:w="501"/>
        <w:gridCol w:w="195"/>
        <w:gridCol w:w="195"/>
        <w:gridCol w:w="196"/>
        <w:gridCol w:w="218"/>
        <w:gridCol w:w="218"/>
        <w:gridCol w:w="315"/>
      </w:tblGrid>
      <w:tr>
        <w:trPr/>
        <w:tc>
          <w:tcPr>
            <w:tcW w:w="1321"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4" w:space="0" w:color="000000"/>
            </w:tcBorders>
            <w:shd w:fill="999999" w:val="clear"/>
            <w:tcMar>
              <w:top w:w="30" w:type="dxa"/>
              <w:left w:w="0" w:type="dxa"/>
              <w:bottom w:w="0" w:type="dxa"/>
              <w:right w:w="0" w:type="dxa"/>
            </w:tcMar>
            <w:vAlign w:val="center"/>
          </w:tcPr>
          <w:p>
            <w:pPr>
              <w:pStyle w:val="TableContents"/>
              <w:bidi w:val="0"/>
              <w:spacing w:lineRule="atLeast" w:line="255" w:before="69" w:after="283"/>
              <w:jc w:val="left"/>
              <w:rPr>
                <w:rFonts w:ascii="Times New Roman;sans-serif" w:hAnsi="Times New Roman;sans-serif"/>
                <w:b/>
                <w:i/>
                <w:color w:val="000000"/>
                <w:sz w:val="24"/>
              </w:rPr>
            </w:pPr>
            <w:r>
              <w:rPr>
                <w:rFonts w:ascii="Times New Roman;sans-serif" w:hAnsi="Times New Roman;sans-serif"/>
                <w:b/>
                <w:i/>
                <w:color w:val="000000"/>
                <w:sz w:val="24"/>
              </w:rPr>
              <w:t>Address</w:t>
            </w:r>
          </w:p>
        </w:tc>
        <w:tc>
          <w:tcPr>
            <w:tcW w:w="1469" w:type="dxa"/>
            <w:gridSpan w:val="3"/>
            <w:tcBorders>
              <w:top w:val="single" w:sz="4" w:space="0" w:color="000000"/>
              <w:left w:val="single" w:sz="4" w:space="0" w:color="000000"/>
            </w:tcBorders>
            <w:shd w:fill="999999" w:val="clear"/>
            <w:tcMar>
              <w:top w:w="30" w:type="dxa"/>
              <w:bottom w:w="0" w:type="dxa"/>
              <w:right w:w="0" w:type="dxa"/>
            </w:tcMar>
            <w:vAlign w:val="center"/>
          </w:tcPr>
          <w:p>
            <w:pPr>
              <w:pStyle w:val="TableContents"/>
              <w:bidi w:val="0"/>
              <w:spacing w:lineRule="atLeast" w:line="255" w:before="69" w:after="283"/>
              <w:jc w:val="left"/>
              <w:rPr>
                <w:rFonts w:ascii="Times New Roman;sans-serif" w:hAnsi="Times New Roman;sans-serif"/>
                <w:b/>
                <w:i/>
                <w:color w:val="000000"/>
                <w:sz w:val="24"/>
              </w:rPr>
            </w:pPr>
            <w:r>
              <w:rPr>
                <w:rFonts w:ascii="Times New Roman;sans-serif" w:hAnsi="Times New Roman;sans-serif"/>
                <w:b/>
                <w:i/>
                <w:color w:val="000000"/>
                <w:sz w:val="24"/>
              </w:rPr>
              <w:t>City</w:t>
            </w:r>
          </w:p>
        </w:tc>
        <w:tc>
          <w:tcPr>
            <w:tcW w:w="586" w:type="dxa"/>
            <w:gridSpan w:val="3"/>
            <w:tcBorders>
              <w:top w:val="single" w:sz="4" w:space="0" w:color="000000"/>
              <w:left w:val="single" w:sz="4" w:space="0" w:color="000000"/>
            </w:tcBorders>
            <w:shd w:fill="999999" w:val="clear"/>
            <w:tcMar>
              <w:top w:w="30" w:type="dxa"/>
              <w:bottom w:w="0" w:type="dxa"/>
              <w:right w:w="0" w:type="dxa"/>
            </w:tcMar>
            <w:vAlign w:val="center"/>
          </w:tcPr>
          <w:p>
            <w:pPr>
              <w:pStyle w:val="TableContents"/>
              <w:bidi w:val="0"/>
              <w:spacing w:lineRule="atLeast" w:line="255" w:before="69" w:after="283"/>
              <w:jc w:val="left"/>
              <w:rPr>
                <w:rFonts w:ascii="Times New Roman;sans-serif" w:hAnsi="Times New Roman;sans-serif"/>
                <w:b/>
                <w:i/>
                <w:color w:val="000000"/>
                <w:sz w:val="24"/>
              </w:rPr>
            </w:pPr>
            <w:r>
              <w:rPr>
                <w:rFonts w:ascii="Times New Roman;sans-serif" w:hAnsi="Times New Roman;sans-serif"/>
                <w:b/>
                <w:i/>
                <w:color w:val="000000"/>
                <w:sz w:val="24"/>
              </w:rPr>
              <w:t>State</w:t>
            </w:r>
          </w:p>
        </w:tc>
        <w:tc>
          <w:tcPr>
            <w:tcW w:w="751" w:type="dxa"/>
            <w:gridSpan w:val="3"/>
            <w:tcBorders>
              <w:top w:val="single" w:sz="4" w:space="0" w:color="000000"/>
              <w:left w:val="single" w:sz="4" w:space="0" w:color="000000"/>
              <w:right w:val="single" w:sz="4" w:space="0" w:color="000000"/>
            </w:tcBorders>
            <w:shd w:fill="999999" w:val="clear"/>
            <w:tcMar>
              <w:top w:w="30" w:type="dxa"/>
              <w:bottom w:w="0" w:type="dxa"/>
            </w:tcMar>
            <w:vAlign w:val="center"/>
          </w:tcPr>
          <w:p>
            <w:pPr>
              <w:pStyle w:val="TableContents"/>
              <w:bidi w:val="0"/>
              <w:spacing w:lineRule="atLeast" w:line="255" w:before="69" w:after="283"/>
              <w:jc w:val="left"/>
              <w:rPr>
                <w:rFonts w:ascii="Times New Roman;sans-serif" w:hAnsi="Times New Roman;sans-serif"/>
                <w:b/>
                <w:i/>
                <w:color w:val="000000"/>
                <w:sz w:val="24"/>
              </w:rPr>
            </w:pPr>
            <w:r>
              <w:rPr>
                <w:rFonts w:ascii="Times New Roman;sans-serif" w:hAnsi="Times New Roman;sans-serif"/>
                <w:b/>
                <w:i/>
                <w:color w:val="000000"/>
                <w:sz w:val="24"/>
              </w:rPr>
              <w:t>Zip</w:t>
            </w:r>
          </w:p>
        </w:tc>
      </w:tr>
      <w:tr>
        <w:trPr/>
        <w:tc>
          <w:tcPr>
            <w:tcW w:w="3660"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1825 North University Parkway</w:t>
            </w:r>
          </w:p>
        </w:tc>
        <w:tc>
          <w:tcPr>
            <w:tcW w:w="1469" w:type="dxa"/>
            <w:gridSpan w:val="3"/>
            <w:tcBorders>
              <w:top w:val="single" w:sz="4" w:space="0" w:color="000000"/>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Provo</w:t>
            </w:r>
          </w:p>
        </w:tc>
        <w:tc>
          <w:tcPr>
            <w:tcW w:w="586" w:type="dxa"/>
            <w:gridSpan w:val="3"/>
            <w:tcBorders>
              <w:top w:val="single" w:sz="4" w:space="0" w:color="000000"/>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UT</w:t>
            </w:r>
          </w:p>
        </w:tc>
        <w:tc>
          <w:tcPr>
            <w:tcW w:w="751" w:type="dxa"/>
            <w:gridSpan w:val="3"/>
            <w:tcBorders>
              <w:top w:val="single" w:sz="4" w:space="0" w:color="000000"/>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84604</w:t>
            </w:r>
          </w:p>
        </w:tc>
      </w:tr>
      <w:tr>
        <w:trPr/>
        <w:tc>
          <w:tcPr>
            <w:tcW w:w="3660"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2125 North University Parkway</w:t>
            </w:r>
          </w:p>
        </w:tc>
        <w:tc>
          <w:tcPr>
            <w:tcW w:w="14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Provo</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UT</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84604</w:t>
            </w:r>
          </w:p>
        </w:tc>
      </w:tr>
      <w:tr>
        <w:trPr/>
        <w:tc>
          <w:tcPr>
            <w:tcW w:w="3660"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1995 North University Parkway</w:t>
            </w:r>
          </w:p>
        </w:tc>
        <w:tc>
          <w:tcPr>
            <w:tcW w:w="14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Provo</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UT</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1"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84604</w:t>
            </w:r>
          </w:p>
        </w:tc>
      </w:tr>
      <w:tr>
        <w:trPr/>
        <w:tc>
          <w:tcPr>
            <w:tcW w:w="3660"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8633 West Bell Road</w:t>
            </w:r>
          </w:p>
        </w:tc>
        <w:tc>
          <w:tcPr>
            <w:tcW w:w="14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Peoria</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AZ</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85382</w:t>
            </w:r>
          </w:p>
        </w:tc>
      </w:tr>
      <w:tr>
        <w:trPr/>
        <w:tc>
          <w:tcPr>
            <w:tcW w:w="3660"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7201 &amp; 7501 Lomas Boulevard NE</w:t>
            </w:r>
          </w:p>
        </w:tc>
        <w:tc>
          <w:tcPr>
            <w:tcW w:w="14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Albuquerque</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NM</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87110</w:t>
            </w:r>
          </w:p>
        </w:tc>
      </w:tr>
      <w:tr>
        <w:trPr/>
        <w:tc>
          <w:tcPr>
            <w:tcW w:w="3660"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9733 Coors Boulevard NW</w:t>
            </w:r>
          </w:p>
        </w:tc>
        <w:tc>
          <w:tcPr>
            <w:tcW w:w="14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Albuquerque</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NM</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1"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87114</w:t>
            </w:r>
          </w:p>
        </w:tc>
      </w:tr>
      <w:tr>
        <w:trPr/>
        <w:tc>
          <w:tcPr>
            <w:tcW w:w="3660"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1481 West Riverdale Road</w:t>
            </w:r>
          </w:p>
        </w:tc>
        <w:tc>
          <w:tcPr>
            <w:tcW w:w="14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Riverdale</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UT</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84405</w:t>
            </w:r>
          </w:p>
        </w:tc>
      </w:tr>
      <w:tr>
        <w:trPr/>
        <w:tc>
          <w:tcPr>
            <w:tcW w:w="3660"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13165 North Autoshow Avenue</w:t>
            </w:r>
          </w:p>
        </w:tc>
        <w:tc>
          <w:tcPr>
            <w:tcW w:w="14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Surprise</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AZ</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85388</w:t>
            </w:r>
          </w:p>
        </w:tc>
      </w:tr>
      <w:tr>
        <w:trPr/>
        <w:tc>
          <w:tcPr>
            <w:tcW w:w="3660"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11442 South Lone Peak Parkway</w:t>
            </w:r>
          </w:p>
        </w:tc>
        <w:tc>
          <w:tcPr>
            <w:tcW w:w="14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Draper</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UT</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1"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84020</w:t>
            </w:r>
          </w:p>
        </w:tc>
      </w:tr>
      <w:tr>
        <w:trPr/>
        <w:tc>
          <w:tcPr>
            <w:tcW w:w="3660"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1340 South 500 West</w:t>
            </w:r>
          </w:p>
        </w:tc>
        <w:tc>
          <w:tcPr>
            <w:tcW w:w="14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Salt Lake City</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UT</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84115</w:t>
            </w:r>
          </w:p>
        </w:tc>
      </w:tr>
      <w:tr>
        <w:trPr/>
        <w:tc>
          <w:tcPr>
            <w:tcW w:w="3660"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1208 West 3rd Avenue</w:t>
            </w:r>
          </w:p>
        </w:tc>
        <w:tc>
          <w:tcPr>
            <w:tcW w:w="14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Spokane</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WA</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99201</w:t>
            </w:r>
          </w:p>
        </w:tc>
      </w:tr>
      <w:tr>
        <w:trPr/>
        <w:tc>
          <w:tcPr>
            <w:tcW w:w="3660"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1030 West 3rd Avenue</w:t>
            </w:r>
          </w:p>
        </w:tc>
        <w:tc>
          <w:tcPr>
            <w:tcW w:w="14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Spokane</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WA</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1"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99201</w:t>
            </w:r>
          </w:p>
        </w:tc>
      </w:tr>
      <w:tr>
        <w:trPr/>
        <w:tc>
          <w:tcPr>
            <w:tcW w:w="3660"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8800 Lomas NE</w:t>
            </w:r>
          </w:p>
        </w:tc>
        <w:tc>
          <w:tcPr>
            <w:tcW w:w="14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Albuquerque</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NM</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87112</w:t>
            </w:r>
          </w:p>
        </w:tc>
      </w:tr>
      <w:tr>
        <w:trPr/>
        <w:tc>
          <w:tcPr>
            <w:tcW w:w="3660"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2500 West 104th Avenue</w:t>
            </w:r>
          </w:p>
        </w:tc>
        <w:tc>
          <w:tcPr>
            <w:tcW w:w="14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Thornton</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80234</w:t>
            </w:r>
          </w:p>
        </w:tc>
      </w:tr>
      <w:tr>
        <w:trPr/>
        <w:tc>
          <w:tcPr>
            <w:tcW w:w="3660"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7800 East 22nd Street</w:t>
            </w:r>
          </w:p>
        </w:tc>
        <w:tc>
          <w:tcPr>
            <w:tcW w:w="14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Tucson</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AZ</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1"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85710</w:t>
            </w:r>
          </w:p>
        </w:tc>
      </w:tr>
      <w:tr>
        <w:trPr/>
        <w:tc>
          <w:tcPr>
            <w:tcW w:w="3660"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4220 East 22nd Street</w:t>
            </w:r>
          </w:p>
        </w:tc>
        <w:tc>
          <w:tcPr>
            <w:tcW w:w="14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Tucson</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AZ</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85711</w:t>
            </w:r>
          </w:p>
        </w:tc>
      </w:tr>
      <w:tr>
        <w:trPr/>
        <w:tc>
          <w:tcPr>
            <w:tcW w:w="3660"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6800 Federal Boulevard</w:t>
            </w:r>
          </w:p>
        </w:tc>
        <w:tc>
          <w:tcPr>
            <w:tcW w:w="14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Lemon Grove</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CA</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91945</w:t>
            </w:r>
          </w:p>
        </w:tc>
      </w:tr>
      <w:tr>
        <w:trPr/>
        <w:tc>
          <w:tcPr>
            <w:tcW w:w="3660"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900 West AutoMall Drive</w:t>
            </w:r>
          </w:p>
        </w:tc>
        <w:tc>
          <w:tcPr>
            <w:tcW w:w="14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Tucson</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AZ</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85705</w:t>
            </w:r>
          </w:p>
        </w:tc>
      </w:tr>
      <w:tr>
        <w:trPr/>
        <w:tc>
          <w:tcPr>
            <w:tcW w:w="3660"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200 West 9000 South</w:t>
            </w:r>
          </w:p>
        </w:tc>
        <w:tc>
          <w:tcPr>
            <w:tcW w:w="14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Sandy</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UT</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1"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83704</w:t>
            </w:r>
          </w:p>
        </w:tc>
      </w:tr>
      <w:tr>
        <w:trPr/>
        <w:tc>
          <w:tcPr>
            <w:tcW w:w="3660"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690 South State Street</w:t>
            </w:r>
          </w:p>
        </w:tc>
        <w:tc>
          <w:tcPr>
            <w:tcW w:w="14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Orem</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UT</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84058</w:t>
            </w:r>
          </w:p>
        </w:tc>
      </w:tr>
      <w:tr>
        <w:trPr/>
        <w:tc>
          <w:tcPr>
            <w:tcW w:w="3660"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5701 South State Street</w:t>
            </w:r>
          </w:p>
        </w:tc>
        <w:tc>
          <w:tcPr>
            <w:tcW w:w="14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Murray</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UT</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84107</w:t>
            </w:r>
          </w:p>
        </w:tc>
      </w:tr>
      <w:tr>
        <w:trPr/>
        <w:tc>
          <w:tcPr>
            <w:tcW w:w="3660"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5212 Freeway Park Drive</w:t>
            </w:r>
          </w:p>
        </w:tc>
        <w:tc>
          <w:tcPr>
            <w:tcW w:w="14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Riverdale</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UT</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1"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84405</w:t>
            </w:r>
          </w:p>
        </w:tc>
      </w:tr>
      <w:tr>
        <w:trPr/>
        <w:tc>
          <w:tcPr>
            <w:tcW w:w="3660"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10990 South Automall Drive</w:t>
            </w:r>
          </w:p>
        </w:tc>
        <w:tc>
          <w:tcPr>
            <w:tcW w:w="14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Sandy</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UT</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84070</w:t>
            </w:r>
          </w:p>
        </w:tc>
      </w:tr>
      <w:tr>
        <w:trPr/>
        <w:tc>
          <w:tcPr>
            <w:tcW w:w="3660"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10910 South Automall Drive</w:t>
            </w:r>
          </w:p>
        </w:tc>
        <w:tc>
          <w:tcPr>
            <w:tcW w:w="14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Sandy</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UT</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84070</w:t>
            </w:r>
          </w:p>
        </w:tc>
      </w:tr>
      <w:tr>
        <w:trPr/>
        <w:tc>
          <w:tcPr>
            <w:tcW w:w="3660"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8303 West Colfax Avenue</w:t>
            </w:r>
          </w:p>
        </w:tc>
        <w:tc>
          <w:tcPr>
            <w:tcW w:w="14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Lakewood</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1"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80214</w:t>
            </w:r>
          </w:p>
        </w:tc>
      </w:tr>
      <w:tr>
        <w:trPr/>
        <w:tc>
          <w:tcPr>
            <w:tcW w:w="3660"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951 Southpoint Auto Park Boulevard</w:t>
            </w:r>
          </w:p>
        </w:tc>
        <w:tc>
          <w:tcPr>
            <w:tcW w:w="14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Durham</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NC</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27713</w:t>
            </w:r>
          </w:p>
        </w:tc>
      </w:tr>
      <w:tr>
        <w:trPr/>
        <w:tc>
          <w:tcPr>
            <w:tcW w:w="3660"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436 North McPherson Church Road</w:t>
            </w:r>
          </w:p>
        </w:tc>
        <w:tc>
          <w:tcPr>
            <w:tcW w:w="14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Fayetteville</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NC</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28303</w:t>
            </w:r>
          </w:p>
        </w:tc>
      </w:tr>
      <w:tr>
        <w:trPr/>
        <w:tc>
          <w:tcPr>
            <w:tcW w:w="3660"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256 Swain Street</w:t>
            </w:r>
          </w:p>
        </w:tc>
        <w:tc>
          <w:tcPr>
            <w:tcW w:w="14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Fayetteville</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NC</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1"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28303</w:t>
            </w:r>
          </w:p>
        </w:tc>
      </w:tr>
      <w:tr>
        <w:trPr/>
        <w:tc>
          <w:tcPr>
            <w:tcW w:w="3660"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3908 West Wendover Avenue</w:t>
            </w:r>
          </w:p>
        </w:tc>
        <w:tc>
          <w:tcPr>
            <w:tcW w:w="14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Greensboro</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NC</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27407</w:t>
            </w:r>
          </w:p>
        </w:tc>
      </w:tr>
      <w:tr>
        <w:trPr/>
        <w:tc>
          <w:tcPr>
            <w:tcW w:w="3660"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3902 West Wendover Avenue</w:t>
            </w:r>
          </w:p>
        </w:tc>
        <w:tc>
          <w:tcPr>
            <w:tcW w:w="14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Greensboro</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NC</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27407</w:t>
            </w:r>
          </w:p>
        </w:tc>
      </w:tr>
      <w:tr>
        <w:trPr/>
        <w:tc>
          <w:tcPr>
            <w:tcW w:w="3660"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3710 West Wendover Avenue</w:t>
            </w:r>
          </w:p>
        </w:tc>
        <w:tc>
          <w:tcPr>
            <w:tcW w:w="14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Greensboro</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NC</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1"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27407</w:t>
            </w:r>
          </w:p>
        </w:tc>
      </w:tr>
      <w:tr>
        <w:trPr/>
        <w:tc>
          <w:tcPr>
            <w:tcW w:w="3660"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3633 West Wendover Avenue</w:t>
            </w:r>
          </w:p>
        </w:tc>
        <w:tc>
          <w:tcPr>
            <w:tcW w:w="14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Greensboro</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NC</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27407</w:t>
            </w:r>
          </w:p>
        </w:tc>
      </w:tr>
      <w:tr>
        <w:trPr/>
        <w:tc>
          <w:tcPr>
            <w:tcW w:w="3660"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3900 West Wendover Avenue</w:t>
            </w:r>
          </w:p>
        </w:tc>
        <w:tc>
          <w:tcPr>
            <w:tcW w:w="14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Greensboro</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NC</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27407</w:t>
            </w:r>
          </w:p>
        </w:tc>
      </w:tr>
      <w:tr>
        <w:trPr/>
        <w:tc>
          <w:tcPr>
            <w:tcW w:w="3660"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3607 West Wendover Avenue</w:t>
            </w:r>
          </w:p>
        </w:tc>
        <w:tc>
          <w:tcPr>
            <w:tcW w:w="14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Greensboro</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NC</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1"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27407</w:t>
            </w:r>
          </w:p>
        </w:tc>
      </w:tr>
      <w:tr>
        <w:trPr/>
        <w:tc>
          <w:tcPr>
            <w:tcW w:w="3660"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8704 West Broad Street</w:t>
            </w:r>
          </w:p>
        </w:tc>
        <w:tc>
          <w:tcPr>
            <w:tcW w:w="14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Richmond</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NC</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23294</w:t>
            </w:r>
          </w:p>
        </w:tc>
      </w:tr>
      <w:tr>
        <w:trPr/>
        <w:tc>
          <w:tcPr>
            <w:tcW w:w="3660"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8712 West Broad Street</w:t>
            </w:r>
          </w:p>
        </w:tc>
        <w:tc>
          <w:tcPr>
            <w:tcW w:w="14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Richmond</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NC</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23294</w:t>
            </w:r>
          </w:p>
        </w:tc>
      </w:tr>
      <w:tr>
        <w:trPr/>
        <w:tc>
          <w:tcPr>
            <w:tcW w:w="3660"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8710 West Broad Street</w:t>
            </w:r>
          </w:p>
        </w:tc>
        <w:tc>
          <w:tcPr>
            <w:tcW w:w="14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Richmond</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NC</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23294</w:t>
            </w:r>
          </w:p>
        </w:tc>
      </w:tr>
      <w:tr>
        <w:trPr/>
        <w:tc>
          <w:tcPr>
            <w:tcW w:w="3660"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12100 Midlothian Turnpike</w:t>
            </w:r>
          </w:p>
        </w:tc>
        <w:tc>
          <w:tcPr>
            <w:tcW w:w="14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Midlothian</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NC</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1"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23113</w:t>
            </w:r>
          </w:p>
        </w:tc>
      </w:tr>
      <w:tr>
        <w:trPr/>
        <w:tc>
          <w:tcPr>
            <w:tcW w:w="3660"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4201 Beltway Place</w:t>
            </w:r>
          </w:p>
        </w:tc>
        <w:tc>
          <w:tcPr>
            <w:tcW w:w="14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Arlington</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TX</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76018</w:t>
            </w:r>
          </w:p>
        </w:tc>
      </w:tr>
      <w:tr>
        <w:trPr/>
        <w:tc>
          <w:tcPr>
            <w:tcW w:w="3660"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6113 Lemmon Avenue</w:t>
            </w:r>
          </w:p>
        </w:tc>
        <w:tc>
          <w:tcPr>
            <w:tcW w:w="14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Dallas</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TX</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75209</w:t>
            </w:r>
          </w:p>
        </w:tc>
      </w:tr>
      <w:tr>
        <w:trPr/>
        <w:tc>
          <w:tcPr>
            <w:tcW w:w="3660"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6107 Lemmon Avenue</w:t>
            </w:r>
          </w:p>
        </w:tc>
        <w:tc>
          <w:tcPr>
            <w:tcW w:w="14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Dallas</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TX</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1"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75209</w:t>
            </w:r>
          </w:p>
        </w:tc>
      </w:tr>
      <w:tr>
        <w:trPr/>
        <w:tc>
          <w:tcPr>
            <w:tcW w:w="3660"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3515 Inwood Road</w:t>
            </w:r>
          </w:p>
        </w:tc>
        <w:tc>
          <w:tcPr>
            <w:tcW w:w="14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Dallas</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TX</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75209</w:t>
            </w:r>
          </w:p>
        </w:tc>
      </w:tr>
      <w:tr>
        <w:trPr/>
        <w:tc>
          <w:tcPr>
            <w:tcW w:w="3660"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1300 East State Highway 114</w:t>
            </w:r>
          </w:p>
        </w:tc>
        <w:tc>
          <w:tcPr>
            <w:tcW w:w="146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Dallas</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TX</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75261</w:t>
            </w:r>
          </w:p>
        </w:tc>
      </w:tr>
      <w:tr>
        <w:trPr/>
        <w:tc>
          <w:tcPr>
            <w:tcW w:w="3660" w:type="dxa"/>
            <w:gridSpan w:val="3"/>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5601 Bryant Irvin Road</w:t>
            </w:r>
          </w:p>
        </w:tc>
        <w:tc>
          <w:tcPr>
            <w:tcW w:w="1469" w:type="dxa"/>
            <w:gridSpan w:val="3"/>
            <w:tcBorders>
              <w:top w:val="single" w:sz="4" w:space="0" w:color="999999"/>
              <w:left w:val="single" w:sz="4" w:space="0" w:color="999999"/>
              <w:bottom w:val="single" w:sz="4" w:space="0" w:color="999999"/>
            </w:tcBorders>
            <w:tcMar>
              <w:top w:w="30" w:type="dxa"/>
              <w:bottom w:w="3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Fort Worth</w:t>
            </w:r>
          </w:p>
        </w:tc>
        <w:tc>
          <w:tcPr>
            <w:tcW w:w="586" w:type="dxa"/>
            <w:gridSpan w:val="3"/>
            <w:tcBorders>
              <w:top w:val="single" w:sz="4" w:space="0" w:color="999999"/>
              <w:left w:val="single" w:sz="4" w:space="0" w:color="999999"/>
              <w:bottom w:val="single" w:sz="4" w:space="0" w:color="999999"/>
            </w:tcBorders>
            <w:tcMar>
              <w:top w:w="30" w:type="dxa"/>
              <w:bottom w:w="3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TX</w:t>
            </w:r>
          </w:p>
        </w:tc>
        <w:tc>
          <w:tcPr>
            <w:tcW w:w="751" w:type="dxa"/>
            <w:gridSpan w:val="3"/>
            <w:tcBorders>
              <w:top w:val="single" w:sz="4" w:space="0" w:color="999999"/>
              <w:left w:val="single" w:sz="4" w:space="0" w:color="999999"/>
              <w:bottom w:val="single" w:sz="4" w:space="0" w:color="999999"/>
              <w:right w:val="single" w:sz="4" w:space="0" w:color="999999"/>
            </w:tcBorders>
            <w:tcMar>
              <w:top w:w="30" w:type="dxa"/>
              <w:bottom w:w="30" w:type="dxa"/>
            </w:tcMar>
            <w:vAlign w:val="center"/>
          </w:tcPr>
          <w:p>
            <w:pPr>
              <w:pStyle w:val="TableContents"/>
              <w:bidi w:val="0"/>
              <w:spacing w:lineRule="atLeast" w:line="255" w:before="1"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76132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010" w:type="dxa"/>
        <w:jc w:val="left"/>
        <w:tblInd w:w="0" w:type="dxa"/>
        <w:tblLayout w:type="fixed"/>
        <w:tblCellMar>
          <w:top w:w="28" w:type="dxa"/>
          <w:left w:w="28" w:type="dxa"/>
          <w:bottom w:w="28" w:type="dxa"/>
          <w:right w:w="28" w:type="dxa"/>
        </w:tblCellMar>
      </w:tblPr>
      <w:tblGrid>
        <w:gridCol w:w="1933"/>
        <w:gridCol w:w="1703"/>
        <w:gridCol w:w="1718"/>
        <w:gridCol w:w="438"/>
        <w:gridCol w:w="438"/>
        <w:gridCol w:w="443"/>
        <w:gridCol w:w="195"/>
        <w:gridCol w:w="195"/>
        <w:gridCol w:w="196"/>
        <w:gridCol w:w="218"/>
        <w:gridCol w:w="218"/>
        <w:gridCol w:w="315"/>
      </w:tblGrid>
      <w:tr>
        <w:trPr/>
        <w:tc>
          <w:tcPr>
            <w:tcW w:w="1933"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top w:val="single" w:sz="4" w:space="0" w:color="000000"/>
            </w:tcBorders>
            <w:shd w:fill="999999" w:val="clear"/>
            <w:tcMar>
              <w:top w:w="30" w:type="dxa"/>
              <w:left w:w="0" w:type="dxa"/>
              <w:bottom w:w="0" w:type="dxa"/>
              <w:right w:w="0" w:type="dxa"/>
            </w:tcMar>
            <w:vAlign w:val="center"/>
          </w:tcPr>
          <w:p>
            <w:pPr>
              <w:pStyle w:val="TableContents"/>
              <w:bidi w:val="0"/>
              <w:spacing w:lineRule="atLeast" w:line="255" w:before="69" w:after="283"/>
              <w:jc w:val="left"/>
              <w:rPr>
                <w:rFonts w:ascii="Times New Roman;sans-serif" w:hAnsi="Times New Roman;sans-serif"/>
                <w:b/>
                <w:i/>
                <w:color w:val="000000"/>
                <w:sz w:val="24"/>
              </w:rPr>
            </w:pPr>
            <w:r>
              <w:rPr>
                <w:rFonts w:ascii="Times New Roman;sans-serif" w:hAnsi="Times New Roman;sans-serif"/>
                <w:b/>
                <w:i/>
                <w:color w:val="000000"/>
                <w:sz w:val="24"/>
              </w:rPr>
              <w:t>Address</w:t>
            </w:r>
          </w:p>
        </w:tc>
        <w:tc>
          <w:tcPr>
            <w:tcW w:w="1319" w:type="dxa"/>
            <w:gridSpan w:val="3"/>
            <w:tcBorders>
              <w:top w:val="single" w:sz="4" w:space="0" w:color="000000"/>
              <w:left w:val="single" w:sz="4" w:space="0" w:color="000000"/>
            </w:tcBorders>
            <w:shd w:fill="999999" w:val="clear"/>
            <w:tcMar>
              <w:top w:w="30" w:type="dxa"/>
              <w:bottom w:w="0" w:type="dxa"/>
              <w:right w:w="0" w:type="dxa"/>
            </w:tcMar>
            <w:vAlign w:val="center"/>
          </w:tcPr>
          <w:p>
            <w:pPr>
              <w:pStyle w:val="TableContents"/>
              <w:bidi w:val="0"/>
              <w:spacing w:lineRule="atLeast" w:line="255" w:before="69" w:after="283"/>
              <w:jc w:val="left"/>
              <w:rPr>
                <w:rFonts w:ascii="Times New Roman;sans-serif" w:hAnsi="Times New Roman;sans-serif"/>
                <w:b/>
                <w:i/>
                <w:color w:val="000000"/>
                <w:sz w:val="24"/>
              </w:rPr>
            </w:pPr>
            <w:r>
              <w:rPr>
                <w:rFonts w:ascii="Times New Roman;sans-serif" w:hAnsi="Times New Roman;sans-serif"/>
                <w:b/>
                <w:i/>
                <w:color w:val="000000"/>
                <w:sz w:val="24"/>
              </w:rPr>
              <w:t>City</w:t>
            </w:r>
          </w:p>
        </w:tc>
        <w:tc>
          <w:tcPr>
            <w:tcW w:w="586" w:type="dxa"/>
            <w:gridSpan w:val="3"/>
            <w:tcBorders>
              <w:top w:val="single" w:sz="4" w:space="0" w:color="000000"/>
              <w:left w:val="single" w:sz="4" w:space="0" w:color="000000"/>
            </w:tcBorders>
            <w:shd w:fill="999999" w:val="clear"/>
            <w:tcMar>
              <w:top w:w="30" w:type="dxa"/>
              <w:bottom w:w="0" w:type="dxa"/>
              <w:right w:w="0" w:type="dxa"/>
            </w:tcMar>
            <w:vAlign w:val="center"/>
          </w:tcPr>
          <w:p>
            <w:pPr>
              <w:pStyle w:val="TableContents"/>
              <w:bidi w:val="0"/>
              <w:spacing w:lineRule="atLeast" w:line="255" w:before="69" w:after="283"/>
              <w:jc w:val="left"/>
              <w:rPr>
                <w:rFonts w:ascii="Times New Roman;sans-serif" w:hAnsi="Times New Roman;sans-serif"/>
                <w:b/>
                <w:i/>
                <w:color w:val="000000"/>
                <w:sz w:val="24"/>
              </w:rPr>
            </w:pPr>
            <w:r>
              <w:rPr>
                <w:rFonts w:ascii="Times New Roman;sans-serif" w:hAnsi="Times New Roman;sans-serif"/>
                <w:b/>
                <w:i/>
                <w:color w:val="000000"/>
                <w:sz w:val="24"/>
              </w:rPr>
              <w:t>State</w:t>
            </w:r>
          </w:p>
        </w:tc>
        <w:tc>
          <w:tcPr>
            <w:tcW w:w="751" w:type="dxa"/>
            <w:gridSpan w:val="3"/>
            <w:tcBorders>
              <w:top w:val="single" w:sz="4" w:space="0" w:color="000000"/>
              <w:left w:val="single" w:sz="4" w:space="0" w:color="000000"/>
              <w:right w:val="single" w:sz="4" w:space="0" w:color="000000"/>
            </w:tcBorders>
            <w:shd w:fill="999999" w:val="clear"/>
            <w:tcMar>
              <w:top w:w="30" w:type="dxa"/>
              <w:bottom w:w="0" w:type="dxa"/>
            </w:tcMar>
            <w:vAlign w:val="center"/>
          </w:tcPr>
          <w:p>
            <w:pPr>
              <w:pStyle w:val="TableContents"/>
              <w:bidi w:val="0"/>
              <w:spacing w:lineRule="atLeast" w:line="255" w:before="69" w:after="283"/>
              <w:jc w:val="left"/>
              <w:rPr>
                <w:rFonts w:ascii="Times New Roman;sans-serif" w:hAnsi="Times New Roman;sans-serif"/>
                <w:b/>
                <w:i/>
                <w:color w:val="000000"/>
                <w:sz w:val="24"/>
              </w:rPr>
            </w:pPr>
            <w:r>
              <w:rPr>
                <w:rFonts w:ascii="Times New Roman;sans-serif" w:hAnsi="Times New Roman;sans-serif"/>
                <w:b/>
                <w:i/>
                <w:color w:val="000000"/>
                <w:sz w:val="24"/>
              </w:rPr>
              <w:t>Zip</w:t>
            </w:r>
          </w:p>
        </w:tc>
      </w:tr>
      <w:tr>
        <w:trPr/>
        <w:tc>
          <w:tcPr>
            <w:tcW w:w="5354" w:type="dxa"/>
            <w:gridSpan w:val="3"/>
            <w:tcBorders>
              <w:top w:val="single" w:sz="4" w:space="0" w:color="000000"/>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901 East State Highway 114</w:t>
            </w:r>
          </w:p>
        </w:tc>
        <w:tc>
          <w:tcPr>
            <w:tcW w:w="1319" w:type="dxa"/>
            <w:gridSpan w:val="3"/>
            <w:tcBorders>
              <w:top w:val="single" w:sz="4" w:space="0" w:color="000000"/>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Grapevine</w:t>
            </w:r>
          </w:p>
        </w:tc>
        <w:tc>
          <w:tcPr>
            <w:tcW w:w="586" w:type="dxa"/>
            <w:gridSpan w:val="3"/>
            <w:tcBorders>
              <w:top w:val="single" w:sz="4" w:space="0" w:color="000000"/>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TX</w:t>
            </w:r>
          </w:p>
        </w:tc>
        <w:tc>
          <w:tcPr>
            <w:tcW w:w="751" w:type="dxa"/>
            <w:gridSpan w:val="3"/>
            <w:tcBorders>
              <w:top w:val="single" w:sz="4" w:space="0" w:color="000000"/>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76051</w:t>
            </w:r>
          </w:p>
        </w:tc>
      </w:tr>
      <w:tr>
        <w:trPr/>
        <w:tc>
          <w:tcPr>
            <w:tcW w:w="535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6785 Dallas Parkway</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Plano</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TX</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75024</w:t>
            </w:r>
          </w:p>
        </w:tc>
      </w:tr>
      <w:tr>
        <w:trPr/>
        <w:tc>
          <w:tcPr>
            <w:tcW w:w="535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2668 Laurens Road</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Greenville</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SC</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1"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29607</w:t>
            </w:r>
          </w:p>
        </w:tc>
      </w:tr>
      <w:tr>
        <w:trPr/>
        <w:tc>
          <w:tcPr>
            <w:tcW w:w="535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2700 Laurns Road</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Greenville</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29607</w:t>
            </w:r>
          </w:p>
        </w:tc>
      </w:tr>
      <w:tr>
        <w:trPr/>
        <w:tc>
          <w:tcPr>
            <w:tcW w:w="535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2686 Laurens Road</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Greenville</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29607</w:t>
            </w:r>
          </w:p>
        </w:tc>
      </w:tr>
      <w:tr>
        <w:trPr/>
        <w:tc>
          <w:tcPr>
            <w:tcW w:w="535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2712 Laurens Road</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Greenville</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SC</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1"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29607</w:t>
            </w:r>
          </w:p>
        </w:tc>
      </w:tr>
      <w:tr>
        <w:trPr/>
        <w:tc>
          <w:tcPr>
            <w:tcW w:w="535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755 North New Ballas</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Creve Coeur</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MO</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63141</w:t>
            </w:r>
          </w:p>
        </w:tc>
      </w:tr>
      <w:tr>
        <w:trPr/>
        <w:tc>
          <w:tcPr>
            <w:tcW w:w="535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11910 Olive Boulevard</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Creve Coeur</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MO</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63141</w:t>
            </w:r>
          </w:p>
        </w:tc>
      </w:tr>
      <w:tr>
        <w:trPr/>
        <w:tc>
          <w:tcPr>
            <w:tcW w:w="535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11830 Olive Boulevard</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Creve Coeur</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MO</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1"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63141</w:t>
            </w:r>
          </w:p>
        </w:tc>
      </w:tr>
      <w:tr>
        <w:trPr/>
        <w:tc>
          <w:tcPr>
            <w:tcW w:w="535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11654 Olive Boulevard</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Creve Coeur</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MO</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63141</w:t>
            </w:r>
          </w:p>
        </w:tc>
      </w:tr>
      <w:tr>
        <w:trPr/>
        <w:tc>
          <w:tcPr>
            <w:tcW w:w="535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951 Technology Drive</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O'Fallon</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MO</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63368</w:t>
            </w:r>
          </w:p>
        </w:tc>
      </w:tr>
      <w:tr>
        <w:trPr/>
        <w:tc>
          <w:tcPr>
            <w:tcW w:w="535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444 South Havana Street</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Aurora</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1"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80012</w:t>
            </w:r>
          </w:p>
        </w:tc>
      </w:tr>
      <w:tr>
        <w:trPr/>
        <w:tc>
          <w:tcPr>
            <w:tcW w:w="535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8337 Rasberry Way</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Frederick</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80504</w:t>
            </w:r>
          </w:p>
        </w:tc>
      </w:tr>
      <w:tr>
        <w:trPr/>
        <w:tc>
          <w:tcPr>
            <w:tcW w:w="535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801 Denver West Colorado Mills Boulevard</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Lakewood</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80401</w:t>
            </w:r>
          </w:p>
        </w:tc>
      </w:tr>
      <w:tr>
        <w:trPr/>
        <w:tc>
          <w:tcPr>
            <w:tcW w:w="535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15000 W. Colfax Avenue</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Lakewood</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1"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80401</w:t>
            </w:r>
          </w:p>
        </w:tc>
      </w:tr>
      <w:tr>
        <w:trPr/>
        <w:tc>
          <w:tcPr>
            <w:tcW w:w="535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780 Denver West Colorado Mills Boulevard</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Lakewood</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80401</w:t>
            </w:r>
          </w:p>
        </w:tc>
      </w:tr>
      <w:tr>
        <w:trPr/>
        <w:tc>
          <w:tcPr>
            <w:tcW w:w="535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200 East Littleton Boulevard</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Littleton</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80121</w:t>
            </w:r>
          </w:p>
        </w:tc>
      </w:tr>
      <w:tr>
        <w:trPr/>
        <w:tc>
          <w:tcPr>
            <w:tcW w:w="535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5500 South Broadway</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Littleton</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80121</w:t>
            </w:r>
          </w:p>
        </w:tc>
      </w:tr>
      <w:tr>
        <w:trPr/>
        <w:tc>
          <w:tcPr>
            <w:tcW w:w="535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600 South Main Street</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Longmont</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1"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80501</w:t>
            </w:r>
          </w:p>
        </w:tc>
      </w:tr>
      <w:tr>
        <w:trPr/>
        <w:tc>
          <w:tcPr>
            <w:tcW w:w="535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9207 Adamo Drive</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Tampa</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FL</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33619</w:t>
            </w:r>
          </w:p>
        </w:tc>
      </w:tr>
      <w:tr>
        <w:trPr/>
        <w:tc>
          <w:tcPr>
            <w:tcW w:w="535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4600 North Dale Mabry Highway</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Tampa</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FL</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33614</w:t>
            </w:r>
          </w:p>
        </w:tc>
      </w:tr>
      <w:tr>
        <w:trPr/>
        <w:tc>
          <w:tcPr>
            <w:tcW w:w="535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4400 North Dale Mabry Highway</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Tampa</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1"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33614</w:t>
            </w:r>
          </w:p>
        </w:tc>
      </w:tr>
      <w:tr>
        <w:trPr/>
        <w:tc>
          <w:tcPr>
            <w:tcW w:w="535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3800 West Hillsborough Avenue</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Tampa</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FL</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33614</w:t>
            </w:r>
          </w:p>
        </w:tc>
      </w:tr>
      <w:tr>
        <w:trPr/>
        <w:tc>
          <w:tcPr>
            <w:tcW w:w="535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3810 West Hillsborough Avenue</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Tampa</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FL</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33614</w:t>
            </w:r>
          </w:p>
        </w:tc>
      </w:tr>
      <w:tr>
        <w:trPr/>
        <w:tc>
          <w:tcPr>
            <w:tcW w:w="535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9205 Adamo Drive</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Tampa</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1"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33619</w:t>
            </w:r>
          </w:p>
        </w:tc>
      </w:tr>
      <w:tr>
        <w:trPr/>
        <w:tc>
          <w:tcPr>
            <w:tcW w:w="535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9210 Adamo Drive</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Tampa</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FL</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33619</w:t>
            </w:r>
          </w:p>
        </w:tc>
      </w:tr>
      <w:tr>
        <w:trPr/>
        <w:tc>
          <w:tcPr>
            <w:tcW w:w="535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300 West Loop 820 South</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Worth</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TX</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76108</w:t>
            </w:r>
          </w:p>
        </w:tc>
      </w:tr>
      <w:tr>
        <w:trPr/>
        <w:tc>
          <w:tcPr>
            <w:tcW w:w="535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13553 US Hwy 183 North</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Austin</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TX</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1"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78750</w:t>
            </w:r>
          </w:p>
        </w:tc>
      </w:tr>
      <w:tr>
        <w:trPr/>
        <w:tc>
          <w:tcPr>
            <w:tcW w:w="5354" w:type="dxa"/>
            <w:gridSpan w:val="3"/>
            <w:tcBorders>
              <w:top w:val="single" w:sz="4" w:space="0" w:color="999999"/>
            </w:tcBorders>
            <w:tcMar>
              <w:top w:w="30" w:type="dxa"/>
              <w:left w:w="0" w:type="dxa"/>
              <w:bottom w:w="0" w:type="dxa"/>
              <w:right w:w="0" w:type="dxa"/>
            </w:tcMar>
            <w:vAlign w:val="center"/>
          </w:tcPr>
          <w:p>
            <w:pPr>
              <w:pStyle w:val="TableContents"/>
              <w:bidi w:val="0"/>
              <w:spacing w:lineRule="auto" w:line="31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1601 North Dallas Parkway (7200 State Highway 121)</w:t>
            </w:r>
          </w:p>
        </w:tc>
        <w:tc>
          <w:tcPr>
            <w:tcW w:w="1319"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Frisco</w:t>
            </w:r>
          </w:p>
        </w:tc>
        <w:tc>
          <w:tcPr>
            <w:tcW w:w="586" w:type="dxa"/>
            <w:gridSpan w:val="3"/>
            <w:tcBorders>
              <w:top w:val="single" w:sz="4" w:space="0" w:color="999999"/>
              <w:left w:val="single" w:sz="4" w:space="0" w:color="999999"/>
            </w:tcBorders>
            <w:tcMar>
              <w:top w:w="30" w:type="dxa"/>
              <w:left w:w="75"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TX</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uto" w:line="28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75034</w:t>
            </w:r>
          </w:p>
        </w:tc>
      </w:tr>
      <w:tr>
        <w:trPr/>
        <w:tc>
          <w:tcPr>
            <w:tcW w:w="535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3700 West Airport Freeway</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Irving</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TX</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75062</w:t>
            </w:r>
          </w:p>
        </w:tc>
      </w:tr>
      <w:tr>
        <w:trPr/>
        <w:tc>
          <w:tcPr>
            <w:tcW w:w="5354" w:type="dxa"/>
            <w:gridSpan w:val="3"/>
            <w:tcBorders>
              <w:top w:val="single" w:sz="4" w:space="0" w:color="999999"/>
            </w:tcBorders>
            <w:tcMar>
              <w:top w:w="30" w:type="dxa"/>
              <w:left w:w="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4051 West Plano Parkway</w:t>
            </w:r>
          </w:p>
        </w:tc>
        <w:tc>
          <w:tcPr>
            <w:tcW w:w="1319"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Plano</w:t>
            </w:r>
          </w:p>
        </w:tc>
        <w:tc>
          <w:tcPr>
            <w:tcW w:w="586" w:type="dxa"/>
            <w:gridSpan w:val="3"/>
            <w:tcBorders>
              <w:top w:val="single" w:sz="4" w:space="0" w:color="999999"/>
              <w:left w:val="single" w:sz="4" w:space="0" w:color="999999"/>
            </w:tcBorders>
            <w:tcMar>
              <w:top w:w="30" w:type="dxa"/>
              <w:bottom w:w="0" w:type="dxa"/>
              <w:right w:w="0" w:type="dxa"/>
            </w:tcMar>
            <w:vAlign w:val="center"/>
          </w:tcPr>
          <w:p>
            <w:pPr>
              <w:pStyle w:val="TableContents"/>
              <w:bidi w:val="0"/>
              <w:spacing w:lineRule="atLeast" w:line="25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TX</w:t>
            </w:r>
          </w:p>
        </w:tc>
        <w:tc>
          <w:tcPr>
            <w:tcW w:w="751" w:type="dxa"/>
            <w:gridSpan w:val="3"/>
            <w:tcBorders>
              <w:top w:val="single" w:sz="4" w:space="0" w:color="999999"/>
              <w:left w:val="single" w:sz="4" w:space="0" w:color="999999"/>
              <w:right w:val="single" w:sz="4" w:space="0" w:color="999999"/>
            </w:tcBorders>
            <w:tcMar>
              <w:top w:w="30" w:type="dxa"/>
              <w:bottom w:w="0" w:type="dxa"/>
            </w:tcMar>
            <w:vAlign w:val="center"/>
          </w:tcPr>
          <w:p>
            <w:pPr>
              <w:pStyle w:val="TableContents"/>
              <w:bidi w:val="0"/>
              <w:spacing w:lineRule="atLeast" w:line="255" w:before="1"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75093</w:t>
            </w:r>
          </w:p>
        </w:tc>
      </w:tr>
      <w:tr>
        <w:trPr/>
        <w:tc>
          <w:tcPr>
            <w:tcW w:w="5354" w:type="dxa"/>
            <w:gridSpan w:val="3"/>
            <w:tcBorders>
              <w:top w:val="single" w:sz="4" w:space="0" w:color="999999"/>
              <w:bottom w:val="single" w:sz="4" w:space="0" w:color="999999"/>
            </w:tcBorders>
            <w:tcMar>
              <w:top w:w="30" w:type="dxa"/>
              <w:left w:w="0" w:type="dxa"/>
              <w:bottom w:w="3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6400 TX-121</w:t>
            </w:r>
          </w:p>
        </w:tc>
        <w:tc>
          <w:tcPr>
            <w:tcW w:w="1319" w:type="dxa"/>
            <w:gridSpan w:val="3"/>
            <w:tcBorders>
              <w:top w:val="single" w:sz="4" w:space="0" w:color="999999"/>
              <w:left w:val="single" w:sz="4" w:space="0" w:color="999999"/>
              <w:bottom w:val="single" w:sz="4" w:space="0" w:color="999999"/>
            </w:tcBorders>
            <w:tcMar>
              <w:top w:w="30" w:type="dxa"/>
              <w:bottom w:w="3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Frisco</w:t>
            </w:r>
          </w:p>
        </w:tc>
        <w:tc>
          <w:tcPr>
            <w:tcW w:w="586" w:type="dxa"/>
            <w:gridSpan w:val="3"/>
            <w:tcBorders>
              <w:top w:val="single" w:sz="4" w:space="0" w:color="999999"/>
              <w:left w:val="single" w:sz="4" w:space="0" w:color="999999"/>
              <w:bottom w:val="single" w:sz="4" w:space="0" w:color="999999"/>
            </w:tcBorders>
            <w:tcMar>
              <w:top w:w="30" w:type="dxa"/>
              <w:bottom w:w="30" w:type="dxa"/>
              <w:right w:w="0" w:type="dxa"/>
            </w:tcMar>
            <w:vAlign w:val="center"/>
          </w:tcPr>
          <w:p>
            <w:pPr>
              <w:pStyle w:val="TableContents"/>
              <w:bidi w:val="0"/>
              <w:spacing w:lineRule="atLeast" w:line="25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TX</w:t>
            </w:r>
          </w:p>
        </w:tc>
        <w:tc>
          <w:tcPr>
            <w:tcW w:w="751" w:type="dxa"/>
            <w:gridSpan w:val="3"/>
            <w:tcBorders>
              <w:top w:val="single" w:sz="4" w:space="0" w:color="999999"/>
              <w:left w:val="single" w:sz="4" w:space="0" w:color="999999"/>
              <w:bottom w:val="single" w:sz="4" w:space="0" w:color="999999"/>
              <w:right w:val="single" w:sz="4" w:space="0" w:color="999999"/>
            </w:tcBorders>
            <w:tcMar>
              <w:top w:w="30" w:type="dxa"/>
              <w:bottom w:w="30" w:type="dxa"/>
            </w:tcMar>
            <w:vAlign w:val="center"/>
          </w:tcPr>
          <w:p>
            <w:pPr>
              <w:pStyle w:val="TableContents"/>
              <w:bidi w:val="0"/>
              <w:spacing w:lineRule="atLeast" w:line="255"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75034</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10.33</w:t>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8.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i/>
          <w:color w:val="000000"/>
          <w:sz w:val="20"/>
        </w:rPr>
      </w:pPr>
      <w:r>
        <w:rPr>
          <w:rFonts w:ascii="Times New Roman;sans-serif" w:hAnsi="Times New Roman;sans-serif"/>
          <w:b/>
          <w:i/>
          <w:color w:val="000000"/>
          <w:sz w:val="20"/>
        </w:rPr>
        <w:t>EXECUTION VERSION</w:t>
      </w:r>
    </w:p>
    <w:p>
      <w:pPr>
        <w:pStyle w:val="TextBody"/>
        <w:bidi w:val="0"/>
        <w:spacing w:before="0" w:after="0"/>
        <w:jc w:val="right"/>
        <w:rPr/>
      </w:pPr>
      <w:r>
        <w:rPr/>
      </w:r>
    </w:p>
    <w:p>
      <w:pPr>
        <w:pStyle w:val="TextBody"/>
        <w:bidi w:val="0"/>
        <w:spacing w:before="0" w:after="0"/>
        <w:jc w:val="right"/>
        <w:rPr/>
      </w:pPr>
      <w:r>
        <w:rPr/>
      </w:r>
    </w:p>
    <w:tbl>
      <w:tblPr>
        <w:tblW w:w="5999" w:type="dxa"/>
        <w:jc w:val="left"/>
        <w:tblInd w:w="0" w:type="dxa"/>
        <w:tblLayout w:type="fixed"/>
        <w:tblCellMar>
          <w:top w:w="28" w:type="dxa"/>
          <w:left w:w="28" w:type="dxa"/>
          <w:bottom w:w="28" w:type="dxa"/>
          <w:right w:w="28" w:type="dxa"/>
        </w:tblCellMar>
      </w:tblPr>
      <w:tblGrid>
        <w:gridCol w:w="1920"/>
        <w:gridCol w:w="1689"/>
        <w:gridCol w:w="2390"/>
      </w:tblGrid>
      <w:tr>
        <w:trPr/>
        <w:tc>
          <w:tcPr>
            <w:tcW w:w="1920"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r>
      <w:tr>
        <w:trPr/>
        <w:tc>
          <w:tcPr>
            <w:tcW w:w="5999" w:type="dxa"/>
            <w:gridSpan w:val="3"/>
            <w:tcBorders>
              <w:top w:val="double" w:sz="18" w:space="0" w:color="000000"/>
              <w:bottom w:val="double" w:sz="18" w:space="0" w:color="000000"/>
            </w:tcBorders>
            <w:tcMar>
              <w:top w:w="30" w:type="dxa"/>
              <w:left w:w="0" w:type="dxa"/>
              <w:bottom w:w="30" w:type="dxa"/>
              <w:right w:w="0" w:type="dxa"/>
            </w:tcMar>
            <w:vAlign w:val="center"/>
          </w:tcPr>
          <w:p>
            <w:pPr>
              <w:pStyle w:val="TableContents"/>
              <w:bidi w:val="0"/>
              <w:spacing w:lineRule="auto" w:line="288" w:before="240" w:after="283"/>
              <w:jc w:val="left"/>
              <w:rPr>
                <w:color w:val="000000"/>
              </w:rPr>
            </w:pPr>
            <w:r>
              <w:rPr>
                <w:color w:val="000000"/>
              </w:rPr>
              <w:t>        </w:t>
            </w:r>
            <w:r>
              <w:rPr>
                <w:rFonts w:ascii="Calibri;sans-serif" w:hAnsi="Calibri;sans-serif"/>
                <w:b/>
                <w:color w:val="000000"/>
                <w:sz w:val="22"/>
              </w:rPr>
              <w:t>Published Deal CUSIP Numbers</w:t>
            </w:r>
          </w:p>
          <w:p>
            <w:pPr>
              <w:pStyle w:val="TableContents"/>
              <w:bidi w:val="0"/>
              <w:spacing w:lineRule="auto" w:line="288" w:before="0" w:after="0"/>
              <w:jc w:val="right"/>
              <w:rPr>
                <w:rFonts w:ascii="Calibri;sans-serif" w:hAnsi="Calibri;sans-serif"/>
                <w:b/>
                <w:color w:val="000000"/>
                <w:sz w:val="22"/>
              </w:rPr>
            </w:pPr>
            <w:r>
              <w:rPr>
                <w:rFonts w:ascii="Calibri;sans-serif" w:hAnsi="Calibri;sans-serif"/>
                <w:b/>
                <w:color w:val="000000"/>
                <w:sz w:val="22"/>
              </w:rPr>
              <w:t>DEAL: 04343PAW2</w:t>
            </w:r>
          </w:p>
          <w:p>
            <w:pPr>
              <w:pStyle w:val="TableContents"/>
              <w:bidi w:val="0"/>
              <w:spacing w:lineRule="auto" w:line="288" w:before="0" w:after="0"/>
              <w:jc w:val="right"/>
              <w:rPr>
                <w:rFonts w:ascii="Calibri;sans-serif" w:hAnsi="Calibri;sans-serif"/>
                <w:b/>
                <w:color w:val="000000"/>
                <w:sz w:val="22"/>
              </w:rPr>
            </w:pPr>
            <w:r>
              <w:rPr>
                <w:rFonts w:ascii="Calibri;sans-serif" w:hAnsi="Calibri;sans-serif"/>
                <w:b/>
                <w:color w:val="000000"/>
                <w:sz w:val="22"/>
              </w:rPr>
              <w:t>REVOLVER: 04343PAX0</w:t>
            </w:r>
          </w:p>
          <w:p>
            <w:pPr>
              <w:pStyle w:val="TableContents"/>
              <w:bidi w:val="0"/>
              <w:spacing w:lineRule="auto" w:line="288" w:before="0" w:after="0"/>
              <w:jc w:val="right"/>
              <w:rPr>
                <w:rFonts w:ascii="Calibri;sans-serif" w:hAnsi="Calibri;sans-serif"/>
                <w:b/>
                <w:color w:val="000000"/>
                <w:sz w:val="22"/>
              </w:rPr>
            </w:pPr>
            <w:r>
              <w:rPr>
                <w:rFonts w:ascii="Calibri;sans-serif" w:hAnsi="Calibri;sans-serif"/>
                <w:b/>
                <w:color w:val="000000"/>
                <w:sz w:val="22"/>
              </w:rPr>
              <w:t>NEW VEHICLE FLOORPLAN: 04343PAY8</w:t>
            </w:r>
          </w:p>
          <w:p>
            <w:pPr>
              <w:pStyle w:val="TableContents"/>
              <w:bidi w:val="0"/>
              <w:spacing w:lineRule="auto" w:line="288" w:before="0" w:after="0"/>
              <w:jc w:val="right"/>
              <w:rPr>
                <w:rFonts w:ascii="Calibri;sans-serif" w:hAnsi="Calibri;sans-serif"/>
                <w:b/>
                <w:color w:val="000000"/>
                <w:sz w:val="22"/>
              </w:rPr>
            </w:pPr>
            <w:r>
              <w:rPr>
                <w:rFonts w:ascii="Calibri;sans-serif" w:hAnsi="Calibri;sans-serif"/>
                <w:b/>
                <w:color w:val="000000"/>
                <w:sz w:val="22"/>
              </w:rPr>
              <w:t xml:space="preserve">USED VEHICLE FLOORPLAN: 04343PAZ5 </w:t>
            </w:r>
          </w:p>
          <w:p>
            <w:pPr>
              <w:pStyle w:val="TableContents"/>
              <w:bidi w:val="0"/>
              <w:spacing w:before="0" w:after="0"/>
              <w:jc w:val="center"/>
              <w:rPr/>
            </w:pPr>
            <w:r>
              <w:rPr/>
            </w:r>
          </w:p>
          <w:p>
            <w:pPr>
              <w:pStyle w:val="TableContents"/>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FOURTH AMENDED AND RESTATED </w:t>
            </w:r>
          </w:p>
          <w:p>
            <w:pPr>
              <w:pStyle w:val="TableContents"/>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CREDIT AGREEMENT</w:t>
            </w:r>
          </w:p>
          <w:p>
            <w:pPr>
              <w:pStyle w:val="TableContents"/>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Dated as of October 20, 2023</w:t>
            </w:r>
          </w:p>
          <w:p>
            <w:pPr>
              <w:pStyle w:val="TableContents"/>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among</w:t>
            </w:r>
          </w:p>
          <w:p>
            <w:pPr>
              <w:pStyle w:val="TableContents"/>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ASBURY AUTOMOTIVE GROUP, INC.,</w:t>
            </w:r>
          </w:p>
          <w:p>
            <w:pPr>
              <w:pStyle w:val="TableContents"/>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as a Borrower,</w:t>
            </w:r>
          </w:p>
          <w:p>
            <w:pPr>
              <w:pStyle w:val="TableContents"/>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and</w:t>
            </w:r>
          </w:p>
          <w:p>
            <w:pPr>
              <w:pStyle w:val="TableContents"/>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CERTAIN OF ITS SUBSIDIARIES,</w:t>
            </w:r>
          </w:p>
          <w:p>
            <w:pPr>
              <w:pStyle w:val="TableContents"/>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as Vehicle Borrowers</w:t>
            </w:r>
          </w:p>
          <w:p>
            <w:pPr>
              <w:pStyle w:val="TableContents"/>
              <w:bidi w:val="0"/>
              <w:spacing w:lineRule="auto" w:line="288" w:before="0" w:after="0"/>
              <w:jc w:val="center"/>
              <w:rPr/>
            </w:pPr>
            <w:r>
              <w:rPr>
                <w:rFonts w:ascii="Times New Roman;sans-serif" w:hAnsi="Times New Roman;sans-serif"/>
                <w:b/>
                <w:color w:val="000000"/>
                <w:sz w:val="22"/>
              </w:rPr>
              <w:t>BANK OF AMERICA, N.A.,</w:t>
            </w:r>
            <w:r>
              <w:rPr>
                <w:rFonts w:ascii="Times New Roman;sans-serif" w:hAnsi="Times New Roman;sans-serif"/>
                <w:b w:val="false"/>
                <w:color w:val="000000"/>
                <w:sz w:val="22"/>
              </w:rPr>
              <w:br/>
              <w:t xml:space="preserve">as Administrative Agent, Revolving Swing Line Lender, </w:t>
            </w:r>
          </w:p>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New Vehicle Floorplan Swing Line Lender, </w:t>
            </w:r>
          </w:p>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Used Vehicle Floorplan Swing Line Lender and an L/C Issuer,</w:t>
            </w:r>
          </w:p>
          <w:p>
            <w:pPr>
              <w:pStyle w:val="TableContents"/>
              <w:bidi w:val="0"/>
              <w:spacing w:before="0" w:after="0"/>
              <w:jc w:val="center"/>
              <w:rPr/>
            </w:pPr>
            <w:r>
              <w:rPr/>
            </w:r>
          </w:p>
          <w:p>
            <w:pPr>
              <w:pStyle w:val="TableContents"/>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and</w:t>
            </w:r>
          </w:p>
          <w:p>
            <w:pPr>
              <w:pStyle w:val="TableContents"/>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THE OTHER LENDERS PARTY HERETO</w:t>
            </w:r>
          </w:p>
          <w:p>
            <w:pPr>
              <w:pStyle w:val="TableContents"/>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JPMORGAN CHASE BANK, N.A.</w:t>
            </w:r>
          </w:p>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and</w:t>
            </w:r>
          </w:p>
          <w:p>
            <w:pPr>
              <w:pStyle w:val="TableContents"/>
              <w:bidi w:val="0"/>
              <w:spacing w:lineRule="auto" w:line="288" w:before="0" w:after="0"/>
              <w:jc w:val="center"/>
              <w:rPr/>
            </w:pPr>
            <w:r>
              <w:rPr>
                <w:rFonts w:ascii="Times New Roman;sans-serif" w:hAnsi="Times New Roman;sans-serif"/>
                <w:b/>
                <w:color w:val="000000"/>
                <w:sz w:val="22"/>
              </w:rPr>
              <w:t>WELLS FARGO BANK, N.A.</w:t>
            </w:r>
            <w:r>
              <w:rPr>
                <w:rFonts w:ascii="Times New Roman;sans-serif" w:hAnsi="Times New Roman;sans-serif"/>
                <w:b w:val="false"/>
                <w:color w:val="000000"/>
                <w:sz w:val="22"/>
              </w:rPr>
              <w:t>,</w:t>
              <w:br/>
              <w:t>as Co-Syndication Agents</w:t>
            </w:r>
          </w:p>
          <w:p>
            <w:pPr>
              <w:pStyle w:val="TableContents"/>
              <w:bidi w:val="0"/>
              <w:spacing w:before="0" w:after="0"/>
              <w:jc w:val="center"/>
              <w:rPr/>
            </w:pPr>
            <w:r>
              <w:rPr/>
            </w:r>
          </w:p>
          <w:p>
            <w:pPr>
              <w:pStyle w:val="TableContents"/>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TOYOTA MOTOR CREDIT CORPORATION,</w:t>
            </w:r>
          </w:p>
          <w:p>
            <w:pPr>
              <w:pStyle w:val="TableContents"/>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MERCEDES-BENZ FINANCIAL SERVICES USA LLC</w:t>
            </w:r>
          </w:p>
          <w:p>
            <w:pPr>
              <w:pStyle w:val="TableContents"/>
              <w:bidi w:val="0"/>
              <w:spacing w:lineRule="auto" w:line="288" w:before="0" w:after="0"/>
              <w:jc w:val="center"/>
              <w:rPr>
                <w:color w:val="000000"/>
              </w:rPr>
            </w:pPr>
            <w:r>
              <w:rPr>
                <w:color w:val="000000"/>
              </w:rPr>
              <w:t> </w:t>
            </w:r>
            <w:r>
              <w:rPr>
                <w:rFonts w:ascii="Times New Roman;sans-serif" w:hAnsi="Times New Roman;sans-serif"/>
                <w:b w:val="false"/>
                <w:color w:val="000000"/>
                <w:sz w:val="22"/>
              </w:rPr>
              <w:t>and</w:t>
            </w:r>
          </w:p>
          <w:p>
            <w:pPr>
              <w:pStyle w:val="TableContents"/>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AMERICAN HONDA FINANCE CORPORATION,</w:t>
            </w:r>
          </w:p>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as Co-Documentation Agents</w:t>
            </w:r>
          </w:p>
          <w:p>
            <w:pPr>
              <w:pStyle w:val="TableContents"/>
              <w:bidi w:val="0"/>
              <w:spacing w:lineRule="auto" w:line="288" w:before="240" w:after="480"/>
              <w:jc w:val="center"/>
              <w:rPr>
                <w:color w:val="000000"/>
                <w:u w:val="single"/>
              </w:rPr>
            </w:pPr>
            <w:r>
              <w:rPr>
                <w:color w:val="000000"/>
                <w:u w:val="single"/>
              </w:rPr>
              <w:t>            </w:t>
            </w:r>
          </w:p>
          <w:p>
            <w:pPr>
              <w:pStyle w:val="TableContents"/>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BOFA SECURITIES, INC.,</w:t>
            </w:r>
          </w:p>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as Sole Lead Arranger and Sole Bookrunner</w:t>
            </w:r>
          </w:p>
        </w:tc>
      </w:tr>
    </w:tbl>
    <w:tbl>
      <w:tblPr>
        <w:tblW w:w="866" w:type="dxa"/>
        <w:jc w:val="left"/>
        <w:tblInd w:w="0" w:type="dxa"/>
        <w:tblLayout w:type="fixed"/>
        <w:tblCellMar>
          <w:top w:w="28" w:type="dxa"/>
          <w:left w:w="28" w:type="dxa"/>
          <w:bottom w:w="28" w:type="dxa"/>
          <w:right w:w="28" w:type="dxa"/>
        </w:tblCellMar>
      </w:tblPr>
      <w:tblGrid>
        <w:gridCol w:w="277"/>
        <w:gridCol w:w="243"/>
        <w:gridCol w:w="346"/>
      </w:tblGrid>
      <w:tr>
        <w:trPr/>
        <w:tc>
          <w:tcPr>
            <w:tcW w:w="2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866" w:type="dxa"/>
            <w:gridSpan w:val="3"/>
            <w:tcBorders>
              <w:top w:val="double" w:sz="26" w:space="0" w:color="000000"/>
            </w:tcBorders>
            <w:tcMar>
              <w:left w:w="0" w:type="dxa"/>
              <w:bottom w:w="0" w:type="dxa"/>
              <w:right w:w="0" w:type="dxa"/>
            </w:tcMar>
            <w:vAlign w:val="center"/>
          </w:tcPr>
          <w:p>
            <w:pPr>
              <w:pStyle w:val="TableContents"/>
              <w:bidi w:val="0"/>
              <w:spacing w:before="0" w:after="960"/>
              <w:ind w:left="0" w:right="0" w:firstLine="720"/>
              <w:jc w:val="center"/>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314960"/>
                <wp:effectExtent l="0" t="0" r="0" b="0"/>
                <wp:wrapNone/>
                <wp:docPr id="166" name="Frame161"/>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176985207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176985207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TABLE OF CONTENTS</w:t>
      </w:r>
    </w:p>
    <w:p>
      <w:pPr>
        <w:pStyle w:val="TextBody"/>
        <w:bidi w:val="0"/>
        <w:spacing w:before="0" w:after="0"/>
        <w:jc w:val="center"/>
        <w:rPr/>
      </w:pPr>
      <w:r>
        <w:rPr/>
      </w:r>
    </w:p>
    <w:p>
      <w:pPr>
        <w:pStyle w:val="TextBody"/>
        <w:bidi w:val="0"/>
        <w:spacing w:lineRule="auto" w:line="288" w:before="0" w:after="12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Page</w:t>
      </w:r>
    </w:p>
    <w:p>
      <w:pPr>
        <w:pStyle w:val="TextBody"/>
        <w:bidi w:val="0"/>
        <w:spacing w:lineRule="auto" w:line="288" w:before="0" w:after="120"/>
        <w:ind w:left="0" w:right="0" w:hanging="1080"/>
        <w:jc w:val="left"/>
        <w:rPr/>
      </w:pPr>
      <w:r>
        <w:rPr>
          <w:rFonts w:ascii="Times New Roman;sans-serif" w:hAnsi="Times New Roman;sans-serif"/>
          <w:b w:val="false"/>
          <w:color w:val="000000"/>
          <w:sz w:val="22"/>
        </w:rPr>
        <w:t>1.01    Assignments and Allocations; Amendment and Restatement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1.02    Defined Terms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3</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1.03    Other Interpretive Provisions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59</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1.04    Accounting Terms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60</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1.05    Times of Day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61</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1.06    Interest Rates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61</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1.07    Letter of Credit Amounts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62</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1.08    Limited Condition Acquisition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62</w:t>
        </w:r>
      </w:hyperlink>
    </w:p>
    <w:p>
      <w:pPr>
        <w:pStyle w:val="TextBody"/>
        <w:bidi w:val="0"/>
        <w:spacing w:lineRule="auto" w:line="288" w:before="0" w:after="120"/>
        <w:ind w:left="0" w:right="0" w:hanging="1800"/>
        <w:jc w:val="left"/>
        <w:rPr/>
      </w:pPr>
      <w:r>
        <w:rPr>
          <w:rFonts w:ascii="Times New Roman;sans-serif" w:hAnsi="Times New Roman;sans-serif"/>
          <w:b/>
          <w:color w:val="000000"/>
          <w:sz w:val="22"/>
        </w:rPr>
        <w:t>ARTICLE II. THE COMMITMENTS AND CREDIT EXTENSIONS    </w:t>
      </w:r>
      <w:hyperlink w:anchor="ic7d9eaa6f6dd44429ae02cc4d55fc0b4_50">
        <w:r>
          <w:rPr>
            <w:rStyle w:val="InternetLink"/>
            <w:rFonts w:ascii="Times New Roman;sans-serif" w:hAnsi="Times New Roman;sans-serif"/>
            <w:b/>
            <w:strike w:val="false"/>
            <w:dstrike w:val="false"/>
            <w:color w:val="000000"/>
            <w:sz w:val="22"/>
            <w:u w:val="none"/>
            <w:effect w:val="none"/>
          </w:rPr>
          <w:t>63</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2.01    Revolving Committed Loans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63</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2.02    Borrowings, Conversions and Continuations of Revolving Committed Loans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64</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2.03    Letters of Credit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64</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2.04    Revolving Swing Line Loans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72</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2.05    New Vehicle Floorplan Committed Loans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76</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2.06    Borrowings, Conversions and Continuations of New Vehicle Floorplan Committed Loans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77</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2.07    New Vehicle Floorplan Swing Line Loan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78</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2.08    New Vehicle Floorplan Overdrafts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83</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2.09    Electronic Processing and New Vehicle Floorplan Offset Account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84</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2.10    Used Vehicle Floorplan Committed Loans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86</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2.11    Borrowings, Conversions and Continuations of Used Vehicle Floorplan Committed Loans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87</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2.12    Used Vehicle Floorplan Swing Line Loans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87</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2.13    Prepayments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92</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2.14    Termination, Reduction or Conversion of Commitments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93</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2.15    Repayment of Loans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96</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2.16    Interest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98</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2.17    Fees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99</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2.18    Computation of Interest and Fees; Retroactive Adjustments of Applicable Rate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100</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2.19    Evidence of Debt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100</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2.20    Payments Generally; Administrative Agent’s Clawback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101</w:t>
        </w:r>
      </w:hyperlink>
    </w:p>
    <w:p>
      <w:pPr>
        <w:pStyle w:val="TextBody"/>
        <w:bidi w:val="0"/>
        <w:spacing w:before="0" w:after="0"/>
        <w:jc w:val="center"/>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TABLE OF CONTENTS</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(continued)    </w:t>
      </w:r>
    </w:p>
    <w:p>
      <w:pPr>
        <w:pStyle w:val="TextBody"/>
        <w:bidi w:val="0"/>
        <w:spacing w:lineRule="auto" w:line="288" w:before="0" w:after="12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Page</w:t>
      </w:r>
    </w:p>
    <w:p>
      <w:pPr>
        <w:pStyle w:val="TextBody"/>
        <w:bidi w:val="0"/>
        <w:spacing w:lineRule="auto" w:line="288" w:before="0" w:after="120"/>
        <w:ind w:left="0" w:right="0" w:hanging="1080"/>
        <w:jc w:val="left"/>
        <w:rPr/>
      </w:pPr>
      <w:r>
        <w:rPr>
          <w:rFonts w:ascii="Times New Roman;sans-serif" w:hAnsi="Times New Roman;sans-serif"/>
          <w:b w:val="false"/>
          <w:color w:val="000000"/>
          <w:sz w:val="22"/>
        </w:rPr>
        <w:t>2.21    Sharing of Payments by Lenders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103</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2.22    Increase in Commitments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104</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2.23    Extension of Maturity Date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106</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2.24    New Vehicle Borrowers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107</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2.25    Used Vehicle Borrowers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108</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2.26    Cash Collateral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110</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2.27    Defaulting Lenders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111</w:t>
        </w:r>
      </w:hyperlink>
    </w:p>
    <w:p>
      <w:pPr>
        <w:pStyle w:val="TextBody"/>
        <w:bidi w:val="0"/>
        <w:spacing w:lineRule="auto" w:line="288" w:before="0" w:after="120"/>
        <w:ind w:left="0" w:right="0" w:hanging="1800"/>
        <w:jc w:val="left"/>
        <w:rPr/>
      </w:pPr>
      <w:r>
        <w:rPr>
          <w:rFonts w:ascii="Times New Roman;sans-serif" w:hAnsi="Times New Roman;sans-serif"/>
          <w:b/>
          <w:color w:val="000000"/>
          <w:sz w:val="22"/>
        </w:rPr>
        <w:t>ARTICLE III. TAXES, YIELD PROTECTION AND ILLEGALITY    </w:t>
      </w:r>
      <w:hyperlink w:anchor="ic7d9eaa6f6dd44429ae02cc4d55fc0b4_50">
        <w:r>
          <w:rPr>
            <w:rStyle w:val="InternetLink"/>
            <w:rFonts w:ascii="Times New Roman;sans-serif" w:hAnsi="Times New Roman;sans-serif"/>
            <w:b/>
            <w:strike w:val="false"/>
            <w:dstrike w:val="false"/>
            <w:color w:val="000000"/>
            <w:sz w:val="22"/>
            <w:u w:val="none"/>
            <w:effect w:val="none"/>
          </w:rPr>
          <w:t>113</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3.01    Taxes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113</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3.02    Illegality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117</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3.03    Inability to Determine Rates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117</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3.04    Increased Costs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119</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3.05    Mitigation Obligations; Replacement of Lenders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120</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3.06    Survival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121</w:t>
        </w:r>
      </w:hyperlink>
    </w:p>
    <w:p>
      <w:pPr>
        <w:pStyle w:val="TextBody"/>
        <w:bidi w:val="0"/>
        <w:spacing w:lineRule="auto" w:line="288" w:before="0" w:after="120"/>
        <w:ind w:left="0" w:right="0" w:hanging="1800"/>
        <w:jc w:val="left"/>
        <w:rPr/>
      </w:pPr>
      <w:r>
        <w:rPr>
          <w:rFonts w:ascii="Times New Roman;sans-serif" w:hAnsi="Times New Roman;sans-serif"/>
          <w:b/>
          <w:color w:val="000000"/>
          <w:sz w:val="22"/>
        </w:rPr>
        <w:t>ARTICLE IV. CONDITIONS PRECEDENT TO CREDIT EXTENSIONS    </w:t>
      </w:r>
      <w:hyperlink w:anchor="ic7d9eaa6f6dd44429ae02cc4d55fc0b4_50">
        <w:r>
          <w:rPr>
            <w:rStyle w:val="InternetLink"/>
            <w:rFonts w:ascii="Times New Roman;sans-serif" w:hAnsi="Times New Roman;sans-serif"/>
            <w:b/>
            <w:strike w:val="false"/>
            <w:dstrike w:val="false"/>
            <w:color w:val="000000"/>
            <w:sz w:val="22"/>
            <w:u w:val="none"/>
            <w:effect w:val="none"/>
          </w:rPr>
          <w:t>121</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4.01    Conditions of Initial Credit Extension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121</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4.02    Conditions to all Credit Extensions other than New Vehicle Floorplan Swing Line Borrowings pursuant to a Payment Commitment, a Payoff Letter Commitment or the Floorplan On-Line System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124</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4.03    Conditions to all New Vehicle Floorplan Swing Line Borrowings pursuant to a Payment Commitment, a Payoff Letter Commitment or the Floorplan On-Line System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127</w:t>
        </w:r>
      </w:hyperlink>
    </w:p>
    <w:p>
      <w:pPr>
        <w:pStyle w:val="TextBody"/>
        <w:bidi w:val="0"/>
        <w:spacing w:lineRule="auto" w:line="288" w:before="0" w:after="120"/>
        <w:ind w:left="0" w:right="0" w:hanging="1800"/>
        <w:jc w:val="left"/>
        <w:rPr/>
      </w:pPr>
      <w:r>
        <w:rPr>
          <w:rFonts w:ascii="Times New Roman;sans-serif" w:hAnsi="Times New Roman;sans-serif"/>
          <w:b/>
          <w:color w:val="000000"/>
          <w:sz w:val="22"/>
        </w:rPr>
        <w:t>ARTICLE V. REPRESENTATIONS AND WARRANTIES    </w:t>
      </w:r>
      <w:hyperlink w:anchor="ic7d9eaa6f6dd44429ae02cc4d55fc0b4_50">
        <w:r>
          <w:rPr>
            <w:rStyle w:val="InternetLink"/>
            <w:rFonts w:ascii="Times New Roman;sans-serif" w:hAnsi="Times New Roman;sans-serif"/>
            <w:b/>
            <w:strike w:val="false"/>
            <w:dstrike w:val="false"/>
            <w:color w:val="000000"/>
            <w:sz w:val="22"/>
            <w:u w:val="none"/>
            <w:effect w:val="none"/>
          </w:rPr>
          <w:t>128</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5.01    Existence, Qualification and Power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128</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5.02    Authorization; No Contravention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128</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5.03    Governmental Authorization; Other Consents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128</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5.04    Binding Effect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128</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5.05    Financial Statements; No Material Adverse Effect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128</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5.06    Litigation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129</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5.07    No Default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129</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5.08    Ownership of Property; Liens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129</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5.09    Environmental Compliance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129</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5.10    Insurance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129</w:t>
        </w:r>
      </w:hyperlink>
    </w:p>
    <w:p>
      <w:pPr>
        <w:pStyle w:val="TextBody"/>
        <w:bidi w:val="0"/>
        <w:spacing w:before="0" w:after="0"/>
        <w:jc w:val="center"/>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TABLE OF CONTENTS</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(continued)    </w:t>
      </w:r>
    </w:p>
    <w:p>
      <w:pPr>
        <w:pStyle w:val="TextBody"/>
        <w:bidi w:val="0"/>
        <w:spacing w:lineRule="auto" w:line="288" w:before="0" w:after="12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Page</w:t>
      </w:r>
    </w:p>
    <w:p>
      <w:pPr>
        <w:pStyle w:val="TextBody"/>
        <w:bidi w:val="0"/>
        <w:spacing w:lineRule="auto" w:line="288" w:before="0" w:after="120"/>
        <w:ind w:left="0" w:right="0" w:hanging="1080"/>
        <w:jc w:val="left"/>
        <w:rPr/>
      </w:pPr>
      <w:r>
        <w:rPr>
          <w:rFonts w:ascii="Times New Roman;sans-serif" w:hAnsi="Times New Roman;sans-serif"/>
          <w:b w:val="false"/>
          <w:color w:val="000000"/>
          <w:sz w:val="22"/>
        </w:rPr>
        <w:t>5.11    Taxes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129</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5.12    ERISA Compliance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130</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5.13    Subsidiaries; Addresses; Equity Interests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130</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5.14    Margin Regulations; Investment Company Act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131</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5.15    Disclosure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131</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5.16    Compliance with Laws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131</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5.17    Intellectual Property; Licenses, Etc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131</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5.18    Location of Vehicles and Books and Records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132</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5.19    Franchise Agreements and Framework Agreements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132</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5.20    Engaged in Business of Vehicle Sales and Related Businesses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132</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5.21    Collateral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132</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5.22    Solvency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132</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5.23    Labor Matters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132</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5.24    Taxpayer Identification Number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132</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5.25    OFAC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133</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5.26    Anti-Corruption Laws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133</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5.27    Affected Financial Institutions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133</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5.28    Covered Entities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133</w:t>
        </w:r>
      </w:hyperlink>
    </w:p>
    <w:p>
      <w:pPr>
        <w:pStyle w:val="TextBody"/>
        <w:bidi w:val="0"/>
        <w:spacing w:lineRule="auto" w:line="288" w:before="0" w:after="120"/>
        <w:ind w:left="0" w:right="0" w:hanging="1800"/>
        <w:jc w:val="left"/>
        <w:rPr/>
      </w:pPr>
      <w:r>
        <w:rPr>
          <w:rFonts w:ascii="Times New Roman;sans-serif" w:hAnsi="Times New Roman;sans-serif"/>
          <w:b/>
          <w:color w:val="000000"/>
          <w:sz w:val="22"/>
        </w:rPr>
        <w:t>ARTICLE VI. AFFIRMATIVE COVENANTS    </w:t>
      </w:r>
      <w:hyperlink w:anchor="ic7d9eaa6f6dd44429ae02cc4d55fc0b4_50">
        <w:r>
          <w:rPr>
            <w:rStyle w:val="InternetLink"/>
            <w:rFonts w:ascii="Times New Roman;sans-serif" w:hAnsi="Times New Roman;sans-serif"/>
            <w:b/>
            <w:strike w:val="false"/>
            <w:dstrike w:val="false"/>
            <w:color w:val="000000"/>
            <w:sz w:val="22"/>
            <w:u w:val="none"/>
            <w:effect w:val="none"/>
          </w:rPr>
          <w:t>133</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6.01    Financial Statements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133</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6.02    Certificates; Other Information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135</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6.03    Notices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138</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6.04    Payment of Obligations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139</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6.05    Preservation of Existence, Etc.; Maintenance of Vehicle Title Documentation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139</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6.06    Maintenance of Properties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139</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6.07    Maintenance of Insurance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139</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6.08    Compliance with Laws and Material Contractual Obligations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140</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6.09    Books and Records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140</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6.10    Inspection Rights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140</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6.11    Use of Proceeds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140</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6.12    Floorplan Audits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141</w:t>
        </w:r>
      </w:hyperlink>
    </w:p>
    <w:p>
      <w:pPr>
        <w:pStyle w:val="TextBody"/>
        <w:bidi w:val="0"/>
        <w:spacing w:before="0" w:after="0"/>
        <w:jc w:val="center"/>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-iii-</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TABLE OF CONTENTS</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(continued)    </w:t>
      </w:r>
    </w:p>
    <w:p>
      <w:pPr>
        <w:pStyle w:val="TextBody"/>
        <w:bidi w:val="0"/>
        <w:spacing w:lineRule="auto" w:line="288" w:before="0" w:after="12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Page</w:t>
      </w:r>
    </w:p>
    <w:p>
      <w:pPr>
        <w:pStyle w:val="TextBody"/>
        <w:bidi w:val="0"/>
        <w:spacing w:lineRule="auto" w:line="288" w:before="0" w:after="120"/>
        <w:ind w:left="0" w:right="0" w:hanging="1080"/>
        <w:jc w:val="left"/>
        <w:rPr/>
      </w:pPr>
      <w:r>
        <w:rPr>
          <w:rFonts w:ascii="Times New Roman;sans-serif" w:hAnsi="Times New Roman;sans-serif"/>
          <w:b w:val="false"/>
          <w:color w:val="000000"/>
          <w:sz w:val="22"/>
        </w:rPr>
        <w:t>6.13    Location of Vehicles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141</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6.14    Additional Subsidiaries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142</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6.15    Further Assurances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142</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6.16    Landlord Waivers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143</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6.17    Demonstrator, Rental Vehicle or Other Mileaged New Vehicle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143</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6.18    Anti-Corruption Laws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143</w:t>
        </w:r>
      </w:hyperlink>
    </w:p>
    <w:p>
      <w:pPr>
        <w:pStyle w:val="TextBody"/>
        <w:bidi w:val="0"/>
        <w:spacing w:lineRule="auto" w:line="288" w:before="0" w:after="120"/>
        <w:ind w:left="0" w:right="0" w:hanging="1800"/>
        <w:jc w:val="left"/>
        <w:rPr/>
      </w:pPr>
      <w:r>
        <w:rPr>
          <w:rFonts w:ascii="Times New Roman;sans-serif" w:hAnsi="Times New Roman;sans-serif"/>
          <w:b/>
          <w:color w:val="000000"/>
          <w:sz w:val="22"/>
        </w:rPr>
        <w:t>ARTICLE VII. NEGATIVE COVENANTS    </w:t>
      </w:r>
      <w:hyperlink w:anchor="ic7d9eaa6f6dd44429ae02cc4d55fc0b4_50">
        <w:r>
          <w:rPr>
            <w:rStyle w:val="InternetLink"/>
            <w:rFonts w:ascii="Times New Roman;sans-serif" w:hAnsi="Times New Roman;sans-serif"/>
            <w:b/>
            <w:strike w:val="false"/>
            <w:dstrike w:val="false"/>
            <w:color w:val="000000"/>
            <w:sz w:val="22"/>
            <w:u w:val="none"/>
            <w:effect w:val="none"/>
          </w:rPr>
          <w:t>143</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7.01    Indebtedness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143</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7.02    Liens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145</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7.03    Consolidations and Mergers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147</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7.04    Disposition of Assets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147</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7.05    Investments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149</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7.06    Transactions with Affiliates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150</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7.07    Other Agreements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150</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7.08    Fiscal Year; Accounting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150</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7.09    Pension Plans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150</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7.10    Restricted Payments and Distributions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150</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7.11    Financial Covenants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152</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7.12    Change in Nature of Business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152</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7.13    Use of Proceeds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152</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7.14    Burdensome Agreements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152</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7.15    [Reserved]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153</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7.16    Prepayments, etc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153</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7.17    Excluded Collateral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153</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7.18    Perfection of Deposit Accounts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153</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7.19    Acquisitions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153</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7.20    Amendments of Organizational Documents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154</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7.21    Sanctions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154</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7.22    Anti-Corruption Laws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154</w:t>
        </w:r>
      </w:hyperlink>
    </w:p>
    <w:p>
      <w:pPr>
        <w:pStyle w:val="TextBody"/>
        <w:bidi w:val="0"/>
        <w:spacing w:lineRule="auto" w:line="288" w:before="0" w:after="120"/>
        <w:ind w:left="0" w:right="0" w:hanging="1800"/>
        <w:jc w:val="left"/>
        <w:rPr/>
      </w:pPr>
      <w:r>
        <w:rPr>
          <w:rFonts w:ascii="Times New Roman;sans-serif" w:hAnsi="Times New Roman;sans-serif"/>
          <w:b/>
          <w:color w:val="000000"/>
          <w:sz w:val="22"/>
        </w:rPr>
        <w:t>ARTICLE VIII. EVENTS OF DEFAULT AND REMEDIES    </w:t>
      </w:r>
      <w:hyperlink w:anchor="ic7d9eaa6f6dd44429ae02cc4d55fc0b4_50">
        <w:r>
          <w:rPr>
            <w:rStyle w:val="InternetLink"/>
            <w:rFonts w:ascii="Times New Roman;sans-serif" w:hAnsi="Times New Roman;sans-serif"/>
            <w:b/>
            <w:strike w:val="false"/>
            <w:dstrike w:val="false"/>
            <w:color w:val="000000"/>
            <w:sz w:val="22"/>
            <w:u w:val="none"/>
            <w:effect w:val="none"/>
          </w:rPr>
          <w:t>154</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8.01    Revolving/Used Vehicle Events of Default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154</w:t>
        </w:r>
      </w:hyperlink>
    </w:p>
    <w:p>
      <w:pPr>
        <w:pStyle w:val="TextBody"/>
        <w:bidi w:val="0"/>
        <w:spacing w:before="0" w:after="0"/>
        <w:jc w:val="center"/>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-iv-</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TABLE OF CONTENTS</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(continued)    </w:t>
      </w:r>
    </w:p>
    <w:p>
      <w:pPr>
        <w:pStyle w:val="TextBody"/>
        <w:bidi w:val="0"/>
        <w:spacing w:lineRule="auto" w:line="288" w:before="0" w:after="12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Page</w:t>
      </w:r>
    </w:p>
    <w:p>
      <w:pPr>
        <w:pStyle w:val="TextBody"/>
        <w:bidi w:val="0"/>
        <w:spacing w:lineRule="auto" w:line="288" w:before="0" w:after="120"/>
        <w:ind w:left="0" w:right="0" w:hanging="1080"/>
        <w:jc w:val="left"/>
        <w:rPr/>
      </w:pPr>
      <w:r>
        <w:rPr>
          <w:rFonts w:ascii="Times New Roman;sans-serif" w:hAnsi="Times New Roman;sans-serif"/>
          <w:b w:val="false"/>
          <w:color w:val="000000"/>
          <w:sz w:val="22"/>
        </w:rPr>
        <w:t>8.02    Remedies Upon Revolving/Used Vehicle Event of Default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157</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8.03    New Vehicle Events of Default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158</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8.04    Remedies Upon New Vehicle Event of Default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160</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8.05    Overdrawing of New Vehicle Floorplan Loans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162</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8.06    Application of Funds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162</w:t>
        </w:r>
      </w:hyperlink>
    </w:p>
    <w:p>
      <w:pPr>
        <w:pStyle w:val="TextBody"/>
        <w:bidi w:val="0"/>
        <w:spacing w:lineRule="auto" w:line="288" w:before="0" w:after="120"/>
        <w:ind w:left="0" w:right="0" w:hanging="1800"/>
        <w:jc w:val="left"/>
        <w:rPr/>
      </w:pPr>
      <w:r>
        <w:rPr>
          <w:rFonts w:ascii="Times New Roman;sans-serif" w:hAnsi="Times New Roman;sans-serif"/>
          <w:b/>
          <w:color w:val="000000"/>
          <w:sz w:val="22"/>
        </w:rPr>
        <w:t>ARTICLE IX. ADMINISTRATIVE AGENT    </w:t>
      </w:r>
      <w:hyperlink w:anchor="ic7d9eaa6f6dd44429ae02cc4d55fc0b4_50">
        <w:r>
          <w:rPr>
            <w:rStyle w:val="InternetLink"/>
            <w:rFonts w:ascii="Times New Roman;sans-serif" w:hAnsi="Times New Roman;sans-serif"/>
            <w:b/>
            <w:strike w:val="false"/>
            <w:dstrike w:val="false"/>
            <w:color w:val="000000"/>
            <w:sz w:val="22"/>
            <w:u w:val="none"/>
            <w:effect w:val="none"/>
          </w:rPr>
          <w:t>164</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9.01    Appointment and Authority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164</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9.02    Rights as a Lender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164</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9.03    Exculpatory Provisions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164</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9.04    Reliance by Administrative Agent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165</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9.05    Delegation of Duties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166</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9.06    Resignation of Administrative Agent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166</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9.07    Non-Reliance on the Administrative Agent, the Arranger and the Other Lenders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168</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9.08    No Other Duties, Etc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168</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9.09    Administrative Agent May File Proofs of Claim; Credit Bidding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168</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9.10    Collateral and Guaranty Matters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170</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9.11    Secured Cash Management Arrangements and Secured Hedge Agreements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171</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9.12    Certain ERISA Matters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171</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9.13    Recovery of Erroneous Payments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172</w:t>
        </w:r>
      </w:hyperlink>
    </w:p>
    <w:p>
      <w:pPr>
        <w:pStyle w:val="TextBody"/>
        <w:bidi w:val="0"/>
        <w:spacing w:lineRule="auto" w:line="288" w:before="0" w:after="120"/>
        <w:ind w:left="0" w:right="0" w:hanging="1800"/>
        <w:jc w:val="left"/>
        <w:rPr/>
      </w:pPr>
      <w:r>
        <w:rPr>
          <w:rFonts w:ascii="Times New Roman;sans-serif" w:hAnsi="Times New Roman;sans-serif"/>
          <w:b/>
          <w:color w:val="000000"/>
          <w:sz w:val="22"/>
        </w:rPr>
        <w:t>ARTICLE X. MISCELLANEOUS    </w:t>
      </w:r>
      <w:hyperlink w:anchor="ic7d9eaa6f6dd44429ae02cc4d55fc0b4_50">
        <w:r>
          <w:rPr>
            <w:rStyle w:val="InternetLink"/>
            <w:rFonts w:ascii="Times New Roman;sans-serif" w:hAnsi="Times New Roman;sans-serif"/>
            <w:b/>
            <w:strike w:val="false"/>
            <w:dstrike w:val="false"/>
            <w:color w:val="000000"/>
            <w:sz w:val="22"/>
            <w:u w:val="none"/>
            <w:effect w:val="none"/>
          </w:rPr>
          <w:t>172</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10.01    Amendments, Etc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172</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10.02    Notices; Effectiveness; Electronic Communication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174</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10.03    No Waiver; Cumulative Remedies; Enforcement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176</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10.04    Expenses; Indemnity; Damage Waiver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177</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10.05    Payments Set Aside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179</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10.06    Successors and Assigns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179</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10.07    Treatment of Certain Information; Confidentiality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185</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10.08    Right of Setoff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186</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10.09    Interest Rate Limitation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187</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10.10    Counterparts; Integration; Effectiveness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187</w:t>
        </w:r>
      </w:hyperlink>
    </w:p>
    <w:p>
      <w:pPr>
        <w:pStyle w:val="TextBody"/>
        <w:bidi w:val="0"/>
        <w:spacing w:before="0" w:after="0"/>
        <w:jc w:val="center"/>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-v-</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TABLE OF CONTENTS</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(continued)    </w:t>
      </w:r>
    </w:p>
    <w:p>
      <w:pPr>
        <w:pStyle w:val="TextBody"/>
        <w:bidi w:val="0"/>
        <w:spacing w:lineRule="auto" w:line="288" w:before="0" w:after="12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Page</w:t>
      </w:r>
    </w:p>
    <w:p>
      <w:pPr>
        <w:pStyle w:val="TextBody"/>
        <w:bidi w:val="0"/>
        <w:spacing w:lineRule="auto" w:line="288" w:before="0" w:after="120"/>
        <w:ind w:left="0" w:right="0" w:hanging="1080"/>
        <w:jc w:val="left"/>
        <w:rPr/>
      </w:pPr>
      <w:r>
        <w:rPr>
          <w:rFonts w:ascii="Times New Roman;sans-serif" w:hAnsi="Times New Roman;sans-serif"/>
          <w:b w:val="false"/>
          <w:color w:val="000000"/>
          <w:sz w:val="22"/>
        </w:rPr>
        <w:t>10.11    Survival of Representations and Warranties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187</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10.12    Severability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187</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10.13    Replacement of Lenders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188</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10.14    Governing Law; Jurisdiction; Etc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189</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10.15    Waiver of Jury Trial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189</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10.16    No Advisory or Fiduciary Responsibility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190</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10.17    Electronic Execution; Electronic Records; Counterparts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190</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10.18    USA PATRIOT Act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191</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10.19    Designated Senior Debt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192</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10.20    Keepwell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192</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10.21    Acknowledgement and Consent to Bail-In of Affected Financial Institutions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192</w:t>
        </w:r>
      </w:hyperlink>
    </w:p>
    <w:p>
      <w:pPr>
        <w:pStyle w:val="TextBody"/>
        <w:bidi w:val="0"/>
        <w:spacing w:lineRule="auto" w:line="288" w:before="0" w:after="120"/>
        <w:ind w:left="0" w:right="0" w:hanging="1080"/>
        <w:jc w:val="left"/>
        <w:rPr/>
      </w:pPr>
      <w:r>
        <w:rPr>
          <w:rFonts w:ascii="Times New Roman;sans-serif" w:hAnsi="Times New Roman;sans-serif"/>
          <w:b w:val="false"/>
          <w:color w:val="000000"/>
          <w:sz w:val="22"/>
        </w:rPr>
        <w:t>10.22    Acknowledgement Regarding Any Supported QFCs    </w:t>
      </w:r>
      <w:hyperlink w:anchor="ic7d9eaa6f6dd44429ae02cc4d55fc0b4_50">
        <w:r>
          <w:rPr>
            <w:rStyle w:val="InternetLink"/>
            <w:rFonts w:ascii="Times New Roman;sans-serif" w:hAnsi="Times New Roman;sans-serif"/>
            <w:b w:val="false"/>
            <w:strike w:val="false"/>
            <w:dstrike w:val="false"/>
            <w:color w:val="000000"/>
            <w:sz w:val="22"/>
            <w:u w:val="none"/>
            <w:effect w:val="none"/>
          </w:rPr>
          <w:t>192</w:t>
        </w:r>
      </w:hyperlink>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-vi-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-vi-</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color w:val="000000"/>
          <w:sz w:val="22"/>
          <w:u w:val="single"/>
        </w:rPr>
      </w:pPr>
      <w:r>
        <w:rPr>
          <w:rFonts w:ascii="Times New Roman;sans-serif" w:hAnsi="Times New Roman;sans-serif"/>
          <w:b/>
          <w:color w:val="000000"/>
          <w:sz w:val="22"/>
          <w:u w:val="single"/>
        </w:rPr>
        <w:t>SCHEDULES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Schedule 1.02(P)    Permitted Real Estate Debt</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Schedule 2.01    Commitments and Applicable Percentages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Schedule 2.03A    L/C Commitments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Schedule 2.03B    Existing Letters of Credit</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Schedule 4.01     Good Standing Jurisdictions and Foreign Qualifications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Schedule 5.06    Litigation</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Schedule 5.12(d)    Pension Plan Liability</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Schedule 5.13    Subsidiaries; Addresses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Schedule 5.18     Location of Vehicles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Schedule 5.19    Franchise and Framework Agreements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Schedule 7.01(b)    Existing Indebtedness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Schedule 7.02    Permitted Liens</w:t>
      </w:r>
    </w:p>
    <w:p>
      <w:pPr>
        <w:pStyle w:val="TextBody"/>
        <w:bidi w:val="0"/>
        <w:spacing w:lineRule="auto" w:line="288" w:before="0" w:after="720"/>
        <w:jc w:val="both"/>
        <w:rPr>
          <w:rFonts w:ascii="Times New Roman;sans-serif" w:hAnsi="Times New Roman;sans-serif"/>
          <w:b w:val="false"/>
          <w:color w:val="000000"/>
          <w:sz w:val="22"/>
        </w:rPr>
      </w:pPr>
      <w:r>
        <w:rPr>
          <w:rFonts w:ascii="Times New Roman;sans-serif" w:hAnsi="Times New Roman;sans-serif"/>
          <w:b w:val="false"/>
          <w:color w:val="000000"/>
          <w:sz w:val="22"/>
        </w:rPr>
        <w:t>Schedule 10.02    Administrative Agent’s Office; Certain Addresses for Notices</w:t>
      </w:r>
    </w:p>
    <w:p>
      <w:pPr>
        <w:pStyle w:val="TextBody"/>
        <w:bidi w:val="0"/>
        <w:spacing w:lineRule="auto" w:line="288" w:before="0" w:after="240"/>
        <w:jc w:val="both"/>
        <w:rPr/>
      </w:pPr>
      <w:r>
        <w:rPr>
          <w:rFonts w:ascii="Times New Roman;sans-serif" w:hAnsi="Times New Roman;sans-serif"/>
          <w:b/>
          <w:color w:val="000000"/>
          <w:sz w:val="22"/>
          <w:u w:val="single"/>
        </w:rPr>
        <w:t>EXHIBITS</w:t>
      </w:r>
      <w:r>
        <w:rPr>
          <w:color w:val="000000"/>
        </w:rPr>
        <w:t>    </w:t>
      </w:r>
      <w:r>
        <w:rPr>
          <w:rFonts w:ascii="Times New Roman;sans-serif" w:hAnsi="Times New Roman;sans-serif"/>
          <w:b w:val="false"/>
          <w:i/>
          <w:color w:val="000000"/>
          <w:sz w:val="22"/>
        </w:rPr>
        <w:t>Form of</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Exhibit A-1    New Vehicle Floorplan Committed Loan Notice</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Exhibit A-2    Revolving Committed Loan Notice</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Exhibit A-3    Used Vehicle Floorplan Committed Loan Notice</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Exhibit B-1    New Vehicle Floorplan Swing Line Loan Notice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Exhibit B-2    Revolving Swing Line Loan Notice</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Exhibit B-3    Used Vehicle Floorplan Swing Line Loan Notice</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Exhibit C-1    Revolving Note</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Exhibit C-2    New Vehicle Floorplan Note</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Exhibit C-3    Used Vehicle Floorplan Note</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Exhibit D    Assignment and Assumption</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Exhibit E    Company Guaranty</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Exhibit F    Subsidiary Guaranty</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Exhibit G    Compliance Certificate</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Exhibit H    Joinder Agreement</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Exhibit I     Escrow and Security Agreement</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Exhibit J-1    Revolving Borrowing Base Certificate</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Exhibit J-2    Used Vehicle Floorplan Borrowing Base Certificate</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Exhibit K    Security Agreement</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Exhibit L    Opinion Matters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Exhibit M    Prepayment Test Amount Certificate</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Exhibit N    Pledge Agreement</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Exhibit O    U.S. Tax Compliance Certificates</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Exhibit P    Conversion Notice</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Exhibit Q    Reserved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Exhibit R    Notice of Loan Prepayment</w:t>
      </w:r>
    </w:p>
    <w:p>
      <w:pPr>
        <w:pStyle w:val="TextBody"/>
        <w:bidi w:val="0"/>
        <w:spacing w:before="0" w:after="0"/>
        <w:jc w:val="both"/>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367665"/>
                <wp:effectExtent l="0" t="0" r="0" b="0"/>
                <wp:wrapNone/>
                <wp:docPr id="173" name="Frame16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-vii-</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-vii-</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FOURTH AMENDED AND RESTATED</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CREDIT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This FOURTH AMENDED AND RESTATED CREDIT AGREEMENT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is entered into as of October 20, 2023, among ASBURY AUTOMOTIVE GROUP, INC., a Delaware corporation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xml:space="preserve">), certain Subsidiaries of the Company party hereto as New Vehicle Borrowers pursuant to </w:t>
      </w:r>
      <w:r>
        <w:rPr>
          <w:rFonts w:ascii="Times New Roman;sans-serif" w:hAnsi="Times New Roman;sans-serif"/>
          <w:b w:val="false"/>
          <w:color w:val="000000"/>
          <w:sz w:val="22"/>
          <w:u w:val="single"/>
        </w:rPr>
        <w:t>Section 2.24</w:t>
      </w:r>
      <w:r>
        <w:rPr>
          <w:color w:val="000000"/>
        </w:rPr>
        <w:t xml:space="preserve"> </w:t>
      </w:r>
      <w:r>
        <w:rPr>
          <w:rFonts w:ascii="Times New Roman;sans-serif" w:hAnsi="Times New Roman;sans-serif"/>
          <w:b w:val="false"/>
          <w:color w:val="000000"/>
          <w:sz w:val="22"/>
        </w:rPr>
        <w:t>(each a “</w:t>
      </w:r>
      <w:r>
        <w:rPr>
          <w:rFonts w:ascii="Times New Roman;sans-serif" w:hAnsi="Times New Roman;sans-serif"/>
          <w:b w:val="false"/>
          <w:color w:val="000000"/>
          <w:sz w:val="22"/>
          <w:u w:val="single"/>
        </w:rPr>
        <w:t>New Vehicle Borrower</w:t>
      </w:r>
      <w:r>
        <w:rPr>
          <w:color w:val="000000"/>
        </w:rPr>
        <w:t xml:space="preserve">” </w:t>
      </w:r>
      <w:r>
        <w:rPr>
          <w:rFonts w:ascii="Times New Roman;sans-serif" w:hAnsi="Times New Roman;sans-serif"/>
          <w:b w:val="false"/>
          <w:color w:val="000000"/>
          <w:sz w:val="22"/>
        </w:rPr>
        <w:t>and collectively with the Used Vehicle Borrowers (defined below), the “</w:t>
      </w:r>
      <w:r>
        <w:rPr>
          <w:rFonts w:ascii="Times New Roman;sans-serif" w:hAnsi="Times New Roman;sans-serif"/>
          <w:b w:val="false"/>
          <w:color w:val="000000"/>
          <w:sz w:val="22"/>
          <w:u w:val="single"/>
        </w:rPr>
        <w:t>Vehicle Borrowers</w:t>
      </w:r>
      <w:r>
        <w:rPr>
          <w:color w:val="000000"/>
        </w:rPr>
        <w:t>”</w:t>
      </w:r>
      <w:r>
        <w:rPr>
          <w:rFonts w:ascii="Times New Roman;sans-serif" w:hAnsi="Times New Roman;sans-serif"/>
          <w:b w:val="false"/>
          <w:color w:val="000000"/>
          <w:sz w:val="22"/>
        </w:rPr>
        <w:t xml:space="preserve">), certain Subsidiaries of the Company party hereto as Used Vehicle Borrowers pursuant to </w:t>
      </w:r>
      <w:r>
        <w:rPr>
          <w:rFonts w:ascii="Times New Roman;sans-serif" w:hAnsi="Times New Roman;sans-serif"/>
          <w:b w:val="false"/>
          <w:color w:val="000000"/>
          <w:sz w:val="22"/>
          <w:u w:val="single"/>
        </w:rPr>
        <w:t>Section 2.25</w:t>
      </w:r>
      <w:r>
        <w:rPr>
          <w:color w:val="000000"/>
        </w:rPr>
        <w:t xml:space="preserve"> </w:t>
      </w:r>
      <w:r>
        <w:rPr>
          <w:rFonts w:ascii="Times New Roman;sans-serif" w:hAnsi="Times New Roman;sans-serif"/>
          <w:b w:val="false"/>
          <w:color w:val="000000"/>
          <w:sz w:val="22"/>
        </w:rPr>
        <w:t>(each a “</w:t>
      </w:r>
      <w:r>
        <w:rPr>
          <w:rFonts w:ascii="Times New Roman;sans-serif" w:hAnsi="Times New Roman;sans-serif"/>
          <w:b w:val="false"/>
          <w:color w:val="000000"/>
          <w:sz w:val="22"/>
          <w:u w:val="single"/>
        </w:rPr>
        <w:t>Used Vehicle Borrower</w:t>
      </w:r>
      <w:r>
        <w:rPr>
          <w:color w:val="000000"/>
        </w:rPr>
        <w:t>”</w:t>
      </w:r>
      <w:r>
        <w:rPr>
          <w:rFonts w:ascii="Times New Roman;sans-serif" w:hAnsi="Times New Roman;sans-serif"/>
          <w:b w:val="false"/>
          <w:color w:val="000000"/>
          <w:sz w:val="22"/>
        </w:rPr>
        <w:t>, and collectively with the Company, the “</w:t>
      </w:r>
      <w:r>
        <w:rPr>
          <w:rFonts w:ascii="Times New Roman;sans-serif" w:hAnsi="Times New Roman;sans-serif"/>
          <w:b w:val="false"/>
          <w:color w:val="000000"/>
          <w:sz w:val="22"/>
          <w:u w:val="single"/>
        </w:rPr>
        <w:t>Used Vehicle Borrowers</w:t>
      </w:r>
      <w:r>
        <w:rPr>
          <w:color w:val="000000"/>
        </w:rPr>
        <w:t>”</w:t>
      </w:r>
      <w:r>
        <w:rPr>
          <w:rFonts w:ascii="Times New Roman;sans-serif" w:hAnsi="Times New Roman;sans-serif"/>
          <w:b w:val="false"/>
          <w:color w:val="000000"/>
          <w:sz w:val="22"/>
        </w:rPr>
        <w:t>), each lender from time to time party hereto (collectively, the “</w:t>
      </w:r>
      <w:r>
        <w:rPr>
          <w:rFonts w:ascii="Times New Roman;sans-serif" w:hAnsi="Times New Roman;sans-serif"/>
          <w:b w:val="false"/>
          <w:color w:val="000000"/>
          <w:sz w:val="22"/>
          <w:u w:val="single"/>
        </w:rPr>
        <w:t>Lenders</w:t>
      </w:r>
      <w:r>
        <w:rPr>
          <w:color w:val="000000"/>
        </w:rPr>
        <w:t xml:space="preserve">” </w:t>
      </w:r>
      <w:r>
        <w:rPr>
          <w:rFonts w:ascii="Times New Roman;sans-serif" w:hAnsi="Times New Roman;sans-serif"/>
          <w:b w:val="false"/>
          <w:color w:val="000000"/>
          <w:sz w:val="22"/>
        </w:rPr>
        <w:t>and individually, a “</w:t>
      </w:r>
      <w:r>
        <w:rPr>
          <w:rFonts w:ascii="Times New Roman;sans-serif" w:hAnsi="Times New Roman;sans-serif"/>
          <w:b w:val="false"/>
          <w:color w:val="000000"/>
          <w:sz w:val="22"/>
          <w:u w:val="single"/>
        </w:rPr>
        <w:t>Lender</w:t>
      </w:r>
      <w:r>
        <w:rPr>
          <w:color w:val="000000"/>
        </w:rPr>
        <w:t>”</w:t>
      </w:r>
      <w:r>
        <w:rPr>
          <w:rFonts w:ascii="Times New Roman;sans-serif" w:hAnsi="Times New Roman;sans-serif"/>
          <w:b w:val="false"/>
          <w:color w:val="000000"/>
          <w:sz w:val="22"/>
        </w:rPr>
        <w:t>), and BANK OF AMERICA, N.A., as Administrative Agent, Revolving Swing Line Lender, New Vehicle Floorplan Swing Line Lender, Used Vehicle Floorplan Swing Line Lender and an L/C Issuer. The Vehicle Borrowers and the Company in its capacity as Borrower under the Revolving Credit Facility, are referred to collectively as the “</w:t>
      </w:r>
      <w:r>
        <w:rPr>
          <w:rFonts w:ascii="Times New Roman;sans-serif" w:hAnsi="Times New Roman;sans-serif"/>
          <w:b w:val="false"/>
          <w:color w:val="000000"/>
          <w:sz w:val="22"/>
          <w:u w:val="single"/>
        </w:rPr>
        <w:t>Borrowers</w:t>
      </w:r>
      <w:r>
        <w:rPr>
          <w:color w:val="000000"/>
        </w:rPr>
        <w:t xml:space="preserve">” </w:t>
      </w:r>
      <w:r>
        <w:rPr>
          <w:rFonts w:ascii="Times New Roman;sans-serif" w:hAnsi="Times New Roman;sans-serif"/>
          <w:b w:val="false"/>
          <w:color w:val="000000"/>
          <w:sz w:val="22"/>
        </w:rPr>
        <w:t>and individually as a “</w:t>
      </w:r>
      <w:r>
        <w:rPr>
          <w:rFonts w:ascii="Times New Roman;sans-serif" w:hAnsi="Times New Roman;sans-serif"/>
          <w:b w:val="false"/>
          <w:color w:val="000000"/>
          <w:sz w:val="22"/>
          <w:u w:val="single"/>
        </w:rPr>
        <w:t>Borrower</w:t>
      </w:r>
      <w:r>
        <w:rPr>
          <w:color w:val="000000"/>
        </w:rPr>
        <w:t>”</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The Company, certain of the Vehicle Borrowers party thereto (the “</w:t>
      </w:r>
      <w:r>
        <w:rPr>
          <w:rFonts w:ascii="Times New Roman;sans-serif" w:hAnsi="Times New Roman;sans-serif"/>
          <w:b w:val="false"/>
          <w:color w:val="000000"/>
          <w:sz w:val="22"/>
          <w:u w:val="single"/>
        </w:rPr>
        <w:t>Existing Vehicle Borrowers</w:t>
      </w:r>
      <w:r>
        <w:rPr>
          <w:color w:val="000000"/>
        </w:rPr>
        <w:t>”</w:t>
      </w:r>
      <w:r>
        <w:rPr>
          <w:rFonts w:ascii="Times New Roman;sans-serif" w:hAnsi="Times New Roman;sans-serif"/>
          <w:b w:val="false"/>
          <w:color w:val="000000"/>
          <w:sz w:val="22"/>
        </w:rPr>
        <w:t>, and collectively with the Company, the “</w:t>
      </w:r>
      <w:r>
        <w:rPr>
          <w:rFonts w:ascii="Times New Roman;sans-serif" w:hAnsi="Times New Roman;sans-serif"/>
          <w:b w:val="false"/>
          <w:color w:val="000000"/>
          <w:sz w:val="22"/>
          <w:u w:val="single"/>
        </w:rPr>
        <w:t>Existing Borrowers</w:t>
      </w:r>
      <w:r>
        <w:rPr>
          <w:color w:val="000000"/>
        </w:rPr>
        <w:t>”</w:t>
      </w:r>
      <w:r>
        <w:rPr>
          <w:rFonts w:ascii="Times New Roman;sans-serif" w:hAnsi="Times New Roman;sans-serif"/>
          <w:b w:val="false"/>
          <w:color w:val="000000"/>
          <w:sz w:val="22"/>
        </w:rPr>
        <w:t>), the Administrative Agent and the Lenders party thereto entered into that certain Third Amended and Restated Credit Agreement dated as of September 25, 2019 (as amended, supplemented or otherwise modified from time to time prior to the date hereof, the “</w:t>
      </w:r>
      <w:r>
        <w:rPr>
          <w:rFonts w:ascii="Times New Roman;sans-serif" w:hAnsi="Times New Roman;sans-serif"/>
          <w:b w:val="false"/>
          <w:color w:val="000000"/>
          <w:sz w:val="22"/>
          <w:u w:val="single"/>
        </w:rPr>
        <w:t>Existing Credit Agreement</w:t>
      </w:r>
      <w:r>
        <w:rPr>
          <w:color w:val="000000"/>
        </w:rPr>
        <w:t>”</w:t>
      </w:r>
      <w:r>
        <w:rPr>
          <w:rFonts w:ascii="Times New Roman;sans-serif" w:hAnsi="Times New Roman;sans-serif"/>
          <w:b w:val="false"/>
          <w:color w:val="000000"/>
          <w:sz w:val="22"/>
        </w:rPr>
        <w:t xml:space="preserve">), pursuant to which such Lenders provided the Existing Borrowers with a revolving credit facility, a revolving new vehicle floorplan facility and a revolving used vehicle floorplan facility.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has requested that the Lenders amend and restate the Existing Credit Agreement in order to continue to provide a revolving credit facility, a revolving new vehicle floorplan facility and a revolving used vehicle floorplan facility, and the Lenders are willing to do so on the terms and conditions set forth herein.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 consideration of the mutual covenants and agreements herein contained, the parties hereto covenant and agree as follows: </w:t>
      </w:r>
    </w:p>
    <w:p>
      <w:pPr>
        <w:pStyle w:val="TextBody"/>
        <w:bidi w:val="0"/>
        <w:spacing w:lineRule="auto" w:line="240" w:before="0" w:after="240"/>
        <w:jc w:val="center"/>
        <w:rPr/>
      </w:pPr>
      <w:r>
        <w:rPr>
          <w:rFonts w:ascii="Times New Roman;sans-serif" w:hAnsi="Times New Roman;sans-serif"/>
          <w:b/>
          <w:color w:val="000000"/>
          <w:sz w:val="22"/>
        </w:rPr>
        <w:t>ARTICLE I.</w:t>
      </w:r>
      <w:r>
        <w:rPr>
          <w:color w:val="000000"/>
        </w:rPr>
        <w:t xml:space="preserve"> </w:t>
      </w:r>
      <w:r>
        <w:rPr>
          <w:rFonts w:ascii="Times New Roman;sans-serif" w:hAnsi="Times New Roman;sans-serif"/>
          <w:b/>
          <w:color w:val="000000"/>
          <w:sz w:val="22"/>
        </w:rPr>
        <w:t>DEFINITIONS AND ACCOUNTING TERMS</w:t>
      </w:r>
    </w:p>
    <w:p>
      <w:pPr>
        <w:pStyle w:val="TextBody"/>
        <w:bidi w:val="0"/>
        <w:spacing w:lineRule="auto" w:line="240" w:before="0" w:after="240"/>
        <w:ind w:left="0" w:right="0" w:hanging="720"/>
        <w:jc w:val="both"/>
        <w:rPr/>
      </w:pPr>
      <w:r>
        <w:rPr>
          <w:rFonts w:ascii="Times New Roman;sans-serif" w:hAnsi="Times New Roman;sans-serif"/>
          <w:b/>
          <w:color w:val="000000"/>
          <w:sz w:val="22"/>
        </w:rPr>
        <w:t>1.01Assignments and Allocations; Amendment and Restatement</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Simultaneously with the Closing Date, the parties hereby agree that (i) the initial Revolving Commitments are $500,000,000, the initial Revolving Commitment of each of the Revolving Lenders hereunder shall be as set forth in </w:t>
      </w:r>
      <w:r>
        <w:rPr>
          <w:rFonts w:ascii="Times New Roman;sans-serif" w:hAnsi="Times New Roman;sans-serif"/>
          <w:b w:val="false"/>
          <w:color w:val="000000"/>
          <w:sz w:val="22"/>
          <w:u w:val="single"/>
        </w:rPr>
        <w:t>Schedule 2.01</w:t>
      </w:r>
      <w:r>
        <w:rPr>
          <w:rFonts w:ascii="Times New Roman;sans-serif" w:hAnsi="Times New Roman;sans-serif"/>
          <w:b w:val="false"/>
          <w:color w:val="000000"/>
          <w:sz w:val="22"/>
        </w:rPr>
        <w:t>, the outstanding amount of the Revolving Loans (as defined in and</w:t>
      </w:r>
      <w:r>
        <w:rPr>
          <w:color w:val="000000"/>
        </w:rPr>
        <w:t xml:space="preserve"> </w:t>
      </w:r>
      <w:r>
        <w:rPr>
          <w:rFonts w:ascii="Times New Roman;sans-serif" w:hAnsi="Times New Roman;sans-serif"/>
          <w:b w:val="false"/>
          <w:color w:val="000000"/>
          <w:sz w:val="22"/>
        </w:rPr>
        <w:t>under the Existing Credit Agreement, without giving effect to any Revolving Borrowings of Revolving Loans under this Agreement on the Closing Date, but after giving effect to any repayment or reduction thereof with the proceeds of any applicable sources) shall be reallocated in accordance with such Revolving Commitments and the requisite assignments shall be deemed to be made in such amounts by and between the Revolving Lenders and from each Revolving Lender</w:t>
      </w:r>
      <w:r>
        <w:rPr>
          <w:color w:val="000000"/>
        </w:rPr>
        <w:t xml:space="preserve"> </w:t>
      </w:r>
      <w:r>
        <w:rPr>
          <w:rFonts w:ascii="Times New Roman;sans-serif" w:hAnsi="Times New Roman;sans-serif"/>
          <w:b w:val="false"/>
          <w:color w:val="000000"/>
          <w:sz w:val="22"/>
        </w:rPr>
        <w:t xml:space="preserve">to each other Revolving Lender (including from Revolving Lenders who increase or reduce their Revolving Commitments in connection with this Agreement), with the same force and effect as if such assignments were evidenced by applicable Assignments and Assumptions (as defined in the Existing Credit Agreement) under the Existing Credit Agreement but without the payment of any related assignment fee, and no other documents or instruments, shall be, or shall be required to be, executed in connection with such assignments (all of which requirements are hereby waived) (ii) the initial New Vehicle Floorplan Commitments are $1,925,000,000, the initial New Vehicle Floorplan Commitment of each of the New Vehicle Floorplan Lenders hereunder shall be as set forth in </w:t>
      </w:r>
      <w:r>
        <w:rPr>
          <w:rFonts w:ascii="Times New Roman;sans-serif" w:hAnsi="Times New Roman;sans-serif"/>
          <w:b w:val="false"/>
          <w:color w:val="000000"/>
          <w:sz w:val="22"/>
          <w:u w:val="single"/>
        </w:rPr>
        <w:t>Schedule 2.01</w:t>
      </w:r>
      <w:r>
        <w:rPr>
          <w:rFonts w:ascii="Times New Roman;sans-serif" w:hAnsi="Times New Roman;sans-serif"/>
          <w:b w:val="false"/>
          <w:color w:val="000000"/>
          <w:sz w:val="22"/>
        </w:rPr>
        <w:t xml:space="preserve">, the outstanding amount of the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New Vehicle Floorplan Loans (as defined in and</w:t>
      </w:r>
      <w:r>
        <w:rPr>
          <w:color w:val="000000"/>
        </w:rPr>
        <w:t xml:space="preserve"> </w:t>
      </w:r>
      <w:r>
        <w:rPr>
          <w:rFonts w:ascii="Times New Roman;sans-serif" w:hAnsi="Times New Roman;sans-serif"/>
          <w:b w:val="false"/>
          <w:color w:val="000000"/>
          <w:sz w:val="22"/>
        </w:rPr>
        <w:t>under the Existing Credit Agreement, without giving effect to any New Vehicle Floorplan Borrowings of New Vehicle Floorplan Loans under this Agreement on the Closing Date, but after giving effect to any repayment or reduction thereof with the proceeds of any applicable sources) shall be reallocated in accordance with such New Vehicle Floorplan Commitments and the requisite assignments shall be deemed to be made in such amounts by and between the New Vehicle Floorplan Lenders and from each New Vehicle Floorplan Lender</w:t>
      </w:r>
      <w:r>
        <w:rPr>
          <w:color w:val="000000"/>
        </w:rPr>
        <w:t xml:space="preserve"> </w:t>
      </w:r>
      <w:r>
        <w:rPr>
          <w:rFonts w:ascii="Times New Roman;sans-serif" w:hAnsi="Times New Roman;sans-serif"/>
          <w:b w:val="false"/>
          <w:color w:val="000000"/>
          <w:sz w:val="22"/>
        </w:rPr>
        <w:t xml:space="preserve">to each other New Vehicle Floorplan Lender (including from New Vehicle Floorplan Lenders who increase or reduce their New Vehicle Floorplan Commitments in connection with this Agreement), with the same force and effect as if such assignments were evidenced by applicable Assignments and Assumptions (as defined in the Existing Credit Agreement) under the Existing Credit Agreement but without the payment of any related assignment fee, and no other documents or instruments, shall be, or shall be required to be, executed in connection with such assignments (all of which requirements are hereby waived), (iii) the initial Used Vehicle Floorplan Commitments are $375,000,000, the initial Used Vehicle Floorplan Commitment of each of the Used Vehicle Floorplan Lenders hereunder shall be as set forth in </w:t>
      </w:r>
      <w:r>
        <w:rPr>
          <w:rFonts w:ascii="Times New Roman;sans-serif" w:hAnsi="Times New Roman;sans-serif"/>
          <w:b w:val="false"/>
          <w:color w:val="000000"/>
          <w:sz w:val="22"/>
          <w:u w:val="single"/>
        </w:rPr>
        <w:t>Schedule 2.01</w:t>
      </w:r>
      <w:r>
        <w:rPr>
          <w:rFonts w:ascii="Times New Roman;sans-serif" w:hAnsi="Times New Roman;sans-serif"/>
          <w:b w:val="false"/>
          <w:color w:val="000000"/>
          <w:sz w:val="22"/>
        </w:rPr>
        <w:t>, the outstanding amount of the Used Vehicle Floorplan Loans (as defined in and</w:t>
      </w:r>
      <w:r>
        <w:rPr>
          <w:color w:val="000000"/>
        </w:rPr>
        <w:t xml:space="preserve"> </w:t>
      </w:r>
      <w:r>
        <w:rPr>
          <w:rFonts w:ascii="Times New Roman;sans-serif" w:hAnsi="Times New Roman;sans-serif"/>
          <w:b w:val="false"/>
          <w:color w:val="000000"/>
          <w:sz w:val="22"/>
        </w:rPr>
        <w:t>under the Existing Credit Agreement, without giving effect to any Used Vehicle Floorplan Borrowings of Used Vehicle Floorplan Loans under this Agreement on the Closing Date, but after giving effect to any repayment or reduction thereof with the proceeds of any applicable sources) shall be reallocated in accordance with such Used Vehicle Floorplan Commitments and the requisite assignments shall be deemed to be made in such amounts by and between the Used Vehicle Floorplan Lenders and from each Used Vehicle Floorplan Lender</w:t>
      </w:r>
      <w:r>
        <w:rPr>
          <w:color w:val="000000"/>
        </w:rPr>
        <w:t xml:space="preserve"> </w:t>
      </w:r>
      <w:r>
        <w:rPr>
          <w:rFonts w:ascii="Times New Roman;sans-serif" w:hAnsi="Times New Roman;sans-serif"/>
          <w:b w:val="false"/>
          <w:color w:val="000000"/>
          <w:sz w:val="22"/>
        </w:rPr>
        <w:t>to each other Used Vehicle Floorplan Lender (including from Used Vehicle Floorplan Lenders who increase or reduce their Used Vehicle Floorplan Commitments in connection with this Agreement), with the same force and effect as if such assignments were evidenced by applicable Assignments and Assumptions (as defined in the Existing Credit Agreement) under the Existing Credit Agreement but without the payment of any related assignment fee, and no other documents or instruments, shall be, or shall be required to be, executed in connection with such assignments (all of which requirements are hereby waived), (iv) the Revolving Swing Line (as defined under the Existing Credit Agreement) shall continue as the revolving swing line subfacility hereunder, with the Revolving Swing Line Sublimit set out herein, and the Revolving Swing Line Loans (as defined in the Existing Credit Agreement), if any, shall continue as and deemed to be Revolving Swing Line Borrowings hereunder (v) the New Vehicle Floorplan Swing Line (as defined under the Existing Credit Agreement) shall continue as the new vehicle swing line subfacility hereunder, with the New Vehicle Floorplan Swing Line Sublimit set out herein, and the New Vehicle Floorplan Swing Line Loans (as defined in the Existing Credit Agreement), if any, shall continue as and deemed to be New Vehicle Floorplan Swing Line Borrowings hereunder and (vi) the Used Vehicle Floorplan Swing Line (as defined under the Existing Credit Agreement) shall continue as the used vehicle swing line subfacility hereunder, with the Used Vehicle Floorplan Swing Line Sublimit set out herein, and the Used Vehicle Floorplan Swing Line Loans (as defined in the Existing Credit Agreement), if any, shall continue as and deemed to be Used Vehicle Floorplan Swing Line Borrowings hereunder.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On the Closing Date, the applicable Lenders shall make full cash settlement with one another and with any lender under the Existing Credit Agreement that may not be a Lender under this Agreement, in each case through the Administrative Agent, as the Administrative Agent may direct or approve, with respect to all assignments, reallocations and other changes in Commitments, such that after giving effect to such settlements, each Lender’s Applicable Percentage of the Aggregate Commitments equals (with customary rounding) its Applicable Percentage of the Outstanding Amount of all Loans. The Borrowers represent that as of the date hereof there are no Obligations arising under any Secured Cash Management Agreement or any Secured Hedge Agreement owing to any Lender (each capitalized term used previously in this sentence as defined in the Existing Credit Agreement) which does not continue as a “Lender” hereunder after giving effect to this Agreement.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The Borrowers, each Guarantor, the Administrative Agent and the Lenders hereby agree that upon the effectiveness of this Agreement, the terms and provisions of the Existing Credit Agreement that in any manner govern or evidence the Obligations, the rights and interests of the Administrative Agent and the Lenders, in any of their respective capacities, and any terms, conditions or matters related to any thereof, shall be and hereby are amended and restated in their entirety by the terms, conditions and provisions of this Agreement, and the terms and provisions of the Existing Credit Agreement, except as otherwise expressly provided herein, shall be superseded by this Agreement.</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367665"/>
                <wp:effectExtent l="0" t="0" r="0" b="0"/>
                <wp:wrapNone/>
                <wp:docPr id="175" name="Frame17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Notwithstanding this amendment and restatement of the Existing Credit Agreement, including anything in this </w:t>
      </w:r>
      <w:r>
        <w:rPr>
          <w:rFonts w:ascii="Times New Roman;sans-serif" w:hAnsi="Times New Roman;sans-serif"/>
          <w:b w:val="false"/>
          <w:color w:val="000000"/>
          <w:sz w:val="22"/>
          <w:u w:val="single"/>
        </w:rPr>
        <w:t>Section 1.01</w:t>
      </w:r>
      <w:r>
        <w:rPr>
          <w:rFonts w:ascii="Times New Roman;sans-serif" w:hAnsi="Times New Roman;sans-serif"/>
          <w:b w:val="false"/>
          <w:color w:val="000000"/>
          <w:sz w:val="22"/>
        </w:rPr>
        <w:t>, and certain of the related “Loan Documents” as defined in the Existing Credit Agreement (the “</w:t>
      </w:r>
      <w:r>
        <w:rPr>
          <w:rFonts w:ascii="Times New Roman;sans-serif" w:hAnsi="Times New Roman;sans-serif"/>
          <w:b w:val="false"/>
          <w:color w:val="000000"/>
          <w:sz w:val="22"/>
          <w:u w:val="single"/>
        </w:rPr>
        <w:t>Prior Loan Documents</w:t>
      </w:r>
      <w:r>
        <w:rPr>
          <w:color w:val="000000"/>
        </w:rPr>
        <w:t>”</w:t>
      </w:r>
      <w:r>
        <w:rPr>
          <w:rFonts w:ascii="Times New Roman;sans-serif" w:hAnsi="Times New Roman;sans-serif"/>
          <w:b w:val="false"/>
          <w:color w:val="000000"/>
          <w:sz w:val="22"/>
        </w:rPr>
        <w:t xml:space="preserve">), (i) after giving effect to any repayments, commitment reductions and commitment terminations on the date hereof, all of the indebtedness, liabilities and obligations owing by any Borrower (as defined in the Existing Credit Agreement) under the Existing Credit Agreement and other Prior Loan Documents shall continue as Obligations hereunder, as amended, supplemented or otherwise modified by the terms of this Agreement, (ii) each of this Agreement and the Notes and the other Loan Documents is given as a substitution or supplement of, as the case may be, and not as a payment of, the indebtedness, liabilities and obligations of the Borrowers (as defined in the Existing Credit Agreement) and the Guarantors (as defined in the Existing Credit Agreement) under the Existing Credit Agreement or any Prior Loan Document and is not intended to constitute a novation thereof or of any of the other Prior Loan Documents, and (iii) certain of the Prior Loan Documents will remain in full force and effect, as set forth in such Prior Loan Document. Upon the effectiveness of this Agreement, all Loans (as defined in the Existing Credit Agreement) owing by any Borrower (as defined in the Existing Credit Agreement) and outstanding under the Existing Credit Agreement shall continue as Loans hereunder subject to the terms hereof; and all Letters of Credit (as defined in the Existing Credit Agreement) outstanding under the Existing Credit Agreement shall continue as Letters of Credit hereunder subject to the terms hereof. Loans which are Base Rate Loans, each as defined and outstanding under the Existing Credit Agreement on the Closing Date, shall continue to accrue interest at the Base Rate hereunder, and Loans which are Daily Simple SOFR Loans, each as defined and outstanding under the Existing Credit Agreement on the Closing Date, shall continue to accrue interest at Daily Simple SOFR hereunder;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on and after the Closing Date, the margin applicable to any Loan hereunder shall be as set forth in the definition of Applicable Rate below, without regard to any margin applicable thereto under the Existing Credit Agreement prior to the Closing Date. </w:t>
      </w:r>
    </w:p>
    <w:p>
      <w:pPr>
        <w:pStyle w:val="TextBody"/>
        <w:bidi w:val="0"/>
        <w:spacing w:lineRule="auto" w:line="240" w:before="0" w:after="240"/>
        <w:ind w:left="0" w:right="0" w:firstLine="720"/>
        <w:jc w:val="both"/>
        <w:rPr/>
      </w:pPr>
      <w:r>
        <w:rPr>
          <w:rFonts w:ascii="Times New Roman;sans-serif" w:hAnsi="Times New Roman;sans-serif"/>
          <w:b/>
          <w:color w:val="000000"/>
          <w:sz w:val="22"/>
        </w:rPr>
        <w:t>1.02</w:t>
      </w:r>
      <w:r>
        <w:rPr>
          <w:rFonts w:ascii="Times New Roman;sans-serif" w:hAnsi="Times New Roman;sans-serif"/>
          <w:b/>
          <w:color w:val="000000"/>
          <w:sz w:val="22"/>
        </w:rPr>
        <w:t>Defined Terms</w:t>
      </w:r>
      <w:r>
        <w:rPr>
          <w:rFonts w:ascii="Times New Roman;sans-serif" w:hAnsi="Times New Roman;sans-serif"/>
          <w:b w:val="false"/>
          <w:color w:val="000000"/>
          <w:sz w:val="22"/>
        </w:rPr>
        <w:t>. As used in this Agreement, the following terms shall have the meanings set forth below:</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Account Debtor</w:t>
      </w:r>
      <w:r>
        <w:rPr>
          <w:color w:val="000000"/>
        </w:rPr>
        <w:t xml:space="preserve">” </w:t>
      </w:r>
      <w:r>
        <w:rPr>
          <w:rFonts w:ascii="Times New Roman;sans-serif" w:hAnsi="Times New Roman;sans-serif"/>
          <w:b w:val="false"/>
          <w:color w:val="000000"/>
          <w:sz w:val="22"/>
        </w:rPr>
        <w:t>means each Person obligated in any way on or in connection with an Account, chattel paper or a general intangible (including a payment intangible).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Acquisition</w:t>
      </w:r>
      <w:r>
        <w:rPr>
          <w:color w:val="000000"/>
        </w:rPr>
        <w:t xml:space="preserve">” </w:t>
      </w:r>
      <w:r>
        <w:rPr>
          <w:rFonts w:ascii="Times New Roman;sans-serif" w:hAnsi="Times New Roman;sans-serif"/>
          <w:b w:val="false"/>
          <w:color w:val="000000"/>
          <w:sz w:val="22"/>
        </w:rPr>
        <w:t>means the acquisition of (i) a controlling equity interest or other controlling ownership interest in another Person (including the purchase of an option, warrant or convertible or similar type security to acquire such a controlling interest at the time it is exercised by the holder thereof), whether by purchase of such equity or other ownership interest or upon the exercise of an option or warrant for, or conversion of securities into, such equity or other ownership interest, (ii) assets of another Person which constitute all or substantially all of the assets of such Person or of a line or lines of business conducted by or a vehicle franchise or vehicle brand licensed or owned by such Person, or (iii) assets constituting a vehicle dealership.</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Act</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 xml:space="preserve">Section </w:t>
      </w:r>
      <w:r>
        <w:rPr>
          <w:rFonts w:ascii="Times New Roman;sans-serif" w:hAnsi="Times New Roman;sans-serif"/>
          <w:b w:val="false"/>
          <w:color w:val="000000"/>
          <w:sz w:val="22"/>
        </w:rPr>
        <w:t>10</w:t>
      </w:r>
      <w:r>
        <w:rPr>
          <w:rFonts w:ascii="Times New Roman;sans-serif" w:hAnsi="Times New Roman;sans-serif"/>
          <w:b w:val="false"/>
          <w:color w:val="000000"/>
          <w:sz w:val="22"/>
          <w:u w:val="single"/>
        </w:rPr>
        <w:t>.18</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Additional Commitment Lender</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2.23(d)</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Additional Koons Restricted Subsidiaries</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4.02(i)(i)</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Administrative Agent</w:t>
      </w:r>
      <w:r>
        <w:rPr>
          <w:color w:val="000000"/>
        </w:rPr>
        <w:t xml:space="preserve">” </w:t>
      </w:r>
      <w:r>
        <w:rPr>
          <w:rFonts w:ascii="Times New Roman;sans-serif" w:hAnsi="Times New Roman;sans-serif"/>
          <w:b w:val="false"/>
          <w:color w:val="000000"/>
          <w:sz w:val="22"/>
        </w:rPr>
        <w:t>means Bank of America in its capacity as administrative agent under any of the Loan Documents, or any successor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Administrative Agent’s Office</w:t>
      </w:r>
      <w:r>
        <w:rPr>
          <w:color w:val="000000"/>
        </w:rPr>
        <w:t xml:space="preserve">” </w:t>
      </w:r>
      <w:r>
        <w:rPr>
          <w:rFonts w:ascii="Times New Roman;sans-serif" w:hAnsi="Times New Roman;sans-serif"/>
          <w:b w:val="false"/>
          <w:color w:val="000000"/>
          <w:sz w:val="22"/>
        </w:rPr>
        <w:t xml:space="preserve">means the Administrative Agent’s address and, as appropriate, account as set forth on </w:t>
      </w:r>
      <w:r>
        <w:rPr>
          <w:rFonts w:ascii="Times New Roman;sans-serif" w:hAnsi="Times New Roman;sans-serif"/>
          <w:b w:val="false"/>
          <w:color w:val="000000"/>
          <w:sz w:val="22"/>
          <w:u w:val="single"/>
        </w:rPr>
        <w:t>Schedule 10.02</w:t>
      </w:r>
      <w:r>
        <w:rPr>
          <w:rFonts w:ascii="Times New Roman;sans-serif" w:hAnsi="Times New Roman;sans-serif"/>
          <w:b w:val="false"/>
          <w:color w:val="000000"/>
          <w:sz w:val="22"/>
        </w:rPr>
        <w:t>, or such other address or account as the Administrative Agent may from time to time notify to the Company and the Lenders.</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367665"/>
                <wp:effectExtent l="0" t="0" r="0" b="0"/>
                <wp:wrapNone/>
                <wp:docPr id="176" name="Frame17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Administrative Questionnaire</w:t>
      </w:r>
      <w:r>
        <w:rPr>
          <w:color w:val="000000"/>
        </w:rPr>
        <w:t xml:space="preserve">” </w:t>
      </w:r>
      <w:r>
        <w:rPr>
          <w:rFonts w:ascii="Times New Roman;sans-serif" w:hAnsi="Times New Roman;sans-serif"/>
          <w:b w:val="false"/>
          <w:color w:val="000000"/>
          <w:sz w:val="22"/>
        </w:rPr>
        <w:t>means an Administrative Questionnaire in a form supplied by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Affected Financial Institution</w:t>
      </w:r>
      <w:r>
        <w:rPr>
          <w:color w:val="000000"/>
        </w:rPr>
        <w:t xml:space="preserve">” </w:t>
      </w:r>
      <w:r>
        <w:rPr>
          <w:rFonts w:ascii="Times New Roman;sans-serif" w:hAnsi="Times New Roman;sans-serif"/>
          <w:b w:val="false"/>
          <w:color w:val="000000"/>
          <w:sz w:val="24"/>
        </w:rPr>
        <w:t xml:space="preserve">means (a) any EEA Financial </w:t>
      </w:r>
      <w:r>
        <w:rPr>
          <w:rFonts w:ascii="Times New Roman;sans-serif" w:hAnsi="Times New Roman;sans-serif"/>
          <w:b w:val="false"/>
          <w:color w:val="000000"/>
          <w:sz w:val="22"/>
        </w:rPr>
        <w:t>Institution</w:t>
      </w:r>
      <w:r>
        <w:rPr>
          <w:color w:val="000000"/>
        </w:rPr>
        <w:t xml:space="preserve"> </w:t>
      </w:r>
      <w:r>
        <w:rPr>
          <w:rFonts w:ascii="Times New Roman;sans-serif" w:hAnsi="Times New Roman;sans-serif"/>
          <w:b w:val="false"/>
          <w:color w:val="000000"/>
          <w:sz w:val="24"/>
        </w:rPr>
        <w:t>or (b) any UK Financial Institution.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Affiliate</w:t>
      </w:r>
      <w:r>
        <w:rPr>
          <w:color w:val="000000"/>
        </w:rPr>
        <w:t xml:space="preserve">” </w:t>
      </w:r>
      <w:r>
        <w:rPr>
          <w:rFonts w:ascii="Times New Roman;sans-serif" w:hAnsi="Times New Roman;sans-serif"/>
          <w:b w:val="false"/>
          <w:color w:val="000000"/>
          <w:sz w:val="22"/>
        </w:rPr>
        <w:t>means, with respect to any Person, another Person that directly, or indirectly through one or more intermediaries, Controls or is Controlled by or is under common Control with the Person specified.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Aggregate Commitments</w:t>
      </w:r>
      <w:r>
        <w:rPr>
          <w:color w:val="000000"/>
        </w:rPr>
        <w:t xml:space="preserve">” </w:t>
      </w:r>
      <w:r>
        <w:rPr>
          <w:rFonts w:ascii="Times New Roman;sans-serif" w:hAnsi="Times New Roman;sans-serif"/>
          <w:b w:val="false"/>
          <w:color w:val="000000"/>
          <w:sz w:val="22"/>
        </w:rPr>
        <w:t>means, collectively, the Aggregate Revolving Commitments, the Aggregate New Vehicle Floorplan Commitments and the Aggregate Used Vehicle Floorplan Commitments.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Aggregate Floorplan Facility Commitments</w:t>
      </w:r>
      <w:r>
        <w:rPr>
          <w:color w:val="000000"/>
        </w:rPr>
        <w:t xml:space="preserve">” </w:t>
      </w:r>
      <w:r>
        <w:rPr>
          <w:rFonts w:ascii="Times New Roman;sans-serif" w:hAnsi="Times New Roman;sans-serif"/>
          <w:b w:val="false"/>
          <w:color w:val="000000"/>
          <w:sz w:val="22"/>
        </w:rPr>
        <w:t>means, collectively, the Aggregate New Vehicle Floorplan Commitments and the Aggregate Used Vehicle Floorplan Commitments.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Aggregate New Vehicle Floorplan Commitments</w:t>
      </w:r>
      <w:r>
        <w:rPr>
          <w:color w:val="000000"/>
        </w:rPr>
        <w:t xml:space="preserve">” </w:t>
      </w:r>
      <w:r>
        <w:rPr>
          <w:rFonts w:ascii="Times New Roman;sans-serif" w:hAnsi="Times New Roman;sans-serif"/>
          <w:b w:val="false"/>
          <w:color w:val="000000"/>
          <w:sz w:val="22"/>
        </w:rPr>
        <w:t>means the New Vehicle Floorplan Commitments of all the New Vehicle Floorplan Lenders.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Aggregate Revolving Commitments</w:t>
      </w:r>
      <w:r>
        <w:rPr>
          <w:color w:val="000000"/>
        </w:rPr>
        <w:t xml:space="preserve">” </w:t>
      </w:r>
      <w:r>
        <w:rPr>
          <w:rFonts w:ascii="Times New Roman;sans-serif" w:hAnsi="Times New Roman;sans-serif"/>
          <w:b w:val="false"/>
          <w:color w:val="000000"/>
          <w:sz w:val="22"/>
        </w:rPr>
        <w:t>means the Revolving Commitments of all the Revolving Lenders.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Aggregate Used Vehicle Floorplan Commitments</w:t>
      </w:r>
      <w:r>
        <w:rPr>
          <w:color w:val="000000"/>
        </w:rPr>
        <w:t xml:space="preserve">” </w:t>
      </w:r>
      <w:r>
        <w:rPr>
          <w:rFonts w:ascii="Times New Roman;sans-serif" w:hAnsi="Times New Roman;sans-serif"/>
          <w:b w:val="false"/>
          <w:color w:val="000000"/>
          <w:sz w:val="22"/>
        </w:rPr>
        <w:t xml:space="preserve">means the Used Vehicle Floorplan Commitments of all the Used Vehicle Floorplan Lenders.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Agreement</w:t>
      </w:r>
      <w:r>
        <w:rPr>
          <w:color w:val="000000"/>
        </w:rPr>
        <w:t xml:space="preserve">” </w:t>
      </w:r>
      <w:r>
        <w:rPr>
          <w:rFonts w:ascii="Times New Roman;sans-serif" w:hAnsi="Times New Roman;sans-serif"/>
          <w:b w:val="false"/>
          <w:color w:val="000000"/>
          <w:sz w:val="22"/>
        </w:rPr>
        <w:t>has the meaning specified in the introductory paragraph 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Anniversary Date</w:t>
      </w:r>
      <w:r>
        <w:rPr>
          <w:color w:val="000000"/>
        </w:rPr>
        <w:t xml:space="preserve">” </w:t>
      </w:r>
      <w:r>
        <w:rPr>
          <w:rFonts w:ascii="Times New Roman;sans-serif" w:hAnsi="Times New Roman;sans-serif"/>
          <w:b w:val="false"/>
          <w:color w:val="000000"/>
          <w:sz w:val="22"/>
        </w:rPr>
        <w:t>means each anniversary of the Closing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Applicable Facility</w:t>
      </w:r>
      <w:r>
        <w:rPr>
          <w:color w:val="000000"/>
        </w:rPr>
        <w:t xml:space="preserve">” </w:t>
      </w:r>
      <w:r>
        <w:rPr>
          <w:rFonts w:ascii="Times New Roman;sans-serif" w:hAnsi="Times New Roman;sans-serif"/>
          <w:b w:val="false"/>
          <w:color w:val="000000"/>
          <w:sz w:val="22"/>
        </w:rPr>
        <w:t>means the Revolving Credit Facility, the New Vehicle Floorplan Facility or the Used Vehicle Floorplan Facility, as applicable.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Applicable Floorplan Principal Reduction</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2.09(b)(iii)</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Applicable Four-Quarter Period</w:t>
      </w:r>
      <w:r>
        <w:rPr>
          <w:color w:val="000000"/>
        </w:rPr>
        <w:t xml:space="preserve">” </w:t>
      </w:r>
      <w:r>
        <w:rPr>
          <w:rFonts w:ascii="Times New Roman;sans-serif" w:hAnsi="Times New Roman;sans-serif"/>
          <w:b w:val="false"/>
          <w:color w:val="000000"/>
          <w:sz w:val="22"/>
        </w:rPr>
        <w:t xml:space="preserve">means with respect to any date of determination, the four-quarter period most recently ended on or prior to such date for which internal financial statements are available.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Applicable New Vehicle Floorplan Percentage</w:t>
      </w:r>
      <w:r>
        <w:rPr>
          <w:color w:val="000000"/>
        </w:rPr>
        <w:t xml:space="preserve">” </w:t>
      </w:r>
      <w:r>
        <w:rPr>
          <w:rFonts w:ascii="Times New Roman;sans-serif" w:hAnsi="Times New Roman;sans-serif"/>
          <w:b w:val="false"/>
          <w:color w:val="000000"/>
          <w:sz w:val="22"/>
        </w:rPr>
        <w:t xml:space="preserve">means with respect to any New Vehicle Floorplan Lender at any time, the percentage (carried out to the ninth decimal place) of the Aggregate New Vehicle Floorplan Commitments represented by such Lender’s New Vehicle Floorplan Commitment at such time, subject to adjustment as provided in </w:t>
      </w:r>
      <w:r>
        <w:rPr>
          <w:rFonts w:ascii="Times New Roman;sans-serif" w:hAnsi="Times New Roman;sans-serif"/>
          <w:b w:val="false"/>
          <w:color w:val="000000"/>
          <w:sz w:val="22"/>
          <w:u w:val="single"/>
        </w:rPr>
        <w:t>Section 2.27</w:t>
      </w:r>
      <w:r>
        <w:rPr>
          <w:rFonts w:ascii="Times New Roman;sans-serif" w:hAnsi="Times New Roman;sans-serif"/>
          <w:b w:val="false"/>
          <w:color w:val="000000"/>
          <w:sz w:val="22"/>
        </w:rPr>
        <w:t xml:space="preserve">. If the commitment of each New Vehicle Floorplan Lender to make New Vehicle Floorplan Loans have been terminated pursuant to </w:t>
      </w:r>
      <w:r>
        <w:rPr>
          <w:rFonts w:ascii="Times New Roman;sans-serif" w:hAnsi="Times New Roman;sans-serif"/>
          <w:b w:val="false"/>
          <w:color w:val="000000"/>
          <w:sz w:val="22"/>
          <w:u w:val="single"/>
        </w:rPr>
        <w:t>Section 8.04</w:t>
      </w:r>
      <w:r>
        <w:rPr>
          <w:color w:val="000000"/>
        </w:rPr>
        <w:t xml:space="preserve"> </w:t>
      </w:r>
      <w:r>
        <w:rPr>
          <w:rFonts w:ascii="Times New Roman;sans-serif" w:hAnsi="Times New Roman;sans-serif"/>
          <w:b w:val="false"/>
          <w:color w:val="000000"/>
          <w:sz w:val="22"/>
        </w:rPr>
        <w:t xml:space="preserve">or if the Aggregate New Vehicle Floorplan Commitments have expired, then the Applicable New Vehicle Floorplan Percentage of each New Vehicle Floorplan Lender shall be determined based on the Applicable New Vehicle Floorplan Percentage of such New Vehicle Floorplan Lender most recently in effect, giving effect to any subsequent assignments and to any Lender’s status as a Defaulting Lender at the time of determination. The initial Applicable New Vehicle Floorplan Percentage of each New Vehicle Floorplan Lender is set forth opposite the name of such New Vehicle Floorplan Lender on </w:t>
      </w:r>
      <w:r>
        <w:rPr>
          <w:rFonts w:ascii="Times New Roman;sans-serif" w:hAnsi="Times New Roman;sans-serif"/>
          <w:b w:val="false"/>
          <w:color w:val="000000"/>
          <w:sz w:val="22"/>
          <w:u w:val="single"/>
        </w:rPr>
        <w:t>Schedule 2.01</w:t>
      </w:r>
      <w:r>
        <w:rPr>
          <w:color w:val="000000"/>
        </w:rPr>
        <w:t xml:space="preserve"> </w:t>
      </w:r>
      <w:r>
        <w:rPr>
          <w:rFonts w:ascii="Times New Roman;sans-serif" w:hAnsi="Times New Roman;sans-serif"/>
          <w:b w:val="false"/>
          <w:color w:val="000000"/>
          <w:sz w:val="22"/>
        </w:rPr>
        <w:t xml:space="preserve">or in the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367665"/>
                <wp:effectExtent l="0" t="0" r="0" b="0"/>
                <wp:wrapNone/>
                <wp:docPr id="177" name="Frame17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Assignment and Assumption pursuant to which such New Vehicle Floorplan Lender becomes a party hereto, as applicable.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Applicable Percentage</w:t>
      </w:r>
      <w:r>
        <w:rPr>
          <w:color w:val="000000"/>
        </w:rPr>
        <w:t xml:space="preserve">” </w:t>
      </w:r>
      <w:r>
        <w:rPr>
          <w:rFonts w:ascii="Times New Roman;sans-serif" w:hAnsi="Times New Roman;sans-serif"/>
          <w:b w:val="false"/>
          <w:color w:val="000000"/>
          <w:sz w:val="22"/>
        </w:rPr>
        <w:t xml:space="preserve">means with respect to any Lender at any time, the percentage (carried out to the ninth decimal place) of the Aggregate Commitments represented by such Lender’s Commitment at such time, subject to adjustment as provided in </w:t>
      </w:r>
      <w:r>
        <w:rPr>
          <w:rFonts w:ascii="Times New Roman;sans-serif" w:hAnsi="Times New Roman;sans-serif"/>
          <w:b w:val="false"/>
          <w:color w:val="000000"/>
          <w:sz w:val="22"/>
          <w:u w:val="single"/>
        </w:rPr>
        <w:t>Section 2.27</w:t>
      </w:r>
      <w:r>
        <w:rPr>
          <w:rFonts w:ascii="Times New Roman;sans-serif" w:hAnsi="Times New Roman;sans-serif"/>
          <w:b w:val="false"/>
          <w:color w:val="000000"/>
          <w:sz w:val="22"/>
        </w:rPr>
        <w:t xml:space="preserve">. If the commitment of each Lender under an Applicable Facility to make Loans under such Facility (and, in the case of the Revolving Credit Facility, the obligation of each L/C Issuer to make L/C Credit Extensions) have been terminated pursuant to </w:t>
      </w:r>
      <w:r>
        <w:rPr>
          <w:rFonts w:ascii="Times New Roman;sans-serif" w:hAnsi="Times New Roman;sans-serif"/>
          <w:b w:val="false"/>
          <w:color w:val="000000"/>
          <w:sz w:val="22"/>
          <w:u w:val="single"/>
        </w:rPr>
        <w:t>Section 8.02</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8.04</w:t>
      </w:r>
      <w:r>
        <w:rPr>
          <w:color w:val="000000"/>
        </w:rPr>
        <w:t xml:space="preserve"> </w:t>
      </w:r>
      <w:r>
        <w:rPr>
          <w:rFonts w:ascii="Times New Roman;sans-serif" w:hAnsi="Times New Roman;sans-serif"/>
          <w:b w:val="false"/>
          <w:color w:val="000000"/>
          <w:sz w:val="22"/>
        </w:rPr>
        <w:t>or if the Aggregate Revolving Commitments, the Aggregate New Vehicle Floorplan Commitments or the Aggregate Used Vehicle Floorplan Commitments, as applicable, have expired, then for the purposes of determining the Applicable Percentage of any Lender, the Commitment of such Lender under such Facility shall be calculated in accordance with the second sentence of the definition of “Applicable Revolving Percentage”, “Applicable New Vehicle Floorplan Percentage” or “Applicable Used Vehicle Floorplan Percentage”, as the case may be.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Applicable Rate</w:t>
      </w:r>
      <w:r>
        <w:rPr>
          <w:color w:val="000000"/>
        </w:rPr>
        <w:t xml:space="preserve">” </w:t>
      </w:r>
      <w:r>
        <w:rPr>
          <w:rFonts w:ascii="Times New Roman;sans-serif" w:hAnsi="Times New Roman;sans-serif"/>
          <w:b w:val="false"/>
          <w:color w:val="000000"/>
          <w:sz w:val="22"/>
        </w:rPr>
        <w:t>has the following meanings, depending on the Applicable Facility:</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With respect to the Revolving Credit Facility, Applicable Rate means the following percentages per annum, based upon the Consolidated Total Lease Adjusted Leverage Ratio as set forth in the most recent Compliance Certificate received by the Administrative Agent pursuant to </w:t>
      </w:r>
      <w:r>
        <w:rPr>
          <w:rFonts w:ascii="Times New Roman;sans-serif" w:hAnsi="Times New Roman;sans-serif"/>
          <w:b w:val="false"/>
          <w:color w:val="000000"/>
          <w:sz w:val="22"/>
          <w:u w:val="single"/>
        </w:rPr>
        <w:t>Section 6.02(a)</w:t>
      </w:r>
      <w:r>
        <w:rPr>
          <w:rFonts w:ascii="Times New Roman;sans-serif" w:hAnsi="Times New Roman;sans-serif"/>
          <w:b w:val="false"/>
          <w:color w:val="000000"/>
          <w:sz w:val="22"/>
        </w:rPr>
        <w:t>:</w: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Applicable Rate</w:t>
      </w:r>
    </w:p>
    <w:tbl>
      <w:tblPr>
        <w:tblW w:w="10205" w:type="dxa"/>
        <w:jc w:val="left"/>
        <w:tblInd w:w="0" w:type="dxa"/>
        <w:tblLayout w:type="fixed"/>
        <w:tblCellMar>
          <w:top w:w="28" w:type="dxa"/>
          <w:left w:w="28" w:type="dxa"/>
          <w:bottom w:w="28" w:type="dxa"/>
          <w:right w:w="28" w:type="dxa"/>
        </w:tblCellMar>
      </w:tblPr>
      <w:tblGrid>
        <w:gridCol w:w="331"/>
        <w:gridCol w:w="290"/>
        <w:gridCol w:w="292"/>
        <w:gridCol w:w="816"/>
        <w:gridCol w:w="816"/>
        <w:gridCol w:w="818"/>
        <w:gridCol w:w="630"/>
        <w:gridCol w:w="630"/>
        <w:gridCol w:w="631"/>
        <w:gridCol w:w="519"/>
        <w:gridCol w:w="519"/>
        <w:gridCol w:w="520"/>
        <w:gridCol w:w="657"/>
        <w:gridCol w:w="657"/>
        <w:gridCol w:w="659"/>
        <w:gridCol w:w="413"/>
        <w:gridCol w:w="413"/>
        <w:gridCol w:w="594"/>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913"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1"/>
              </w:rPr>
            </w:pPr>
            <w:r>
              <w:rPr>
                <w:rFonts w:ascii="Times New Roman;sans-serif" w:hAnsi="Times New Roman;sans-serif"/>
                <w:b/>
                <w:color w:val="000000"/>
                <w:sz w:val="21"/>
              </w:rPr>
              <w:t>Pricing Level</w:t>
            </w:r>
          </w:p>
        </w:tc>
        <w:tc>
          <w:tcPr>
            <w:tcW w:w="2450"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1"/>
              </w:rPr>
            </w:pPr>
            <w:r>
              <w:rPr>
                <w:rFonts w:ascii="Times New Roman;sans-serif" w:hAnsi="Times New Roman;sans-serif"/>
                <w:b/>
                <w:color w:val="000000"/>
                <w:sz w:val="21"/>
              </w:rPr>
              <w:t>Consolidated Total Lease Adjusted</w:t>
            </w:r>
          </w:p>
          <w:p>
            <w:pPr>
              <w:pStyle w:val="TableContents"/>
              <w:bidi w:val="0"/>
              <w:spacing w:lineRule="auto" w:line="288" w:before="0" w:after="0"/>
              <w:jc w:val="center"/>
              <w:rPr>
                <w:rFonts w:ascii="Times New Roman;sans-serif" w:hAnsi="Times New Roman;sans-serif"/>
                <w:b/>
                <w:color w:val="000000"/>
                <w:sz w:val="21"/>
              </w:rPr>
            </w:pPr>
            <w:r>
              <w:rPr>
                <w:rFonts w:ascii="Times New Roman;sans-serif" w:hAnsi="Times New Roman;sans-serif"/>
                <w:b/>
                <w:color w:val="000000"/>
                <w:sz w:val="21"/>
              </w:rPr>
              <w:t>Leverage Ratio</w:t>
            </w:r>
          </w:p>
        </w:tc>
        <w:tc>
          <w:tcPr>
            <w:tcW w:w="1891"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1"/>
              </w:rPr>
            </w:pPr>
            <w:r>
              <w:rPr>
                <w:rFonts w:ascii="Times New Roman;sans-serif" w:hAnsi="Times New Roman;sans-serif"/>
                <w:b/>
                <w:color w:val="000000"/>
                <w:sz w:val="21"/>
              </w:rPr>
              <w:t>Commitment Fee for Revolving Credit</w:t>
            </w:r>
          </w:p>
          <w:p>
            <w:pPr>
              <w:pStyle w:val="TableContents"/>
              <w:bidi w:val="0"/>
              <w:spacing w:lineRule="auto" w:line="288" w:before="0" w:after="0"/>
              <w:jc w:val="center"/>
              <w:rPr>
                <w:rFonts w:ascii="Times New Roman;sans-serif" w:hAnsi="Times New Roman;sans-serif"/>
                <w:b/>
                <w:color w:val="000000"/>
                <w:sz w:val="21"/>
              </w:rPr>
            </w:pPr>
            <w:r>
              <w:rPr>
                <w:rFonts w:ascii="Times New Roman;sans-serif" w:hAnsi="Times New Roman;sans-serif"/>
                <w:b/>
                <w:color w:val="000000"/>
                <w:sz w:val="21"/>
              </w:rPr>
              <w:t>Facility</w:t>
            </w:r>
          </w:p>
        </w:tc>
        <w:tc>
          <w:tcPr>
            <w:tcW w:w="1558"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1"/>
              </w:rPr>
            </w:pPr>
            <w:r>
              <w:rPr>
                <w:rFonts w:ascii="Times New Roman;sans-serif" w:hAnsi="Times New Roman;sans-serif"/>
                <w:b/>
                <w:color w:val="000000"/>
                <w:sz w:val="21"/>
              </w:rPr>
              <w:t>Letter</w:t>
            </w:r>
          </w:p>
          <w:p>
            <w:pPr>
              <w:pStyle w:val="TableContents"/>
              <w:bidi w:val="0"/>
              <w:spacing w:lineRule="auto" w:line="288" w:before="0" w:after="0"/>
              <w:jc w:val="center"/>
              <w:rPr>
                <w:rFonts w:ascii="Times New Roman;sans-serif" w:hAnsi="Times New Roman;sans-serif"/>
                <w:b/>
                <w:color w:val="000000"/>
                <w:sz w:val="21"/>
              </w:rPr>
            </w:pPr>
            <w:r>
              <w:rPr>
                <w:rFonts w:ascii="Times New Roman;sans-serif" w:hAnsi="Times New Roman;sans-serif"/>
                <w:b/>
                <w:color w:val="000000"/>
                <w:sz w:val="21"/>
              </w:rPr>
              <w:t>of Credit Fee for Revolving Credit</w:t>
            </w:r>
          </w:p>
          <w:p>
            <w:pPr>
              <w:pStyle w:val="TableContents"/>
              <w:bidi w:val="0"/>
              <w:spacing w:lineRule="auto" w:line="288" w:before="0" w:after="0"/>
              <w:jc w:val="center"/>
              <w:rPr>
                <w:rFonts w:ascii="Times New Roman;sans-serif" w:hAnsi="Times New Roman;sans-serif"/>
                <w:b/>
                <w:color w:val="000000"/>
                <w:sz w:val="21"/>
              </w:rPr>
            </w:pPr>
            <w:r>
              <w:rPr>
                <w:rFonts w:ascii="Times New Roman;sans-serif" w:hAnsi="Times New Roman;sans-serif"/>
                <w:b/>
                <w:color w:val="000000"/>
                <w:sz w:val="21"/>
              </w:rPr>
              <w:t>Facility</w:t>
            </w:r>
          </w:p>
        </w:tc>
        <w:tc>
          <w:tcPr>
            <w:tcW w:w="1973"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1"/>
              </w:rPr>
            </w:pPr>
            <w:r>
              <w:rPr>
                <w:rFonts w:ascii="Times New Roman;sans-serif" w:hAnsi="Times New Roman;sans-serif"/>
                <w:b/>
                <w:color w:val="000000"/>
                <w:sz w:val="21"/>
              </w:rPr>
              <w:t>Daily Simple SOFR + (for Revolving Credit Facility)</w:t>
            </w:r>
          </w:p>
        </w:tc>
        <w:tc>
          <w:tcPr>
            <w:tcW w:w="1420"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288" w:before="0" w:after="0"/>
              <w:jc w:val="center"/>
              <w:rPr>
                <w:rFonts w:ascii="Times New Roman;sans-serif" w:hAnsi="Times New Roman;sans-serif"/>
                <w:b/>
                <w:color w:val="000000"/>
                <w:sz w:val="21"/>
              </w:rPr>
            </w:pPr>
            <w:r>
              <w:rPr>
                <w:rFonts w:ascii="Times New Roman;sans-serif" w:hAnsi="Times New Roman;sans-serif"/>
                <w:b/>
                <w:color w:val="000000"/>
                <w:sz w:val="21"/>
              </w:rPr>
              <w:t>Base Rate +</w:t>
            </w:r>
          </w:p>
          <w:p>
            <w:pPr>
              <w:pStyle w:val="TableContents"/>
              <w:bidi w:val="0"/>
              <w:spacing w:lineRule="auto" w:line="288" w:before="0" w:after="0"/>
              <w:jc w:val="center"/>
              <w:rPr>
                <w:rFonts w:ascii="Times New Roman;sans-serif" w:hAnsi="Times New Roman;sans-serif"/>
                <w:b/>
                <w:color w:val="000000"/>
                <w:sz w:val="21"/>
              </w:rPr>
            </w:pPr>
            <w:r>
              <w:rPr>
                <w:rFonts w:ascii="Times New Roman;sans-serif" w:hAnsi="Times New Roman;sans-serif"/>
                <w:b/>
                <w:color w:val="000000"/>
                <w:sz w:val="21"/>
              </w:rPr>
              <w:t>(for</w:t>
            </w:r>
          </w:p>
          <w:p>
            <w:pPr>
              <w:pStyle w:val="TableContents"/>
              <w:bidi w:val="0"/>
              <w:spacing w:lineRule="auto" w:line="288" w:before="0" w:after="0"/>
              <w:jc w:val="center"/>
              <w:rPr>
                <w:rFonts w:ascii="Times New Roman;sans-serif" w:hAnsi="Times New Roman;sans-serif"/>
                <w:b/>
                <w:color w:val="000000"/>
                <w:sz w:val="21"/>
              </w:rPr>
            </w:pPr>
            <w:r>
              <w:rPr>
                <w:rFonts w:ascii="Times New Roman;sans-serif" w:hAnsi="Times New Roman;sans-serif"/>
                <w:b/>
                <w:color w:val="000000"/>
                <w:sz w:val="21"/>
              </w:rPr>
              <w:t>Revolving Credit Facility)</w:t>
            </w:r>
          </w:p>
        </w:tc>
      </w:tr>
      <w:tr>
        <w:trPr/>
        <w:tc>
          <w:tcPr>
            <w:tcW w:w="913"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c>
        <w:tc>
          <w:tcPr>
            <w:tcW w:w="24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Less than 2.50 to 1.00</w:t>
            </w:r>
          </w:p>
        </w:tc>
        <w:tc>
          <w:tcPr>
            <w:tcW w:w="189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0.15%</w:t>
            </w:r>
          </w:p>
        </w:tc>
        <w:tc>
          <w:tcPr>
            <w:tcW w:w="1558"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0.875%</w:t>
            </w:r>
          </w:p>
        </w:tc>
        <w:tc>
          <w:tcPr>
            <w:tcW w:w="1973"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1.00%</w:t>
            </w:r>
          </w:p>
        </w:tc>
        <w:tc>
          <w:tcPr>
            <w:tcW w:w="142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0.15%</w:t>
            </w:r>
          </w:p>
        </w:tc>
      </w:tr>
      <w:tr>
        <w:trPr/>
        <w:tc>
          <w:tcPr>
            <w:tcW w:w="913"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c>
        <w:tc>
          <w:tcPr>
            <w:tcW w:w="24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Less than 3.50 to 1.00 but greater than or equal to 2.50 to 1.00</w:t>
            </w:r>
          </w:p>
        </w:tc>
        <w:tc>
          <w:tcPr>
            <w:tcW w:w="189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0.20%</w:t>
            </w:r>
          </w:p>
        </w:tc>
        <w:tc>
          <w:tcPr>
            <w:tcW w:w="1558"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1.125%</w:t>
            </w:r>
          </w:p>
        </w:tc>
        <w:tc>
          <w:tcPr>
            <w:tcW w:w="1973"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1.25%</w:t>
            </w:r>
          </w:p>
        </w:tc>
        <w:tc>
          <w:tcPr>
            <w:tcW w:w="142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0.25%</w:t>
            </w:r>
          </w:p>
        </w:tc>
      </w:tr>
      <w:tr>
        <w:trPr/>
        <w:tc>
          <w:tcPr>
            <w:tcW w:w="913"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c>
        <w:tc>
          <w:tcPr>
            <w:tcW w:w="24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Less than 4.00 to 1.00 but greater than or equal to 3.50 to 1.00</w:t>
            </w:r>
          </w:p>
        </w:tc>
        <w:tc>
          <w:tcPr>
            <w:tcW w:w="189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0.25%</w:t>
            </w:r>
          </w:p>
        </w:tc>
        <w:tc>
          <w:tcPr>
            <w:tcW w:w="1558"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1.375%</w:t>
            </w:r>
          </w:p>
        </w:tc>
        <w:tc>
          <w:tcPr>
            <w:tcW w:w="1973"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1.50%</w:t>
            </w:r>
          </w:p>
        </w:tc>
        <w:tc>
          <w:tcPr>
            <w:tcW w:w="142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0.50%</w:t>
            </w:r>
          </w:p>
        </w:tc>
      </w:tr>
      <w:tr>
        <w:trPr/>
        <w:tc>
          <w:tcPr>
            <w:tcW w:w="913"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c>
        <w:tc>
          <w:tcPr>
            <w:tcW w:w="24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Less than 4.50 to 1.00 but greater than or equal to 4.00 to 1.00</w:t>
            </w:r>
          </w:p>
        </w:tc>
        <w:tc>
          <w:tcPr>
            <w:tcW w:w="189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0.30%</w:t>
            </w:r>
          </w:p>
        </w:tc>
        <w:tc>
          <w:tcPr>
            <w:tcW w:w="1558"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1.625%</w:t>
            </w:r>
          </w:p>
        </w:tc>
        <w:tc>
          <w:tcPr>
            <w:tcW w:w="1973"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1.75%</w:t>
            </w:r>
          </w:p>
        </w:tc>
        <w:tc>
          <w:tcPr>
            <w:tcW w:w="142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0.75%</w:t>
            </w:r>
          </w:p>
        </w:tc>
      </w:tr>
      <w:tr>
        <w:trPr/>
        <w:tc>
          <w:tcPr>
            <w:tcW w:w="913"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c>
        <w:tc>
          <w:tcPr>
            <w:tcW w:w="245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Greater than or equal to 4.50 to 1.00</w:t>
            </w:r>
          </w:p>
        </w:tc>
        <w:tc>
          <w:tcPr>
            <w:tcW w:w="1891"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0.40%</w:t>
            </w:r>
          </w:p>
        </w:tc>
        <w:tc>
          <w:tcPr>
            <w:tcW w:w="1558"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1.875%</w:t>
            </w:r>
          </w:p>
        </w:tc>
        <w:tc>
          <w:tcPr>
            <w:tcW w:w="1973"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2.00%</w:t>
            </w:r>
          </w:p>
        </w:tc>
        <w:tc>
          <w:tcPr>
            <w:tcW w:w="1420"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1.00%</w:t>
            </w:r>
          </w:p>
        </w:tc>
      </w:tr>
    </w:tbl>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367665"/>
                <wp:effectExtent l="0" t="0" r="0" b="0"/>
                <wp:wrapNone/>
                <wp:docPr id="178" name="Frame17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40"/>
        <w:jc w:val="both"/>
        <w:rPr/>
      </w:pPr>
      <w:r>
        <w:rPr>
          <w:rFonts w:ascii="Times New Roman;sans-serif" w:hAnsi="Times New Roman;sans-serif"/>
          <w:b w:val="false"/>
          <w:color w:val="000000"/>
          <w:sz w:val="22"/>
        </w:rPr>
        <w:t xml:space="preserve">Any increase or decrease in the Applicable Rate resulting from a change in the Consolidated Total Lease Adjusted Leverage Ratio shall become effective as of the first Business Day immediately following the date a Compliance Certificate is delivered pursuant to </w:t>
      </w:r>
      <w:r>
        <w:rPr>
          <w:rFonts w:ascii="Times New Roman;sans-serif" w:hAnsi="Times New Roman;sans-serif"/>
          <w:b w:val="false"/>
          <w:color w:val="000000"/>
          <w:sz w:val="22"/>
          <w:u w:val="single"/>
        </w:rPr>
        <w:t>Section 6.02(a)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(i) if a Compliance Certificate is not delivered when due in accordance with such Section, then Pricing Level 5 shall apply as of the first Business Day after the date on which such Compliance Certificate was required to have been delivered and shall remain in effect until the date on which such Compliance Certificate is delivered and (ii) the Applicable Rate in effect from the Closing Date through the first Business Day of the calendar month immediately succeeding the date the Compliance Certificate with respect to the fiscal quarter ended September 30, 2023 is delivered (or, if not timely delivered, the date such compliance certificate is required to be delivered) pursuant to </w:t>
      </w:r>
      <w:r>
        <w:rPr>
          <w:rFonts w:ascii="Times New Roman;sans-serif" w:hAnsi="Times New Roman;sans-serif"/>
          <w:b w:val="false"/>
          <w:color w:val="000000"/>
          <w:sz w:val="22"/>
          <w:u w:val="single"/>
        </w:rPr>
        <w:t>Section 6.02(a)</w:t>
      </w:r>
      <w:r>
        <w:rPr>
          <w:color w:val="000000"/>
        </w:rPr>
        <w:t xml:space="preserve"> </w:t>
      </w:r>
      <w:r>
        <w:rPr>
          <w:rFonts w:ascii="Times New Roman;sans-serif" w:hAnsi="Times New Roman;sans-serif"/>
          <w:b w:val="false"/>
          <w:color w:val="000000"/>
          <w:sz w:val="22"/>
        </w:rPr>
        <w:t>shall be Pricing Level 1.</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With respect to the New Vehicle Floorplan Facility, Applicable Rate means the following percentages per annum: </w:t>
      </w:r>
    </w:p>
    <w:tbl>
      <w:tblPr>
        <w:tblW w:w="8803" w:type="dxa"/>
        <w:jc w:val="left"/>
        <w:tblInd w:w="0" w:type="dxa"/>
        <w:tblLayout w:type="fixed"/>
        <w:tblCellMar>
          <w:top w:w="28" w:type="dxa"/>
          <w:left w:w="28" w:type="dxa"/>
          <w:bottom w:w="28" w:type="dxa"/>
          <w:right w:w="28" w:type="dxa"/>
        </w:tblCellMar>
      </w:tblPr>
      <w:tblGrid>
        <w:gridCol w:w="1782"/>
        <w:gridCol w:w="1565"/>
        <w:gridCol w:w="1572"/>
        <w:gridCol w:w="694"/>
        <w:gridCol w:w="694"/>
        <w:gridCol w:w="696"/>
        <w:gridCol w:w="526"/>
        <w:gridCol w:w="526"/>
        <w:gridCol w:w="748"/>
      </w:tblGrid>
      <w:tr>
        <w:trPr/>
        <w:tc>
          <w:tcPr>
            <w:tcW w:w="1782"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1"/>
              </w:rPr>
            </w:pPr>
            <w:r>
              <w:rPr>
                <w:rFonts w:ascii="Times New Roman;sans-serif" w:hAnsi="Times New Roman;sans-serif"/>
                <w:b/>
                <w:color w:val="000000"/>
                <w:sz w:val="21"/>
              </w:rPr>
              <w:t>Commitment Fee for New Vehicle Floorplan Facility</w:t>
            </w:r>
          </w:p>
        </w:tc>
        <w:tc>
          <w:tcPr>
            <w:tcW w:w="2084"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1"/>
              </w:rPr>
            </w:pPr>
            <w:r>
              <w:rPr>
                <w:rFonts w:ascii="Times New Roman;sans-serif" w:hAnsi="Times New Roman;sans-serif"/>
                <w:b/>
                <w:color w:val="000000"/>
                <w:sz w:val="21"/>
              </w:rPr>
              <w:t>Daily Simple SOFR +</w:t>
            </w:r>
          </w:p>
          <w:p>
            <w:pPr>
              <w:pStyle w:val="TableContents"/>
              <w:bidi w:val="0"/>
              <w:spacing w:lineRule="auto" w:line="288" w:before="0" w:after="0"/>
              <w:jc w:val="center"/>
              <w:rPr>
                <w:rFonts w:ascii="Times New Roman;sans-serif" w:hAnsi="Times New Roman;sans-serif"/>
                <w:b/>
                <w:color w:val="000000"/>
                <w:sz w:val="21"/>
              </w:rPr>
            </w:pPr>
            <w:r>
              <w:rPr>
                <w:rFonts w:ascii="Times New Roman;sans-serif" w:hAnsi="Times New Roman;sans-serif"/>
                <w:b/>
                <w:color w:val="000000"/>
                <w:sz w:val="21"/>
              </w:rPr>
              <w:t>(for New Vehicle</w:t>
            </w:r>
          </w:p>
          <w:p>
            <w:pPr>
              <w:pStyle w:val="TableContents"/>
              <w:bidi w:val="0"/>
              <w:spacing w:lineRule="auto" w:line="288" w:before="0" w:after="0"/>
              <w:jc w:val="center"/>
              <w:rPr>
                <w:rFonts w:ascii="Times New Roman;sans-serif" w:hAnsi="Times New Roman;sans-serif"/>
                <w:b/>
                <w:color w:val="000000"/>
                <w:sz w:val="21"/>
              </w:rPr>
            </w:pPr>
            <w:r>
              <w:rPr>
                <w:rFonts w:ascii="Times New Roman;sans-serif" w:hAnsi="Times New Roman;sans-serif"/>
                <w:b/>
                <w:color w:val="000000"/>
                <w:sz w:val="21"/>
              </w:rPr>
              <w:t>Floorplan Facility)</w:t>
            </w:r>
          </w:p>
        </w:tc>
        <w:tc>
          <w:tcPr>
            <w:tcW w:w="1800"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288" w:before="0" w:after="0"/>
              <w:jc w:val="center"/>
              <w:rPr>
                <w:rFonts w:ascii="Times New Roman;sans-serif" w:hAnsi="Times New Roman;sans-serif"/>
                <w:b/>
                <w:color w:val="000000"/>
                <w:sz w:val="21"/>
              </w:rPr>
            </w:pPr>
            <w:r>
              <w:rPr>
                <w:rFonts w:ascii="Times New Roman;sans-serif" w:hAnsi="Times New Roman;sans-serif"/>
                <w:b/>
                <w:color w:val="000000"/>
                <w:sz w:val="21"/>
              </w:rPr>
              <w:t>Base Rate +</w:t>
            </w:r>
          </w:p>
          <w:p>
            <w:pPr>
              <w:pStyle w:val="TableContents"/>
              <w:bidi w:val="0"/>
              <w:spacing w:lineRule="auto" w:line="288" w:before="0" w:after="0"/>
              <w:jc w:val="center"/>
              <w:rPr>
                <w:rFonts w:ascii="Times New Roman;sans-serif" w:hAnsi="Times New Roman;sans-serif"/>
                <w:b/>
                <w:color w:val="000000"/>
                <w:sz w:val="21"/>
              </w:rPr>
            </w:pPr>
            <w:r>
              <w:rPr>
                <w:rFonts w:ascii="Times New Roman;sans-serif" w:hAnsi="Times New Roman;sans-serif"/>
                <w:b/>
                <w:color w:val="000000"/>
                <w:sz w:val="21"/>
              </w:rPr>
              <w:t>(for New Vehicle</w:t>
            </w:r>
          </w:p>
          <w:p>
            <w:pPr>
              <w:pStyle w:val="TableContents"/>
              <w:bidi w:val="0"/>
              <w:spacing w:lineRule="auto" w:line="288" w:before="0" w:after="0"/>
              <w:jc w:val="center"/>
              <w:rPr>
                <w:rFonts w:ascii="Times New Roman;sans-serif" w:hAnsi="Times New Roman;sans-serif"/>
                <w:b/>
                <w:color w:val="000000"/>
                <w:sz w:val="21"/>
              </w:rPr>
            </w:pPr>
            <w:r>
              <w:rPr>
                <w:rFonts w:ascii="Times New Roman;sans-serif" w:hAnsi="Times New Roman;sans-serif"/>
                <w:b/>
                <w:color w:val="000000"/>
                <w:sz w:val="21"/>
              </w:rPr>
              <w:t>Floorplan Facility</w:t>
            </w:r>
          </w:p>
        </w:tc>
      </w:tr>
      <w:tr>
        <w:trPr/>
        <w:tc>
          <w:tcPr>
            <w:tcW w:w="4919"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0.15%</w:t>
            </w:r>
          </w:p>
        </w:tc>
        <w:tc>
          <w:tcPr>
            <w:tcW w:w="2084"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1.10%</w:t>
            </w:r>
          </w:p>
        </w:tc>
        <w:tc>
          <w:tcPr>
            <w:tcW w:w="1800"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0.10%</w:t>
            </w:r>
          </w:p>
        </w:tc>
      </w:tr>
    </w:tbl>
    <w:p>
      <w:pPr>
        <w:pStyle w:val="TextBody"/>
        <w:bidi w:val="0"/>
        <w:spacing w:before="0" w:after="0"/>
        <w:jc w:val="both"/>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With respect to the Used Vehicle Floorplan Facility, Applicable Rate means the following percentages per annum: </w:t>
      </w:r>
    </w:p>
    <w:tbl>
      <w:tblPr>
        <w:tblW w:w="10205" w:type="dxa"/>
        <w:jc w:val="left"/>
        <w:tblInd w:w="0" w:type="dxa"/>
        <w:tblLayout w:type="fixed"/>
        <w:tblCellMar>
          <w:top w:w="28" w:type="dxa"/>
          <w:left w:w="28" w:type="dxa"/>
          <w:bottom w:w="28" w:type="dxa"/>
          <w:right w:w="28" w:type="dxa"/>
        </w:tblCellMar>
      </w:tblPr>
      <w:tblGrid>
        <w:gridCol w:w="1190"/>
        <w:gridCol w:w="1048"/>
        <w:gridCol w:w="1050"/>
        <w:gridCol w:w="1155"/>
        <w:gridCol w:w="1155"/>
        <w:gridCol w:w="1158"/>
        <w:gridCol w:w="1007"/>
        <w:gridCol w:w="1007"/>
        <w:gridCol w:w="1435"/>
      </w:tblGrid>
      <w:tr>
        <w:trPr/>
        <w:tc>
          <w:tcPr>
            <w:tcW w:w="1190"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3288"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Commitment Fee for Used Vehicle</w:t>
            </w:r>
          </w:p>
          <w:p>
            <w:pPr>
              <w:pStyle w:val="TableContents"/>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Floorplan Facility</w:t>
            </w:r>
          </w:p>
        </w:tc>
        <w:tc>
          <w:tcPr>
            <w:tcW w:w="3468"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Daily Simple SOFR +</w:t>
            </w:r>
          </w:p>
          <w:p>
            <w:pPr>
              <w:pStyle w:val="TableContents"/>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(for Used Vehicle Floorplan Facility)</w:t>
            </w:r>
          </w:p>
        </w:tc>
        <w:tc>
          <w:tcPr>
            <w:tcW w:w="3449"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Base Rate + </w:t>
            </w:r>
          </w:p>
          <w:p>
            <w:pPr>
              <w:pStyle w:val="TableContents"/>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(for Used Vehicle Floorplan Facility</w:t>
            </w:r>
          </w:p>
        </w:tc>
      </w:tr>
      <w:tr>
        <w:trPr/>
        <w:tc>
          <w:tcPr>
            <w:tcW w:w="3288"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0.15%</w:t>
            </w:r>
          </w:p>
        </w:tc>
        <w:tc>
          <w:tcPr>
            <w:tcW w:w="3468"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1.40%</w:t>
            </w:r>
          </w:p>
        </w:tc>
        <w:tc>
          <w:tcPr>
            <w:tcW w:w="3449"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0.40%</w:t>
            </w:r>
          </w:p>
        </w:tc>
      </w:tr>
    </w:tbl>
    <w:p>
      <w:pPr>
        <w:pStyle w:val="TextBody"/>
        <w:bidi w:val="0"/>
        <w:spacing w:before="0" w:after="0"/>
        <w:jc w:val="both"/>
        <w:rPr/>
      </w:pPr>
      <w:r>
        <w:rPr/>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Applicable Revolving Percentage</w:t>
      </w:r>
      <w:r>
        <w:rPr>
          <w:color w:val="000000"/>
        </w:rPr>
        <w:t xml:space="preserve">” </w:t>
      </w:r>
      <w:r>
        <w:rPr>
          <w:rFonts w:ascii="Times New Roman;sans-serif" w:hAnsi="Times New Roman;sans-serif"/>
          <w:b w:val="false"/>
          <w:color w:val="000000"/>
          <w:sz w:val="22"/>
        </w:rPr>
        <w:t xml:space="preserve">means with respect to any Revolving Lender at any time, the percentage (carried out to the ninth decimal place) of the Aggregate Revolving Commitments represented by such Lender’s Revolving Commitment at such time, subject to adjustment as provided in </w:t>
      </w:r>
      <w:r>
        <w:rPr>
          <w:rFonts w:ascii="Times New Roman;sans-serif" w:hAnsi="Times New Roman;sans-serif"/>
          <w:b w:val="false"/>
          <w:color w:val="000000"/>
          <w:sz w:val="22"/>
          <w:u w:val="single"/>
        </w:rPr>
        <w:t>Section 2.27</w:t>
      </w:r>
      <w:r>
        <w:rPr>
          <w:rFonts w:ascii="Times New Roman;sans-serif" w:hAnsi="Times New Roman;sans-serif"/>
          <w:b w:val="false"/>
          <w:color w:val="000000"/>
          <w:sz w:val="22"/>
        </w:rPr>
        <w:t xml:space="preserve">. If the commitment of each Revolving Lender to make Revolving Loans and the obligation of each L/C Issuer to make L/C Credit Extensions have been terminated pursuant to </w:t>
      </w:r>
      <w:r>
        <w:rPr>
          <w:rFonts w:ascii="Times New Roman;sans-serif" w:hAnsi="Times New Roman;sans-serif"/>
          <w:b w:val="false"/>
          <w:color w:val="000000"/>
          <w:sz w:val="22"/>
          <w:u w:val="single"/>
        </w:rPr>
        <w:t>Section 8.02</w:t>
      </w:r>
      <w:r>
        <w:rPr>
          <w:color w:val="000000"/>
        </w:rPr>
        <w:t xml:space="preserve"> </w:t>
      </w:r>
      <w:r>
        <w:rPr>
          <w:rFonts w:ascii="Times New Roman;sans-serif" w:hAnsi="Times New Roman;sans-serif"/>
          <w:b w:val="false"/>
          <w:color w:val="000000"/>
          <w:sz w:val="22"/>
        </w:rPr>
        <w:t xml:space="preserve">or if the Aggregate Revolving Commitments have expired, then the Applicable Revolving Percentage of each Revolving Lender shall be determined based on the Applicable Revolving Percentage of such Lender most recently in effect, giving effect to any subsequent assignments and to any Lender’s status as a Defaulting Lender at the time of determination. The initial Applicable Revolving Percentage of each Revolving Lender is set forth opposite the name of such Revolving Lender on </w:t>
      </w:r>
      <w:r>
        <w:rPr>
          <w:rFonts w:ascii="Times New Roman;sans-serif" w:hAnsi="Times New Roman;sans-serif"/>
          <w:b w:val="false"/>
          <w:color w:val="000000"/>
          <w:sz w:val="22"/>
          <w:u w:val="single"/>
        </w:rPr>
        <w:t>Schedule 2.01</w:t>
      </w:r>
      <w:r>
        <w:rPr>
          <w:color w:val="000000"/>
        </w:rPr>
        <w:t xml:space="preserve"> </w:t>
      </w:r>
      <w:r>
        <w:rPr>
          <w:rFonts w:ascii="Times New Roman;sans-serif" w:hAnsi="Times New Roman;sans-serif"/>
          <w:b w:val="false"/>
          <w:color w:val="000000"/>
          <w:sz w:val="22"/>
        </w:rPr>
        <w:t>or in the Assignment and Assumption pursuant to which such Revolving Lender becomes a party hereto, as applicable.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Applicable Used Vehicle Floorplan Percentage</w:t>
      </w:r>
      <w:r>
        <w:rPr>
          <w:color w:val="000000"/>
        </w:rPr>
        <w:t xml:space="preserve">” </w:t>
      </w:r>
      <w:r>
        <w:rPr>
          <w:rFonts w:ascii="Times New Roman;sans-serif" w:hAnsi="Times New Roman;sans-serif"/>
          <w:b w:val="false"/>
          <w:color w:val="000000"/>
          <w:sz w:val="22"/>
        </w:rPr>
        <w:t xml:space="preserve">means with respect to any Used Vehicle Floorplan Lender at any time, the percentage (carried out to the ninth decimal place) of the Aggregate Used Vehicle Floorplan Commitments represented by such Lender’s Used Vehicle Floorplan Commitment at such time, subject to adjustment as provided in </w:t>
      </w:r>
      <w:r>
        <w:rPr>
          <w:rFonts w:ascii="Times New Roman;sans-serif" w:hAnsi="Times New Roman;sans-serif"/>
          <w:b w:val="false"/>
          <w:color w:val="000000"/>
          <w:sz w:val="22"/>
          <w:u w:val="single"/>
        </w:rPr>
        <w:t>Section 2.27</w:t>
      </w:r>
      <w:r>
        <w:rPr>
          <w:rFonts w:ascii="Times New Roman;sans-serif" w:hAnsi="Times New Roman;sans-serif"/>
          <w:b w:val="false"/>
          <w:color w:val="000000"/>
          <w:sz w:val="22"/>
        </w:rPr>
        <w:t xml:space="preserve">. If the commitment of each Used Vehicle Floorplan Lender to make Used Vehicle Floorplan Loans has been terminated pursuant to </w:t>
      </w:r>
      <w:r>
        <w:rPr>
          <w:rFonts w:ascii="Times New Roman;sans-serif" w:hAnsi="Times New Roman;sans-serif"/>
          <w:b w:val="false"/>
          <w:color w:val="000000"/>
          <w:sz w:val="22"/>
          <w:u w:val="single"/>
        </w:rPr>
        <w:t>Section 8.02</w:t>
      </w:r>
      <w:r>
        <w:rPr>
          <w:color w:val="000000"/>
        </w:rPr>
        <w:t xml:space="preserve"> </w:t>
      </w:r>
      <w:r>
        <w:rPr>
          <w:rFonts w:ascii="Times New Roman;sans-serif" w:hAnsi="Times New Roman;sans-serif"/>
          <w:b w:val="false"/>
          <w:color w:val="000000"/>
          <w:sz w:val="22"/>
        </w:rPr>
        <w:t xml:space="preserve">or if the Aggregate Used Vehicle Floorplan Commitments have expired, then the Applicable Used Vehicle Floorplan Percentage of each Used Vehicle Floorplan Lender shall be determined based on the Applicable Used Vehicle Floorplan Percentage of such Used Vehicle Floorplan Lender most recently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367665"/>
                <wp:effectExtent l="0" t="0" r="0" b="0"/>
                <wp:wrapNone/>
                <wp:docPr id="179" name="Frame17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in effect, giving effect to any subsequent assignments and to any Lender’s status as a Defaulting Lender at the time of determination. The initial Applicable Used Vehicle Floorplan Percentage of each Used Vehicle Floorplan Lender is set forth opposite the name of such Used Vehicle Floorplan Lender on </w:t>
      </w:r>
      <w:r>
        <w:rPr>
          <w:rFonts w:ascii="Times New Roman;sans-serif" w:hAnsi="Times New Roman;sans-serif"/>
          <w:b w:val="false"/>
          <w:color w:val="000000"/>
          <w:sz w:val="22"/>
          <w:u w:val="single"/>
        </w:rPr>
        <w:t>Schedule 2.01</w:t>
      </w:r>
      <w:r>
        <w:rPr>
          <w:color w:val="000000"/>
        </w:rPr>
        <w:t xml:space="preserve"> </w:t>
      </w:r>
      <w:r>
        <w:rPr>
          <w:rFonts w:ascii="Times New Roman;sans-serif" w:hAnsi="Times New Roman;sans-serif"/>
          <w:b w:val="false"/>
          <w:color w:val="000000"/>
          <w:sz w:val="22"/>
        </w:rPr>
        <w:t>or in the Assignment and Assumption pursuant to which such Used Vehicle Floorplan Lender becomes a party hereto, as applicable.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Approved Fund</w:t>
      </w:r>
      <w:r>
        <w:rPr>
          <w:color w:val="000000"/>
        </w:rPr>
        <w:t xml:space="preserve">” </w:t>
      </w:r>
      <w:r>
        <w:rPr>
          <w:rFonts w:ascii="Times New Roman;sans-serif" w:hAnsi="Times New Roman;sans-serif"/>
          <w:b w:val="false"/>
          <w:color w:val="000000"/>
          <w:sz w:val="22"/>
        </w:rPr>
        <w:t>means any Fund that is administered or managed by (a) a Lender, (b) an Affiliate of a Lender or (c) an entity or an Affiliate of an entity that administers or manages a Lender.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Arranger</w:t>
      </w:r>
      <w:r>
        <w:rPr>
          <w:color w:val="000000"/>
        </w:rPr>
        <w:t xml:space="preserve">” </w:t>
      </w:r>
      <w:r>
        <w:rPr>
          <w:rFonts w:ascii="Times New Roman;sans-serif" w:hAnsi="Times New Roman;sans-serif"/>
          <w:b w:val="false"/>
          <w:color w:val="000000"/>
          <w:sz w:val="22"/>
        </w:rPr>
        <w:t>means BofA Securities, Inc., in its capacity as sole lead arranger and sole bookrunner.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Asbury New Vehicle Control Period</w:t>
      </w:r>
      <w:r>
        <w:rPr>
          <w:color w:val="000000"/>
        </w:rPr>
        <w:t xml:space="preserve">” </w:t>
      </w:r>
      <w:r>
        <w:rPr>
          <w:rFonts w:ascii="Times New Roman;sans-serif" w:hAnsi="Times New Roman;sans-serif"/>
          <w:b w:val="false"/>
          <w:color w:val="000000"/>
          <w:sz w:val="22"/>
        </w:rPr>
        <w:t xml:space="preserve">means any period beginning two (2) Business Days after the date that the Company delivers notice to the New Vehicle Floorplan Swing Line Lender and the Administrative Agent indicating that the Company desires to have the ability to request New Vehicle Floorplan Borrowings, and continuing until two (2) Business Days after the date that the Company delivers notice to the New Vehicle Floorplan Swing Line Lender and the Administrative Agent that the Company wishes to terminate such Asbury New Vehicle Control Period.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Assignee Group</w:t>
      </w:r>
      <w:r>
        <w:rPr>
          <w:color w:val="000000"/>
        </w:rPr>
        <w:t xml:space="preserve">” </w:t>
      </w:r>
      <w:r>
        <w:rPr>
          <w:rFonts w:ascii="Times New Roman;sans-serif" w:hAnsi="Times New Roman;sans-serif"/>
          <w:b w:val="false"/>
          <w:color w:val="000000"/>
          <w:sz w:val="22"/>
        </w:rPr>
        <w:t>means two or more Eligible Assignees that are Affiliates of one another or two or more Approved Funds managed by the same investment advisor.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Assignment and Assumption</w:t>
      </w:r>
      <w:r>
        <w:rPr>
          <w:color w:val="000000"/>
        </w:rPr>
        <w:t xml:space="preserve">” </w:t>
      </w:r>
      <w:r>
        <w:rPr>
          <w:rFonts w:ascii="Times New Roman;sans-serif" w:hAnsi="Times New Roman;sans-serif"/>
          <w:b w:val="false"/>
          <w:color w:val="000000"/>
          <w:sz w:val="22"/>
        </w:rPr>
        <w:t xml:space="preserve">means an assignment and assumption entered into by a Lender and an Eligible Assignee (with the consent of any party whose consent is required by </w:t>
      </w:r>
      <w:r>
        <w:rPr>
          <w:rFonts w:ascii="Times New Roman;sans-serif" w:hAnsi="Times New Roman;sans-serif"/>
          <w:b w:val="false"/>
          <w:color w:val="000000"/>
          <w:sz w:val="22"/>
          <w:u w:val="single"/>
        </w:rPr>
        <w:t>Section 10.06(b)</w:t>
      </w:r>
      <w:r>
        <w:rPr>
          <w:rFonts w:ascii="Times New Roman;sans-serif" w:hAnsi="Times New Roman;sans-serif"/>
          <w:b w:val="false"/>
          <w:color w:val="000000"/>
          <w:sz w:val="22"/>
        </w:rPr>
        <w:t xml:space="preserve">), and accepted by the Administrative Agent, in substantially the form of </w:t>
      </w:r>
      <w:r>
        <w:rPr>
          <w:rFonts w:ascii="Times New Roman;sans-serif" w:hAnsi="Times New Roman;sans-serif"/>
          <w:b w:val="false"/>
          <w:color w:val="000000"/>
          <w:sz w:val="22"/>
          <w:u w:val="single"/>
        </w:rPr>
        <w:t>Exhibit D</w:t>
      </w:r>
      <w:r>
        <w:rPr>
          <w:color w:val="000000"/>
        </w:rPr>
        <w:t xml:space="preserve"> </w:t>
      </w:r>
      <w:r>
        <w:rPr>
          <w:rFonts w:ascii="Times New Roman;sans-serif" w:hAnsi="Times New Roman;sans-serif"/>
          <w:b w:val="false"/>
          <w:color w:val="000000"/>
          <w:sz w:val="22"/>
        </w:rPr>
        <w:t>or any other form (including electronic documentation generated by use of an electronic platform) approved by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Attributable Indebtedness</w:t>
      </w:r>
      <w:r>
        <w:rPr>
          <w:color w:val="000000"/>
        </w:rPr>
        <w:t xml:space="preserve">” </w:t>
      </w:r>
      <w:r>
        <w:rPr>
          <w:rFonts w:ascii="Times New Roman;sans-serif" w:hAnsi="Times New Roman;sans-serif"/>
          <w:b w:val="false"/>
          <w:color w:val="000000"/>
          <w:sz w:val="22"/>
        </w:rPr>
        <w:t xml:space="preserve">means, on any date, (a) in respect of any capital lease or finance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 or finance lease;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 for purposes of determining compliance with any provision of this Agreement, the determination of whether a lease is to be treated as an operating lease, on the one hand, or capital lease or finance lease, on the other hand, shall be made without giving effect to any change in accounting for leases pursuant to GAAP resulting from the implementation of Financial Accounting Standards Board ASU No. 2016-02, Leases (Topic 842), to the extent such adoption would require treating any lease (or similar arrangement conveying the right to use) as a capital lease or finance lease where such lease (or similar arrangement) would not have been required to be so treated under GAAP as in effect on December 31, 2018.</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Audited Financial Statements</w:t>
      </w:r>
      <w:r>
        <w:rPr>
          <w:color w:val="000000"/>
        </w:rPr>
        <w:t xml:space="preserve">” </w:t>
      </w:r>
      <w:r>
        <w:rPr>
          <w:rFonts w:ascii="Times New Roman;sans-serif" w:hAnsi="Times New Roman;sans-serif"/>
          <w:b w:val="false"/>
          <w:color w:val="000000"/>
          <w:sz w:val="22"/>
        </w:rPr>
        <w:t>means the audited consolidated balance sheet of the Company and its Subsidiaries for the fiscal year ended December 31, 2022, and the related consolidated statements of income or operations, shareholders’ equity and cash flows for such fiscal year of the Company and its Subsidiaries, including the notes 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Auto-Extension Letter of Credit</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2.03(b)</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Autoborrow Agreement</w:t>
      </w:r>
      <w:r>
        <w:rPr>
          <w:color w:val="000000"/>
        </w:rPr>
        <w:t xml:space="preserve">” </w:t>
      </w:r>
      <w:r>
        <w:rPr>
          <w:rFonts w:ascii="Times New Roman;sans-serif" w:hAnsi="Times New Roman;sans-serif"/>
          <w:b w:val="false"/>
          <w:color w:val="000000"/>
          <w:sz w:val="22"/>
        </w:rPr>
        <w:t>means the Revolving Autoborrow Agreement, the New Vehicle Autoborrow Agreement or the Used Vehicle Autoborrow Agreement, as applicable.</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367665"/>
                <wp:effectExtent l="0" t="0" r="0" b="0"/>
                <wp:wrapNone/>
                <wp:docPr id="180" name="Frame17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Automatic Debit Date</w:t>
      </w:r>
      <w:r>
        <w:rPr>
          <w:color w:val="000000"/>
        </w:rPr>
        <w:t xml:space="preserve">” </w:t>
      </w:r>
      <w:r>
        <w:rPr>
          <w:rFonts w:ascii="Times New Roman;sans-serif" w:hAnsi="Times New Roman;sans-serif"/>
          <w:b w:val="false"/>
          <w:color w:val="000000"/>
          <w:sz w:val="22"/>
        </w:rPr>
        <w:t xml:space="preserve">means the fifth day of a calendar month,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such day is not a Business Day, the respective Automatic Debit Date shall be the next succeeding Business Day.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Availability Period</w:t>
      </w:r>
      <w:r>
        <w:rPr>
          <w:color w:val="000000"/>
        </w:rPr>
        <w:t xml:space="preserve">” </w:t>
      </w:r>
      <w:r>
        <w:rPr>
          <w:rFonts w:ascii="Times New Roman;sans-serif" w:hAnsi="Times New Roman;sans-serif"/>
          <w:b w:val="false"/>
          <w:color w:val="000000"/>
          <w:sz w:val="22"/>
        </w:rPr>
        <w:t>means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in the case of the Revolving Credit Facility, the period from and including the Closing Date to the earliest of (i) the Maturity Date, (ii) the date of termination of the Aggregate Revolving Commitments pursuant to </w:t>
      </w:r>
      <w:r>
        <w:rPr>
          <w:rFonts w:ascii="Times New Roman;sans-serif" w:hAnsi="Times New Roman;sans-serif"/>
          <w:b w:val="false"/>
          <w:color w:val="000000"/>
          <w:sz w:val="22"/>
          <w:u w:val="single"/>
        </w:rPr>
        <w:t>Section 2.14</w:t>
      </w:r>
      <w:r>
        <w:rPr>
          <w:rFonts w:ascii="Times New Roman;sans-serif" w:hAnsi="Times New Roman;sans-serif"/>
          <w:b w:val="false"/>
          <w:color w:val="000000"/>
          <w:sz w:val="22"/>
        </w:rPr>
        <w:t xml:space="preserve">, and (iii) the date of termination of the commitment of each Revolving Lender to make Revolving Loans and of the obligation of each L/C Issuer to make L/C Credit Extensions pursuant to </w:t>
      </w:r>
      <w:r>
        <w:rPr>
          <w:rFonts w:ascii="Times New Roman;sans-serif" w:hAnsi="Times New Roman;sans-serif"/>
          <w:b w:val="false"/>
          <w:color w:val="000000"/>
          <w:sz w:val="22"/>
          <w:u w:val="single"/>
        </w:rPr>
        <w:t>Section 8.02</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in the case of the New Vehicle Floorplan Facility, the period from and including the Closing Date to the earliest of (i) the Maturity Date, (ii) the date of termination of the Aggregate New Vehicle Floorplan Commitments pursuant to </w:t>
      </w:r>
      <w:r>
        <w:rPr>
          <w:rFonts w:ascii="Times New Roman;sans-serif" w:hAnsi="Times New Roman;sans-serif"/>
          <w:b w:val="false"/>
          <w:color w:val="000000"/>
          <w:sz w:val="22"/>
          <w:u w:val="single"/>
        </w:rPr>
        <w:t>Section 2.14</w:t>
      </w:r>
      <w:r>
        <w:rPr>
          <w:color w:val="000000"/>
        </w:rPr>
        <w:t xml:space="preserve"> </w:t>
      </w:r>
      <w:r>
        <w:rPr>
          <w:rFonts w:ascii="Times New Roman;sans-serif" w:hAnsi="Times New Roman;sans-serif"/>
          <w:b w:val="false"/>
          <w:color w:val="000000"/>
          <w:sz w:val="22"/>
        </w:rPr>
        <w:t xml:space="preserve">and (iii) the date of termination of the commitment of each New Vehicle Floorplan Lender to make New Vehicle Floorplan Loans pursuant to </w:t>
      </w:r>
      <w:r>
        <w:rPr>
          <w:rFonts w:ascii="Times New Roman;sans-serif" w:hAnsi="Times New Roman;sans-serif"/>
          <w:b w:val="false"/>
          <w:color w:val="000000"/>
          <w:sz w:val="22"/>
          <w:u w:val="single"/>
        </w:rPr>
        <w:t>Section 8.04</w:t>
      </w:r>
      <w:r>
        <w:rPr>
          <w:rFonts w:ascii="Times New Roman;sans-serif" w:hAnsi="Times New Roman;sans-serif"/>
          <w:b w:val="false"/>
          <w:color w:val="000000"/>
          <w:sz w:val="22"/>
        </w:rPr>
        <w:t>,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in the case of the Used Vehicle Floorplan Facility, the period from and including the Closing Date to the earliest of (i) the Maturity Date, (ii) the date of termination of the Aggregate Used Vehicle Floorplan Commitments pursuant to </w:t>
      </w:r>
      <w:r>
        <w:rPr>
          <w:rFonts w:ascii="Times New Roman;sans-serif" w:hAnsi="Times New Roman;sans-serif"/>
          <w:b w:val="false"/>
          <w:color w:val="000000"/>
          <w:sz w:val="22"/>
          <w:u w:val="single"/>
        </w:rPr>
        <w:t>Section 2.14</w:t>
      </w:r>
      <w:r>
        <w:rPr>
          <w:color w:val="000000"/>
        </w:rPr>
        <w:t xml:space="preserve"> </w:t>
      </w:r>
      <w:r>
        <w:rPr>
          <w:rFonts w:ascii="Times New Roman;sans-serif" w:hAnsi="Times New Roman;sans-serif"/>
          <w:b w:val="false"/>
          <w:color w:val="000000"/>
          <w:sz w:val="22"/>
        </w:rPr>
        <w:t xml:space="preserve">and (iii) the date of termination of the commitment of each Used Vehicle Floorplan Lender to make Used Vehicle Floorplan Loans pursuant to </w:t>
      </w:r>
      <w:r>
        <w:rPr>
          <w:rFonts w:ascii="Times New Roman;sans-serif" w:hAnsi="Times New Roman;sans-serif"/>
          <w:b w:val="false"/>
          <w:color w:val="000000"/>
          <w:sz w:val="22"/>
          <w:u w:val="single"/>
        </w:rPr>
        <w:t>Section 8.02</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Available Unused Revolving Commitments</w:t>
      </w:r>
      <w:r>
        <w:rPr>
          <w:color w:val="000000"/>
        </w:rPr>
        <w:t xml:space="preserve">” </w:t>
      </w:r>
      <w:r>
        <w:rPr>
          <w:rFonts w:ascii="Times New Roman;sans-serif" w:hAnsi="Times New Roman;sans-serif"/>
          <w:b w:val="false"/>
          <w:color w:val="000000"/>
          <w:sz w:val="22"/>
        </w:rPr>
        <w:t xml:space="preserve">means, as of any date of determination, the total of (a) the lesser of the Aggregate Revolving Commitments or the Revolving Borrowing Base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(b) Total Revolving Outstandings.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Bail-In Action</w:t>
      </w:r>
      <w:r>
        <w:rPr>
          <w:color w:val="000000"/>
        </w:rPr>
        <w:t xml:space="preserve">” </w:t>
      </w:r>
      <w:r>
        <w:rPr>
          <w:rFonts w:ascii="Times New Roman;sans-serif" w:hAnsi="Times New Roman;sans-serif"/>
          <w:b w:val="false"/>
          <w:color w:val="000000"/>
          <w:sz w:val="22"/>
        </w:rPr>
        <w:t>means the exercise of any Write-Down and Conversion Powers by the applicable Resolution Authority in respect of any liability of an Affected Financial Institution.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Bail-In Legislation</w:t>
      </w:r>
      <w:r>
        <w:rPr>
          <w:color w:val="000000"/>
        </w:rPr>
        <w:t xml:space="preserve">” </w:t>
      </w:r>
      <w:r>
        <w:rPr>
          <w:rFonts w:ascii="Times New Roman;sans-serif" w:hAnsi="Times New Roman;sans-serif"/>
          <w:b w:val="false"/>
          <w:color w:val="000000"/>
          <w:sz w:val="22"/>
        </w:rPr>
        <w:t>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Bank of America</w:t>
      </w:r>
      <w:r>
        <w:rPr>
          <w:color w:val="000000"/>
        </w:rPr>
        <w:t xml:space="preserve">” </w:t>
      </w:r>
      <w:r>
        <w:rPr>
          <w:rFonts w:ascii="Times New Roman;sans-serif" w:hAnsi="Times New Roman;sans-serif"/>
          <w:b w:val="false"/>
          <w:color w:val="000000"/>
          <w:sz w:val="22"/>
        </w:rPr>
        <w:t>means Bank of America, N.A. and its successors.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Bank of America Fee Letter</w:t>
      </w:r>
      <w:r>
        <w:rPr>
          <w:color w:val="000000"/>
        </w:rPr>
        <w:t xml:space="preserve">” </w:t>
      </w:r>
      <w:r>
        <w:rPr>
          <w:rFonts w:ascii="Times New Roman;sans-serif" w:hAnsi="Times New Roman;sans-serif"/>
          <w:b w:val="false"/>
          <w:color w:val="000000"/>
          <w:sz w:val="22"/>
        </w:rPr>
        <w:t>means the letter agreement, dated September 27, 2023, among the Company, the Administrative Agent and the Arranger.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Base Rate</w:t>
      </w:r>
      <w:r>
        <w:rPr>
          <w:color w:val="000000"/>
        </w:rPr>
        <w:t xml:space="preserve">” </w:t>
      </w:r>
      <w:r>
        <w:rPr>
          <w:rFonts w:ascii="Times New Roman;sans-serif" w:hAnsi="Times New Roman;sans-serif"/>
          <w:b w:val="false"/>
          <w:color w:val="000000"/>
          <w:sz w:val="22"/>
        </w:rPr>
        <w:t xml:space="preserve">means for any day a fluctuating rate per annum equal to the highest of (a) the Federal Funds Rate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1/2 of 1%, (b) the rate of interest in effect for such day as publicly announced from time to time by Bank of America as its “prime rate,” (c) Daily Simple SOFR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1.00%, and (d)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367665"/>
                <wp:effectExtent l="0" t="0" r="0" b="0"/>
                <wp:wrapNone/>
                <wp:docPr id="181" name="Frame17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of interest pursuant to </w:t>
      </w:r>
      <w:r>
        <w:rPr>
          <w:rFonts w:ascii="Times New Roman;sans-serif" w:hAnsi="Times New Roman;sans-serif"/>
          <w:b w:val="false"/>
          <w:color w:val="000000"/>
          <w:sz w:val="22"/>
          <w:u w:val="single"/>
        </w:rPr>
        <w:t>Section 3.03</w:t>
      </w:r>
      <w:r>
        <w:rPr>
          <w:color w:val="000000"/>
        </w:rPr>
        <w:t xml:space="preserve"> </w:t>
      </w:r>
      <w:r>
        <w:rPr>
          <w:rFonts w:ascii="Times New Roman;sans-serif" w:hAnsi="Times New Roman;sans-serif"/>
          <w:b w:val="false"/>
          <w:color w:val="000000"/>
          <w:sz w:val="22"/>
        </w:rPr>
        <w:t xml:space="preserve">hereof, then the Base Rate shall be the greater of </w:t>
      </w:r>
      <w:r>
        <w:rPr>
          <w:rFonts w:ascii="Times New Roman;sans-serif" w:hAnsi="Times New Roman;sans-serif"/>
          <w:b w:val="false"/>
          <w:color w:val="000000"/>
          <w:sz w:val="22"/>
          <w:u w:val="single"/>
        </w:rPr>
        <w:t>clauses (a)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(d)</w:t>
      </w:r>
      <w:r>
        <w:rPr>
          <w:color w:val="000000"/>
        </w:rPr>
        <w:t xml:space="preserve"> </w:t>
      </w:r>
      <w:r>
        <w:rPr>
          <w:rFonts w:ascii="Times New Roman;sans-serif" w:hAnsi="Times New Roman;sans-serif"/>
          <w:b w:val="false"/>
          <w:color w:val="000000"/>
          <w:sz w:val="22"/>
        </w:rPr>
        <w:t xml:space="preserve">above and shall be determined without reference to </w:t>
      </w:r>
      <w:r>
        <w:rPr>
          <w:rFonts w:ascii="Times New Roman;sans-serif" w:hAnsi="Times New Roman;sans-serif"/>
          <w:b w:val="false"/>
          <w:color w:val="000000"/>
          <w:sz w:val="22"/>
          <w:u w:val="single"/>
        </w:rPr>
        <w:t>clause (c)</w:t>
      </w:r>
      <w:r>
        <w:rPr>
          <w:color w:val="000000"/>
        </w:rPr>
        <w:t xml:space="preserve"> </w:t>
      </w:r>
      <w:r>
        <w:rPr>
          <w:rFonts w:ascii="Times New Roman;sans-serif" w:hAnsi="Times New Roman;sans-serif"/>
          <w:b w:val="false"/>
          <w:color w:val="000000"/>
          <w:sz w:val="22"/>
        </w:rPr>
        <w:t>above.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Base Rate Committed Loan</w:t>
      </w:r>
      <w:r>
        <w:rPr>
          <w:color w:val="000000"/>
        </w:rPr>
        <w:t xml:space="preserve">” </w:t>
      </w:r>
      <w:r>
        <w:rPr>
          <w:rFonts w:ascii="Times New Roman;sans-serif" w:hAnsi="Times New Roman;sans-serif"/>
          <w:b w:val="false"/>
          <w:color w:val="000000"/>
          <w:sz w:val="22"/>
        </w:rPr>
        <w:t>means a Revolving Committed Loan, a New Vehicle Floorplan Committed Loan or a Used Vehicle Floorplan Committed Loan, as the context may require, that is a Base Rate Loan.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Base Rate Loan</w:t>
      </w:r>
      <w:r>
        <w:rPr>
          <w:color w:val="000000"/>
        </w:rPr>
        <w:t xml:space="preserve">” </w:t>
      </w:r>
      <w:r>
        <w:rPr>
          <w:rFonts w:ascii="Times New Roman;sans-serif" w:hAnsi="Times New Roman;sans-serif"/>
          <w:b w:val="false"/>
          <w:color w:val="000000"/>
          <w:sz w:val="22"/>
        </w:rPr>
        <w:t>means a Loan that bears interest based on the Base Rate.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Beneficial Ownership Certification</w:t>
      </w:r>
      <w:r>
        <w:rPr>
          <w:color w:val="000000"/>
        </w:rPr>
        <w:t xml:space="preserve">” </w:t>
      </w:r>
      <w:r>
        <w:rPr>
          <w:rFonts w:ascii="Times New Roman;sans-serif" w:hAnsi="Times New Roman;sans-serif"/>
          <w:b w:val="false"/>
          <w:color w:val="000000"/>
          <w:sz w:val="22"/>
        </w:rPr>
        <w:t>means a certification regarding beneficial ownership required by the Beneficial Ownership Regulation.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Beneficial Ownership Regulation</w:t>
      </w:r>
      <w:r>
        <w:rPr>
          <w:color w:val="000000"/>
        </w:rPr>
        <w:t xml:space="preserve">” </w:t>
      </w:r>
      <w:r>
        <w:rPr>
          <w:rFonts w:ascii="Times New Roman;sans-serif" w:hAnsi="Times New Roman;sans-serif"/>
          <w:b w:val="false"/>
          <w:color w:val="000000"/>
          <w:sz w:val="22"/>
        </w:rPr>
        <w:t>means 31 C.F.R. § 1010.230.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Benefit Plan</w:t>
      </w:r>
      <w:r>
        <w:rPr>
          <w:color w:val="000000"/>
        </w:rPr>
        <w:t xml:space="preserve">” </w:t>
      </w:r>
      <w:r>
        <w:rPr>
          <w:rFonts w:ascii="Times New Roman;sans-serif" w:hAnsi="Times New Roman;sans-serif"/>
          <w:b w:val="false"/>
          <w:color w:val="000000"/>
          <w:sz w:val="22"/>
        </w:rPr>
        <w:t>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Blocked Account Agreement</w:t>
      </w:r>
      <w:r>
        <w:rPr>
          <w:color w:val="000000"/>
        </w:rPr>
        <w:t xml:space="preserve">” </w:t>
      </w:r>
      <w:r>
        <w:rPr>
          <w:rFonts w:ascii="Times New Roman;sans-serif" w:hAnsi="Times New Roman;sans-serif"/>
          <w:b w:val="false"/>
          <w:color w:val="000000"/>
          <w:sz w:val="22"/>
        </w:rPr>
        <w:t>means a control agreement reasonably satisfactory to the Administrative Agent executed by an institution maintaining a deposit account or securities account for a Borrower or Guarantor, to perfect the Administrative Agent’s Lien on such account.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Borrower</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Borrowers</w:t>
      </w:r>
      <w:r>
        <w:rPr>
          <w:color w:val="000000"/>
        </w:rPr>
        <w:t xml:space="preserve">” </w:t>
      </w:r>
      <w:r>
        <w:rPr>
          <w:rFonts w:ascii="Times New Roman;sans-serif" w:hAnsi="Times New Roman;sans-serif"/>
          <w:b w:val="false"/>
          <w:color w:val="000000"/>
          <w:sz w:val="22"/>
        </w:rPr>
        <w:t>each has the meaning specified in the introductory paragraph 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Borrower Materials</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6.02</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Borrowing</w:t>
      </w:r>
      <w:r>
        <w:rPr>
          <w:color w:val="000000"/>
        </w:rPr>
        <w:t xml:space="preserve">” </w:t>
      </w:r>
      <w:r>
        <w:rPr>
          <w:rFonts w:ascii="Times New Roman;sans-serif" w:hAnsi="Times New Roman;sans-serif"/>
          <w:b w:val="false"/>
          <w:color w:val="000000"/>
          <w:sz w:val="22"/>
        </w:rPr>
        <w:t>means a Revolving Borrowing, a New Vehicle Floorplan Borrowing, or a Used Vehicle Floorplan Borrowing, as the context may require.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Borrowing Base Assets</w:t>
      </w:r>
      <w:r>
        <w:rPr>
          <w:color w:val="000000"/>
        </w:rPr>
        <w:t xml:space="preserve">” </w:t>
      </w:r>
      <w:r>
        <w:rPr>
          <w:rFonts w:ascii="Times New Roman;sans-serif" w:hAnsi="Times New Roman;sans-serif"/>
          <w:b w:val="false"/>
          <w:color w:val="000000"/>
          <w:sz w:val="22"/>
        </w:rPr>
        <w:t>means (a) Company’s or any Subsidiary Guarantor’s Contracts-in-Transit, (b) Company’s or any Subsidiary Guarantor’s Accounts, (c) any New Vehicle Borrower’s New Vehicles, (d) any Used Vehicle Borrower’s Used Vehicles, (e) Company’s or any Subsidiary Guarantor’s Inventory consisting of parts and accessories, (f) Company’s and any Restricted Subsidiary’s Qualified Cash, (g) Company’s or any Subsidiary Guarantor’s Equipment (in the case of clauses (a) through (g), whether or not they meet the eligibility criteria for inclusion in the Revolving Borrowing Base or the Used Vehicle Floorplan Borrowing Base), and (h) Eligible Borrowing Base Real Estate.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Borrowing Base Permitted Liens</w:t>
      </w:r>
      <w:r>
        <w:rPr>
          <w:color w:val="000000"/>
        </w:rPr>
        <w:t xml:space="preserve">” </w:t>
      </w:r>
      <w:r>
        <w:rPr>
          <w:rFonts w:ascii="Times New Roman;sans-serif" w:hAnsi="Times New Roman;sans-serif"/>
          <w:b w:val="false"/>
          <w:color w:val="000000"/>
          <w:sz w:val="22"/>
        </w:rPr>
        <w:t xml:space="preserve">means, collectively: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Liens created pursuant to the Loan Documents and securing the Obligations,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Liens permitted by this Agreement that (i) are subordinate in priority to the Liens described in clause (a) of this definition or are Liens for which the Administrative Agent may have established a reasonable reserve, (ii) are non-consensual and have not been agreed to or granted by the Company or any Subsidiary in any agreement or document and (iii) do not secure obligations for money borrowed or any guaranty thereof,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367665"/>
                <wp:effectExtent l="0" t="0" r="0" b="0"/>
                <wp:wrapNone/>
                <wp:docPr id="182" name="Frame17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Any Lien permitted by </w:t>
      </w:r>
      <w:r>
        <w:rPr>
          <w:rFonts w:ascii="Times New Roman;sans-serif" w:hAnsi="Times New Roman;sans-serif"/>
          <w:b w:val="false"/>
          <w:color w:val="000000"/>
          <w:sz w:val="22"/>
          <w:u w:val="single"/>
        </w:rPr>
        <w:t>Section 7.02(f)</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(q)</w:t>
      </w:r>
      <w:r>
        <w:rPr>
          <w:color w:val="000000"/>
        </w:rPr>
        <w:t xml:space="preserve"> </w:t>
      </w:r>
      <w:r>
        <w:rPr>
          <w:rFonts w:ascii="Times New Roman;sans-serif" w:hAnsi="Times New Roman;sans-serif"/>
          <w:b w:val="false"/>
          <w:color w:val="000000"/>
          <w:sz w:val="22"/>
        </w:rPr>
        <w:t xml:space="preserve">of this Agreement,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in each case that the holder of such Lien has not taken any action to exercise any remedy in respect of any asset subject to such Lien,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solely in the case of any Eligible Borrowing Base Real Estate, easements, rights of way, zoning restrictions and other minor Liens and encumbrances and title exceptions; provided, that, except for (i) tax liens securing obligations that are not yet due and payable or that are being contested in good faith by appropriate proceedings, or (ii) carriers’, warehousemen’s, mechanics’, materialmen’s, workmen’s, repairmen’s or other like liens arising or incurred in the ordinary course of business or amounts that are not delinquent and which are not, individually or in the aggregate, material to the business of such Borrower, any Lien securing debt for borrowed money shall not be considered a minor Lien or encumbrance.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Without limiting the generality of clause (b)(ii) or (iii) above, no Lien that secures any Permitted FMCC Floorplan Indebtedness or Permitted Service Loaner Indebtedness shall constitute a Borrowing Base Permitted Lien.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Business Day</w:t>
      </w:r>
      <w:r>
        <w:rPr>
          <w:color w:val="000000"/>
        </w:rPr>
        <w:t xml:space="preserve">” </w:t>
      </w:r>
      <w:r>
        <w:rPr>
          <w:rFonts w:ascii="Times New Roman;sans-serif" w:hAnsi="Times New Roman;sans-serif"/>
          <w:b w:val="false"/>
          <w:color w:val="000000"/>
          <w:sz w:val="22"/>
        </w:rPr>
        <w:t>means any day other than a Saturday, Sunday or other day on which commercial banks are authorized to close under the Laws of, or are in fact closed in, the state where the Administrative Agent’s Office is located.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Captive Insurance Company</w:t>
      </w:r>
      <w:r>
        <w:rPr>
          <w:color w:val="000000"/>
        </w:rPr>
        <w:t xml:space="preserve">” </w:t>
      </w:r>
      <w:r>
        <w:rPr>
          <w:rFonts w:ascii="Times New Roman;sans-serif" w:hAnsi="Times New Roman;sans-serif"/>
          <w:b w:val="false"/>
          <w:color w:val="000000"/>
          <w:sz w:val="22"/>
        </w:rPr>
        <w:t>means any captive insurance company that is either (A) formed by the Company or any of its Subsidiaries or (B) acquired by the Company or any of its Subsidiaries or Affiliates in connection with any Permitted Acquisition, in each case so long as the primary purpose of such entity is providing self-insurance benefits to a Borrower or its Subsidiaries and Affiliates.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Cash Collateralize</w:t>
      </w:r>
      <w:r>
        <w:rPr>
          <w:color w:val="000000"/>
        </w:rPr>
        <w:t xml:space="preserve">” </w:t>
      </w:r>
      <w:r>
        <w:rPr>
          <w:rFonts w:ascii="Times New Roman;sans-serif" w:hAnsi="Times New Roman;sans-serif"/>
          <w:b w:val="false"/>
          <w:color w:val="000000"/>
          <w:sz w:val="22"/>
        </w:rPr>
        <w:t>means to pledge and deposit with or deliver to the Administrative Agent, for the benefit of the Administrative Agent, the respective L/C Issuer or Swing Line Lender (as applicable) and the Lenders, as collateral for L/C Obligations, Obligations in respect of Swing Line Loans, or obligations of Lenders to fund participations in respect of either thereof (as the context may require), cash or deposit account balances or, if the applicable L/C Issuer or Swing Line Lender benefitting from such collateral shall agree in its sole discretion, other credit support, in each case pursuant to documentation in form and substance satisfactory to (a) the Administrative Agent and (b) the respective L/C Issuer or the Swing Line Lender (as applicable). “Cash Collateral” shall have a meaning correlative to the foregoing and shall include the proceeds of such cash collateral and other credit support.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Cash Management Agreement</w:t>
      </w:r>
      <w:r>
        <w:rPr>
          <w:color w:val="000000"/>
        </w:rPr>
        <w:t xml:space="preserve">” </w:t>
      </w:r>
      <w:r>
        <w:rPr>
          <w:rFonts w:ascii="Times New Roman;sans-serif" w:hAnsi="Times New Roman;sans-serif"/>
          <w:b w:val="false"/>
          <w:color w:val="000000"/>
          <w:sz w:val="22"/>
        </w:rPr>
        <w:t>means any agreement (written or oral) to provide cash management services, including treasury, depository, overdraft, credit or debit card, electronic funds transfer and other cash management arrangements.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Cash Management Bank</w:t>
      </w:r>
      <w:r>
        <w:rPr>
          <w:color w:val="000000"/>
        </w:rPr>
        <w:t xml:space="preserve">” </w:t>
      </w:r>
      <w:r>
        <w:rPr>
          <w:rFonts w:ascii="Times New Roman;sans-serif" w:hAnsi="Times New Roman;sans-serif"/>
          <w:b w:val="false"/>
          <w:color w:val="000000"/>
          <w:sz w:val="22"/>
        </w:rPr>
        <w:t>means any Person that, (a) at the time it enters into a Cash Management Agreement, is a Lender or an Affiliate of a Lender, or (b) at the time it (or its Affiliate) becomes a Lender, is a party to a Cash Management Agreement, in each case in its capacity as a party to such Cash Management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Change in Law</w:t>
      </w:r>
      <w:r>
        <w:rPr>
          <w:color w:val="000000"/>
        </w:rPr>
        <w:t xml:space="preserve">” </w:t>
      </w:r>
      <w:r>
        <w:rPr>
          <w:rFonts w:ascii="Times New Roman;sans-serif" w:hAnsi="Times New Roman;sans-serif"/>
          <w:b w:val="false"/>
          <w:color w:val="000000"/>
          <w:sz w:val="22"/>
        </w:rPr>
        <w:t xml:space="preserve">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notwithstanding anything herein to the contrary, (x) the Dodd-Frank Wall Street Reform and Consumer Protection Act and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367665"/>
                <wp:effectExtent l="0" t="0" r="0" b="0"/>
                <wp:wrapNone/>
                <wp:docPr id="183" name="Frame17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Change of Control</w:t>
      </w:r>
      <w:r>
        <w:rPr>
          <w:color w:val="000000"/>
        </w:rPr>
        <w:t xml:space="preserve">” </w:t>
      </w:r>
      <w:r>
        <w:rPr>
          <w:rFonts w:ascii="Times New Roman;sans-serif" w:hAnsi="Times New Roman;sans-serif"/>
          <w:b w:val="false"/>
          <w:color w:val="000000"/>
          <w:sz w:val="22"/>
        </w:rPr>
        <w:t>means (a) the direct or indirect sale, transfer, conveyance or other disposition, in one or a series of related transactions, of the voting stock in the Company, the result of which is that a Person other than a Permitted Holder becomes the beneficial owner, directly or indirectly of more than 35% of the voting stock of the Company, measured by voting power rather than number of shares, (b) a Change of Control as defined in the Indentures or (c) a change of control under any indenture or any similar instrument evidencing any refinancing, refunding, renewal or extension of any Subordinated Indebtedness. As used herein, “Permitted Holder” means those direct and indirect beneficial owners of the voting stock of the Company as of the Closing Date. As used herein, voting stock of any Person as of any date means the capital stock of such Person that at such date is entitled to vote in the election of the Board of Directors of such Person.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Closing Date</w:t>
      </w:r>
      <w:r>
        <w:rPr>
          <w:color w:val="000000"/>
        </w:rPr>
        <w:t xml:space="preserve">” </w:t>
      </w:r>
      <w:r>
        <w:rPr>
          <w:rFonts w:ascii="Times New Roman;sans-serif" w:hAnsi="Times New Roman;sans-serif"/>
          <w:b w:val="false"/>
          <w:color w:val="000000"/>
          <w:sz w:val="22"/>
        </w:rPr>
        <w:t xml:space="preserve">means the first date all the conditions precedent in </w:t>
      </w:r>
      <w:r>
        <w:rPr>
          <w:rFonts w:ascii="Times New Roman;sans-serif" w:hAnsi="Times New Roman;sans-serif"/>
          <w:b w:val="false"/>
          <w:color w:val="000000"/>
          <w:sz w:val="22"/>
          <w:u w:val="single"/>
        </w:rPr>
        <w:t>Section 4.01</w:t>
      </w:r>
      <w:r>
        <w:rPr>
          <w:color w:val="000000"/>
        </w:rPr>
        <w:t xml:space="preserve"> </w:t>
      </w:r>
      <w:r>
        <w:rPr>
          <w:rFonts w:ascii="Times New Roman;sans-serif" w:hAnsi="Times New Roman;sans-serif"/>
          <w:b w:val="false"/>
          <w:color w:val="000000"/>
          <w:sz w:val="22"/>
        </w:rPr>
        <w:t xml:space="preserve">are satisfied or waived in accordance with </w:t>
      </w:r>
      <w:r>
        <w:rPr>
          <w:rFonts w:ascii="Times New Roman;sans-serif" w:hAnsi="Times New Roman;sans-serif"/>
          <w:b w:val="false"/>
          <w:color w:val="000000"/>
          <w:sz w:val="22"/>
          <w:u w:val="single"/>
        </w:rPr>
        <w:t>Section 10.01</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Code</w:t>
      </w:r>
      <w:r>
        <w:rPr>
          <w:color w:val="000000"/>
        </w:rPr>
        <w:t xml:space="preserve">” </w:t>
      </w:r>
      <w:r>
        <w:rPr>
          <w:rFonts w:ascii="Times New Roman;sans-serif" w:hAnsi="Times New Roman;sans-serif"/>
          <w:b w:val="false"/>
          <w:color w:val="000000"/>
          <w:sz w:val="22"/>
        </w:rPr>
        <w:t>means the Internal Revenue Code of 1986.</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Collateral</w:t>
      </w:r>
      <w:r>
        <w:rPr>
          <w:color w:val="000000"/>
        </w:rPr>
        <w:t xml:space="preserve">” </w:t>
      </w:r>
      <w:r>
        <w:rPr>
          <w:rFonts w:ascii="Times New Roman;sans-serif" w:hAnsi="Times New Roman;sans-serif"/>
          <w:b w:val="false"/>
          <w:color w:val="000000"/>
          <w:sz w:val="22"/>
        </w:rPr>
        <w:t>means, collectively, the assets and rights and interests in property of any Person in which the Administrative Agent, on behalf of the Secured Parties, is granted a Lien under any Security Instrument as security for all or any portion of the Obligations.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Commitment</w:t>
      </w:r>
      <w:r>
        <w:rPr>
          <w:color w:val="000000"/>
        </w:rPr>
        <w:t xml:space="preserve">” </w:t>
      </w:r>
      <w:r>
        <w:rPr>
          <w:rFonts w:ascii="Times New Roman;sans-serif" w:hAnsi="Times New Roman;sans-serif"/>
          <w:b w:val="false"/>
          <w:color w:val="000000"/>
          <w:sz w:val="22"/>
        </w:rPr>
        <w:t>means, as to each Lender, the Revolving Commitment, New Vehicle Floorplan Commitment and Used Vehicle Floorplan Commitment, collectively, of such Lender.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Committed Borrowing</w:t>
      </w:r>
      <w:r>
        <w:rPr>
          <w:color w:val="000000"/>
        </w:rPr>
        <w:t xml:space="preserve">” </w:t>
      </w:r>
      <w:r>
        <w:rPr>
          <w:rFonts w:ascii="Times New Roman;sans-serif" w:hAnsi="Times New Roman;sans-serif"/>
          <w:b w:val="false"/>
          <w:color w:val="000000"/>
          <w:sz w:val="22"/>
        </w:rPr>
        <w:t>means a Revolving Committed Borrowing, a New Vehicle Floorplan Committed Borrowing or a Used Vehicle Floorplan Committed Borrowing, as the context may require.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Committed Loan</w:t>
      </w:r>
      <w:r>
        <w:rPr>
          <w:color w:val="000000"/>
        </w:rPr>
        <w:t xml:space="preserve">” </w:t>
      </w:r>
      <w:r>
        <w:rPr>
          <w:rFonts w:ascii="Times New Roman;sans-serif" w:hAnsi="Times New Roman;sans-serif"/>
          <w:b w:val="false"/>
          <w:color w:val="000000"/>
          <w:sz w:val="22"/>
        </w:rPr>
        <w:t>means a Revolving Committed Loan, a New Vehicle Floorplan Committed Loan or a Used Vehicle Floorplan Committed Loan, as the context may require.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Commodity Exchange Act</w:t>
      </w:r>
      <w:r>
        <w:rPr>
          <w:color w:val="000000"/>
        </w:rPr>
        <w:t xml:space="preserve">” </w:t>
      </w:r>
      <w:r>
        <w:rPr>
          <w:rFonts w:ascii="Times New Roman;sans-serif" w:hAnsi="Times New Roman;sans-serif"/>
          <w:b w:val="false"/>
          <w:color w:val="000000"/>
          <w:sz w:val="22"/>
        </w:rPr>
        <w:t>means the Commodity Exchange Act (7 U.S.C. § 1 et seq.), as amended from time to time, and any successor statute.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Communication</w:t>
      </w:r>
      <w:r>
        <w:rPr>
          <w:color w:val="000000"/>
        </w:rPr>
        <w:t xml:space="preserve">” </w:t>
      </w:r>
      <w:r>
        <w:rPr>
          <w:rFonts w:ascii="Times New Roman;sans-serif" w:hAnsi="Times New Roman;sans-serif"/>
          <w:b w:val="false"/>
          <w:color w:val="000000"/>
          <w:sz w:val="22"/>
        </w:rPr>
        <w:t xml:space="preserve">means this Agreement, any Loan Document and any document, any amendment, approval, consent, information, notice, certificate, request, statement, disclosure or authorization related to any Loan Document.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Company</w:t>
      </w:r>
      <w:r>
        <w:rPr>
          <w:color w:val="000000"/>
        </w:rPr>
        <w:t xml:space="preserve">” </w:t>
      </w:r>
      <w:r>
        <w:rPr>
          <w:rFonts w:ascii="Times New Roman;sans-serif" w:hAnsi="Times New Roman;sans-serif"/>
          <w:b w:val="false"/>
          <w:color w:val="000000"/>
          <w:sz w:val="22"/>
        </w:rPr>
        <w:t>has the meaning specified in the introductory paragraph 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Company Guaranty</w:t>
      </w:r>
      <w:r>
        <w:rPr>
          <w:color w:val="000000"/>
        </w:rPr>
        <w:t xml:space="preserve">” </w:t>
      </w:r>
      <w:r>
        <w:rPr>
          <w:rFonts w:ascii="Times New Roman;sans-serif" w:hAnsi="Times New Roman;sans-serif"/>
          <w:b w:val="false"/>
          <w:color w:val="000000"/>
          <w:sz w:val="22"/>
        </w:rPr>
        <w:t xml:space="preserve">means that certain Fourth Amended and Restated Company Guaranty Agreement executed by the Company dated as of the Closing Date in favor of the Administrative Agent and the Lenders, substantially in the form of </w:t>
      </w:r>
      <w:r>
        <w:rPr>
          <w:rFonts w:ascii="Times New Roman;sans-serif" w:hAnsi="Times New Roman;sans-serif"/>
          <w:b w:val="false"/>
          <w:color w:val="000000"/>
          <w:sz w:val="22"/>
          <w:u w:val="single"/>
        </w:rPr>
        <w:t>Exhibit E</w:t>
      </w:r>
      <w:r>
        <w:rPr>
          <w:rFonts w:ascii="Times New Roman;sans-serif" w:hAnsi="Times New Roman;sans-serif"/>
          <w:b w:val="false"/>
          <w:color w:val="000000"/>
          <w:sz w:val="22"/>
        </w:rPr>
        <w:t>, as supplemented, amended, or modified from time to time.</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367665"/>
                <wp:effectExtent l="0" t="0" r="0" b="0"/>
                <wp:wrapNone/>
                <wp:docPr id="184" name="Frame17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Competitor</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10.06(b)(v)</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Compliance Certificate</w:t>
      </w:r>
      <w:r>
        <w:rPr>
          <w:color w:val="000000"/>
        </w:rPr>
        <w:t xml:space="preserve">” </w:t>
      </w:r>
      <w:r>
        <w:rPr>
          <w:rFonts w:ascii="Times New Roman;sans-serif" w:hAnsi="Times New Roman;sans-serif"/>
          <w:b w:val="false"/>
          <w:color w:val="000000"/>
          <w:sz w:val="22"/>
        </w:rPr>
        <w:t xml:space="preserve">means a certificate substantially in the form of </w:t>
      </w:r>
      <w:r>
        <w:rPr>
          <w:rFonts w:ascii="Times New Roman;sans-serif" w:hAnsi="Times New Roman;sans-serif"/>
          <w:b w:val="false"/>
          <w:color w:val="000000"/>
          <w:sz w:val="22"/>
          <w:u w:val="single"/>
        </w:rPr>
        <w:t>Exhibit G</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Conforming Changes</w:t>
      </w:r>
      <w:r>
        <w:rPr>
          <w:color w:val="000000"/>
        </w:rPr>
        <w:t xml:space="preserve">” </w:t>
      </w:r>
      <w:r>
        <w:rPr>
          <w:rFonts w:ascii="Times New Roman;sans-serif" w:hAnsi="Times New Roman;sans-serif"/>
          <w:b w:val="false"/>
          <w:color w:val="000000"/>
          <w:sz w:val="22"/>
        </w:rPr>
        <w:t>means, with respect to the use, administration of or any conventions associated with the Daily Simple SOFR Published Rate or any proposed Successor Rate or Daily Simple SOFR, as applicable, any conforming changes to the definitions of “Base Rate”, “Daily Simple SOFR Published Rate” and “Daily Simple SOFR”, timing and frequency of determining rates and making payments of interest and other technical, administrative or operational matters (including, for the avoidance of doubt, the definition of “Business Day” and “U.S. Government Securities Business Day”, timing of borrowing requests or prepayment, conversion or continuation notices and length of lookback periods) as may be appropriate, in the discretion of the Administrative Agent in consultation with the Company, to reflect the adoption and implementation of such applicable rate(s)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rate exists, in such other manner of administration as the Administrative Agent determines is reasonably necessary in connection with the administration of this Agreement and any other Loan Document).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Connection Income Taxes</w:t>
      </w:r>
      <w:r>
        <w:rPr>
          <w:color w:val="000000"/>
        </w:rPr>
        <w:t xml:space="preserve">” </w:t>
      </w:r>
      <w:r>
        <w:rPr>
          <w:rFonts w:ascii="Times New Roman;sans-serif" w:hAnsi="Times New Roman;sans-serif"/>
          <w:b w:val="false"/>
          <w:color w:val="000000"/>
          <w:sz w:val="22"/>
        </w:rPr>
        <w:t xml:space="preserve">means Other Connection Taxes that are imposed on or measured by net income (however denominated) or that are franchise Taxes or branch profits Taxes.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Consolidated Adjusted Funded Indebtedness</w:t>
      </w:r>
      <w:r>
        <w:rPr>
          <w:color w:val="000000"/>
        </w:rPr>
        <w:t xml:space="preserve">” </w:t>
      </w:r>
      <w:r>
        <w:rPr>
          <w:rFonts w:ascii="Times New Roman;sans-serif" w:hAnsi="Times New Roman;sans-serif"/>
          <w:b w:val="false"/>
          <w:color w:val="000000"/>
          <w:sz w:val="22"/>
        </w:rPr>
        <w:t xml:space="preserve">means, as of any date of determination, for the Company and its Subsidiaries (other than the Specified Insurance Subsidiaries and any Designated Escrow Subsidiary) on a consolidated basis, (a) Consolidated Funded Indebtedness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(b) Permitted Floorplan Indebtedness (in each case, without giving effect to any Loan Repayments From Offset or the New Vehicle Floorplan Offset Account).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Consolidated EBITDA</w:t>
      </w:r>
      <w:r>
        <w:rPr>
          <w:color w:val="000000"/>
        </w:rPr>
        <w:t xml:space="preserve">” </w:t>
      </w:r>
      <w:r>
        <w:rPr>
          <w:rFonts w:ascii="Times New Roman;sans-serif" w:hAnsi="Times New Roman;sans-serif"/>
          <w:b w:val="false"/>
          <w:color w:val="000000"/>
          <w:sz w:val="22"/>
        </w:rPr>
        <w:t xml:space="preserve">means, for any period, for the Company and its Subsidiaries (other than the Specified Insurance Subsidiaries and any Designated Escrow Subsidiary), Consolidated EBITDAR for such period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 xml:space="preserve">Consolidated Rental Expense for such period.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Consolidated EBITDAR</w:t>
      </w:r>
      <w:r>
        <w:rPr>
          <w:color w:val="000000"/>
        </w:rPr>
        <w:t xml:space="preserve">” </w:t>
      </w:r>
      <w:r>
        <w:rPr>
          <w:rFonts w:ascii="Times New Roman;sans-serif" w:hAnsi="Times New Roman;sans-serif"/>
          <w:b w:val="false"/>
          <w:color w:val="000000"/>
          <w:sz w:val="22"/>
        </w:rPr>
        <w:t xml:space="preserve">means, for any period, for the Company and its Subsidiaries (other than the Specified Insurance Subsidiaries and any Designated Escrow Subsidiary), on a consolidated basis, an amount equal to Consolidated Net Income for such period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(a) the following, without duplication, to the extent deducted in calculating such Consolidated Net Income: (i) Consolidated Interest Expense for such period (other than interest expense with respect to Permitted Floorplan Indebtedness), (ii) the provision for Federal, state, local and foreign income Taxes payable by the Company and its Subsidiaries (other than the Specified Insurance Subsidiaries) on a consolidated basis for such period, (iii) depreciation and amortization expense, (iv) other non-cash expenses reducing such Consolidated Net Income which do not represent a cash item in such period or any future period, (v) all losses on and other expenses related to repurchases of long-term Indebtedness, (vi) any expenses or charges related to any issuance of Equity Interests, Investment, Acquisition, disposition, recapitalization or the incurrence or repayment of Indebtedness (including any refinancing thereof) and any amendment or modification to the terms of any such transactions (in each case, whether or not successful), (vii) any fees, expenses or other costs paid in connection with this Agreement, (viii) other non-recurring or unusual losses, (ix) any losses on the sale, exchange or other dispositions of assets other than in the ordinary course of business and (x) Consolidated Rental Expense;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 xml:space="preserve">(b) to the extent included in calculating such Consolidated Net Income, (i) all non-cash items increasing Consolidated Net Income for such period, (ii) all gains on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367665"/>
                <wp:effectExtent l="0" t="0" r="0" b="0"/>
                <wp:wrapNone/>
                <wp:docPr id="185" name="Frame18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repurchases of long-term Indebtedness, (iii) any gains on the sale, exchange or other dispositions of assets other than in the ordinary course of business and (iv) other non-recurring or unusual gains;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the sum of clauses (a)(vi), (a)(vii) and (a)(viii) shall not exceed fifteen percent (15%) of Consolidated EBITDAR for the applicable four-quarter period (calculated after giving effect to any such add-backs).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Consolidated Fixed Charge Coverage Ratio</w:t>
      </w:r>
      <w:r>
        <w:rPr>
          <w:color w:val="000000"/>
        </w:rPr>
        <w:t xml:space="preserve">” </w:t>
      </w:r>
      <w:r>
        <w:rPr>
          <w:rFonts w:ascii="Times New Roman;sans-serif" w:hAnsi="Times New Roman;sans-serif"/>
          <w:b w:val="false"/>
          <w:color w:val="000000"/>
          <w:sz w:val="22"/>
        </w:rPr>
        <w:t>means, as of any date of determination, the ratio of (a) the total of (i) Consolidated EBITDAR for the four fiscal quarter period most recently ending on or prior to such date for which internal financial statements are available, less (ii) deemed capital expenditures in an amount equal to $100,000 for each dealer location in existence on such date, to (b) Consolidated Fixed Charges for such period.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Consolidated Fixed Charges</w:t>
      </w:r>
      <w:r>
        <w:rPr>
          <w:color w:val="000000"/>
        </w:rPr>
        <w:t xml:space="preserve">” </w:t>
      </w:r>
      <w:r>
        <w:rPr>
          <w:rFonts w:ascii="Times New Roman;sans-serif" w:hAnsi="Times New Roman;sans-serif"/>
          <w:b w:val="false"/>
          <w:color w:val="000000"/>
          <w:sz w:val="22"/>
        </w:rPr>
        <w:t xml:space="preserve">means, for any period, the sum of (a) Consolidated Interest Expense for such period (but excluding interest expense with respect to Permitted Floorplan Indebtedness),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(b) scheduled amortization during such period of the principal portion of all indebtedness for money borrowed (other than any balloon, bullet or similar principal payment which repays or refinances such indebtedness in full) of the Company and its Subsidiaries (other than the Specified Insurance Subsidiaries and any Designated Escrow Subsidiary) on a consolidated basis,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(c) Consolidated Rental Expense for such period, </w:t>
      </w:r>
      <w:r>
        <w:rPr>
          <w:rFonts w:ascii="Times New Roman;sans-serif" w:hAnsi="Times New Roman;sans-serif"/>
          <w:b w:val="false"/>
          <w:color w:val="000000"/>
          <w:sz w:val="22"/>
          <w:u w:val="single"/>
        </w:rPr>
        <w:t>less</w:t>
      </w:r>
      <w:r>
        <w:rPr>
          <w:color w:val="000000"/>
        </w:rPr>
        <w:t xml:space="preserve"> </w:t>
      </w:r>
      <w:r>
        <w:rPr>
          <w:rFonts w:ascii="Times New Roman;sans-serif" w:hAnsi="Times New Roman;sans-serif"/>
          <w:b w:val="false"/>
          <w:color w:val="000000"/>
          <w:sz w:val="22"/>
        </w:rPr>
        <w:t xml:space="preserve">(d) Consolidated Pro Forma Rent Savings for such period,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(e) Taxes paid in cash during such period by the Company and its Subsidiaries (other than the Specified Insurance Subsidiaries and any Designated Escrow Subsidiary) (excluding, any such cash Taxes paid as a result of any gains on repurchases of long-term Indebtedness), </w:t>
      </w:r>
      <w:r>
        <w:rPr>
          <w:rFonts w:ascii="Times New Roman;sans-serif" w:hAnsi="Times New Roman;sans-serif"/>
          <w:b w:val="false"/>
          <w:color w:val="000000"/>
          <w:sz w:val="22"/>
          <w:u w:val="single"/>
        </w:rPr>
        <w:t>less</w:t>
      </w:r>
      <w:r>
        <w:rPr>
          <w:color w:val="000000"/>
        </w:rPr>
        <w:t xml:space="preserve"> </w:t>
      </w:r>
      <w:r>
        <w:rPr>
          <w:rFonts w:ascii="Times New Roman;sans-serif" w:hAnsi="Times New Roman;sans-serif"/>
          <w:b w:val="false"/>
          <w:color w:val="000000"/>
          <w:sz w:val="22"/>
        </w:rPr>
        <w:t>(f) cash refunds of Federal, state, local and foreign income Taxes received by the Company and its Subsidiaries (other than the Specified Insurance Subsidiaries and any Designated Escrow Subsidiary) on a consolidated basis during such period.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Consolidated Funded Indebtedness</w:t>
      </w:r>
      <w:r>
        <w:rPr>
          <w:color w:val="000000"/>
        </w:rPr>
        <w:t xml:space="preserve">” </w:t>
      </w:r>
      <w:r>
        <w:rPr>
          <w:rFonts w:ascii="Times New Roman;sans-serif" w:hAnsi="Times New Roman;sans-serif"/>
          <w:b w:val="false"/>
          <w:color w:val="000000"/>
          <w:sz w:val="22"/>
        </w:rPr>
        <w:t>means, as of any date of determination, for the Company and its Subsidiaries (other than the Specified Insurance Subsidiaries and any Designated Escrow Subsidiary) on a consolidated basis, the sum of (a) the outstanding principal amount of all Indebtedness, whether current or long-term, for borrowed money (including Obligations hereunder) and all obligations evidenced by bonds, debentures, notes, loan agreements or other similar instruments, (b) all purchase money Indebtedness (other than trade accounts payable incurred in the ordinary course of business), (c) all direct reimbursement obligations arising under funded or drawn letters of credit (including standby and commercial), bankers’ acceptances, bank guaranties, surety bonds and similar instruments, (d) all obligations in respect of the deferred purchase price of property or services (other than trade accounts payable in the ordinary course of business), (e) Attributable Indebtedness in respect of capital leases, finance leases and Synthetic Lease Obligations, (f) without duplication, all Guarantees with respect to outstanding Indebtedness of the types specified in clauses (a) through (e) above of Persons other than the Company or any Subsidiary (but including Guarantees of Indebtedness of any Specified Insurance Subsidiary), and (g) all Indebtedness of the types referred to in clauses (a) through (f) above of any partnership or joint venture (other than a joint venture that is itself a corporation or limited liability company) in which the Company or a Subsidiary (other than a Specified Insurance Subsidiary) is a general partner or joint venturer, unless such Indebtedness is expressly made non-recourse to the Company or such Subsidiary (or is expressly made with limited recourse to the Company or such Subsidiary, in which case the amount of such Indebtedness (for the purpose of determining Consolidated Funded Indebtedness) is limited to the extent of such recourse).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Consolidated Interest Expense</w:t>
      </w:r>
      <w:r>
        <w:rPr>
          <w:color w:val="000000"/>
        </w:rPr>
        <w:t xml:space="preserve">” </w:t>
      </w:r>
      <w:r>
        <w:rPr>
          <w:rFonts w:ascii="Times New Roman;sans-serif" w:hAnsi="Times New Roman;sans-serif"/>
          <w:b w:val="false"/>
          <w:color w:val="000000"/>
          <w:sz w:val="22"/>
        </w:rPr>
        <w:t xml:space="preserve">means, for any period, for the Company and its Subsidiaries (other than the Specified Insurance Subsidiaries and any Designated Escrow Subsidiary) on a consolidated basis, the sum of (a) all cash interest, premium payments, debt discount, fees, charges and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367665"/>
                <wp:effectExtent l="0" t="0" r="0" b="0"/>
                <wp:wrapNone/>
                <wp:docPr id="186" name="Frame18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related expenses of the Company and its Subsidiaries (other than the Specified Insurance Subsidiaries and any Designated Escrow Subsidiary) in connection with borrowed money (including capitalized interest) or in connection with the deferred purchase price of assets, in each case to the extent treated as interest in accordance with GAAP, and (b) the portion of rent expense of the Company and its Subsidiaries (other than the Specified Insurance Subsidiaries and any Designated Escrow Subsidiary) with respect to such period under capital leases or finance leases that is treated as interest in accordance with GAAP.</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Consolidated Net Income</w:t>
      </w:r>
      <w:r>
        <w:rPr>
          <w:color w:val="000000"/>
        </w:rPr>
        <w:t xml:space="preserve">” </w:t>
      </w:r>
      <w:r>
        <w:rPr>
          <w:rFonts w:ascii="Times New Roman;sans-serif" w:hAnsi="Times New Roman;sans-serif"/>
          <w:b w:val="false"/>
          <w:color w:val="000000"/>
          <w:sz w:val="22"/>
        </w:rPr>
        <w:t>means, for any period, for the Company and its Subsidiaries (other than the Specified Insurance Subsidiaries and any Designated Escrow Subsidiary) on a consolidated basis, the net income of the Company and its Subsidiaries (other than the Specified Insurance Subsidiaries) (excluding extraordinary gains and extraordinary losses) for that period.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Consolidated Pro Forma Rent Savings</w:t>
      </w:r>
      <w:r>
        <w:rPr>
          <w:color w:val="000000"/>
        </w:rPr>
        <w:t xml:space="preserve">” </w:t>
      </w:r>
      <w:r>
        <w:rPr>
          <w:rFonts w:ascii="Times New Roman;sans-serif" w:hAnsi="Times New Roman;sans-serif"/>
          <w:b w:val="false"/>
          <w:color w:val="000000"/>
          <w:sz w:val="22"/>
        </w:rPr>
        <w:t>means the pro forma rent savings associated with any leased properties purchased within the prior twelve-month period for the Company and its Subsidiaries (other than the Specified Insurance Subsidiaries and any Designated Escrow Subsidiary) on a consolidated basis as determined by the Company in good faith.</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Consolidated Rental Expense</w:t>
      </w:r>
      <w:r>
        <w:rPr>
          <w:color w:val="000000"/>
        </w:rPr>
        <w:t xml:space="preserve">” </w:t>
      </w:r>
      <w:r>
        <w:rPr>
          <w:rFonts w:ascii="Times New Roman;sans-serif" w:hAnsi="Times New Roman;sans-serif"/>
          <w:b w:val="false"/>
          <w:color w:val="000000"/>
          <w:sz w:val="22"/>
        </w:rPr>
        <w:t>means, for any period, for the Company and its Subsidiaries (other than the Specified Insurance Subsidiaries and any Designated Escrow Subsidiary) on a consolidated basis, the aggregate amount of fixed and contingent rentals payable by the Company and its Subsidiaries (other than the Specified Insurance Subsidiaries and any Designated Escrow Subsidiary) with respect to leases of real and personal property (excluding capital lease and finance lease obligations) determined in accordance with GAAP for such period.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Consolidated Secured Funded Indebtedness</w:t>
      </w:r>
      <w:r>
        <w:rPr>
          <w:color w:val="000000"/>
        </w:rPr>
        <w:t xml:space="preserve">” </w:t>
      </w:r>
      <w:r>
        <w:rPr>
          <w:rFonts w:ascii="Times New Roman;sans-serif" w:hAnsi="Times New Roman;sans-serif"/>
          <w:b w:val="false"/>
          <w:color w:val="000000"/>
          <w:sz w:val="22"/>
        </w:rPr>
        <w:t>means, as of any date of determination, for the Company and its Subsidiaries (other than the Specified Insurance Subsidiaries and any Designated Escrow Subsidiary) on a consolidated basis, the outstanding principal amount of all Consolidated Funded Indebtedness that is secured by a Lien.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Consolidated Total Lease Adjusted Leverage Ratio</w:t>
      </w:r>
      <w:r>
        <w:rPr>
          <w:color w:val="000000"/>
        </w:rPr>
        <w:t xml:space="preserve">” </w:t>
      </w:r>
      <w:r>
        <w:rPr>
          <w:rFonts w:ascii="Times New Roman;sans-serif" w:hAnsi="Times New Roman;sans-serif"/>
          <w:b w:val="false"/>
          <w:color w:val="000000"/>
          <w:sz w:val="22"/>
        </w:rPr>
        <w:t xml:space="preserve">means, as of any date of determination, the ratio of: (a) the sum of (i) Consolidated Adjusted Funded Indebtedness as of the date of determination,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 xml:space="preserve">(ii) the sum of (x) the aggregate amount as of the date of determination of cash on the consolidated balance sheet of the applicable Person and its Restricted Subsidiaries as of such date (to the extent the use thereof for application to payment of Indebtedness is not prohibited by law or any contract to which any such Person is a party) which cash is held in deposit accounts subject to Blocked Account Agreements or in deposit accounts maintained with Bank of America, which ensure, in either case, that the Administrative Agent has a first priority, perfected Lien in such accounts and (y) the Floorplan Offset Amount (if any) as of such date;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(iii) six (6) times Consolidated Rental Expense during the Applicable Four-Quarter Period (excluding Consolidated Rental Expense relating to any real property acquired during such period to the extent any lease on such property is terminated prior to or simultaneously with such acquisition, but including as Consolidated Rental Expense the “rental payments” for any real property disposed of and leased back to the Company or its Subsidiaries during such period as if such sale-leaseback transaction had occurred on and such “rental payments” began on the first day of such applicable four fiscal quarter period) </w:t>
      </w:r>
      <w:r>
        <w:rPr>
          <w:rFonts w:ascii="Times New Roman;sans-serif" w:hAnsi="Times New Roman;sans-serif"/>
          <w:b w:val="false"/>
          <w:color w:val="000000"/>
          <w:sz w:val="22"/>
          <w:u w:val="single"/>
        </w:rPr>
        <w:t>to</w:t>
      </w:r>
      <w:r>
        <w:rPr>
          <w:color w:val="000000"/>
        </w:rPr>
        <w:t xml:space="preserve"> </w:t>
      </w:r>
      <w:r>
        <w:rPr>
          <w:rFonts w:ascii="Times New Roman;sans-serif" w:hAnsi="Times New Roman;sans-serif"/>
          <w:b w:val="false"/>
          <w:color w:val="000000"/>
          <w:sz w:val="22"/>
        </w:rPr>
        <w:t xml:space="preserve">(b) Consolidated EBITDAR for the Applicable Four-Quarter Period.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Consolidated Total Leverage Ratio</w:t>
      </w:r>
      <w:r>
        <w:rPr>
          <w:color w:val="000000"/>
        </w:rPr>
        <w:t xml:space="preserve">” </w:t>
      </w:r>
      <w:r>
        <w:rPr>
          <w:rFonts w:ascii="Times New Roman;sans-serif" w:hAnsi="Times New Roman;sans-serif"/>
          <w:b w:val="false"/>
          <w:color w:val="000000"/>
          <w:sz w:val="22"/>
        </w:rPr>
        <w:t xml:space="preserve">means, as of any date of determination, the ratio of: (a) Consolidated Adjusted Funded Indebtedness as of the date of determination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 xml:space="preserve">the sum of (x) the aggregate amount as of the date of determination of cash on the consolidated balance sheet of the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367665"/>
                <wp:effectExtent l="0" t="0" r="0" b="0"/>
                <wp:wrapNone/>
                <wp:docPr id="187" name="Frame18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applicable Person and its Restricted Subsidiaries as of such date (to the extent the use thereof for application to payment of Indebtedness is not prohibited by law or any contract to which any such Person is a party) which is held in deposit accounts subject to Blocked Account Agreements or in deposit accounts maintained with Bank of America, which ensure, in either case, that the Administrative Agent has a first priority, perfected Lien in such accounts and (y) the Floorplan Offset Amount (if any) as of such date </w:t>
      </w:r>
      <w:r>
        <w:rPr>
          <w:rFonts w:ascii="Times New Roman;sans-serif" w:hAnsi="Times New Roman;sans-serif"/>
          <w:b w:val="false"/>
          <w:color w:val="000000"/>
          <w:sz w:val="22"/>
          <w:u w:val="single"/>
        </w:rPr>
        <w:t>to</w:t>
      </w:r>
      <w:r>
        <w:rPr>
          <w:color w:val="000000"/>
        </w:rPr>
        <w:t xml:space="preserve"> </w:t>
      </w:r>
      <w:r>
        <w:rPr>
          <w:rFonts w:ascii="Times New Roman;sans-serif" w:hAnsi="Times New Roman;sans-serif"/>
          <w:b w:val="false"/>
          <w:color w:val="000000"/>
          <w:sz w:val="22"/>
        </w:rPr>
        <w:t xml:space="preserve">(b) Consolidated EBITDA for the Applicable Four-Quarter Period.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Contract-in-Transit</w:t>
      </w:r>
      <w:r>
        <w:rPr>
          <w:color w:val="000000"/>
        </w:rPr>
        <w:t xml:space="preserve">” </w:t>
      </w:r>
      <w:r>
        <w:rPr>
          <w:rFonts w:ascii="Times New Roman;sans-serif" w:hAnsi="Times New Roman;sans-serif"/>
          <w:b w:val="false"/>
          <w:color w:val="000000"/>
          <w:sz w:val="22"/>
        </w:rPr>
        <w:t>means a contract-in-transit with respect to any Vehicle.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Contractual Obligation</w:t>
      </w:r>
      <w:r>
        <w:rPr>
          <w:color w:val="000000"/>
        </w:rPr>
        <w:t xml:space="preserve">” </w:t>
      </w:r>
      <w:r>
        <w:rPr>
          <w:rFonts w:ascii="Times New Roman;sans-serif" w:hAnsi="Times New Roman;sans-serif"/>
          <w:b w:val="false"/>
          <w:color w:val="000000"/>
          <w:sz w:val="22"/>
        </w:rPr>
        <w:t>means, as to any Person, any provision of any security issued by such Person or of any agreement, instrument or other undertaking to which such Person is a party or by which it or any of its property is bound.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Control</w:t>
      </w:r>
      <w:r>
        <w:rPr>
          <w:color w:val="000000"/>
        </w:rPr>
        <w:t xml:space="preserve">” </w:t>
      </w:r>
      <w:r>
        <w:rPr>
          <w:rFonts w:ascii="Times New Roman;sans-serif" w:hAnsi="Times New Roman;sans-serif"/>
          <w:b w:val="false"/>
          <w:color w:val="000000"/>
          <w:sz w:val="22"/>
        </w:rPr>
        <w:t>means the possession, directly or indirectly, of the power to direct or cause the direction of the management or policies of a Person, whether through the ability to exercise voting power, by contract or otherwise. “</w:t>
      </w:r>
      <w:r>
        <w:rPr>
          <w:rFonts w:ascii="Times New Roman;sans-serif" w:hAnsi="Times New Roman;sans-serif"/>
          <w:b w:val="false"/>
          <w:color w:val="000000"/>
          <w:sz w:val="22"/>
          <w:u w:val="single"/>
        </w:rPr>
        <w:t>Controlling</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Controlled</w:t>
      </w:r>
      <w:r>
        <w:rPr>
          <w:color w:val="000000"/>
        </w:rPr>
        <w:t xml:space="preserve">” </w:t>
      </w:r>
      <w:r>
        <w:rPr>
          <w:rFonts w:ascii="Times New Roman;sans-serif" w:hAnsi="Times New Roman;sans-serif"/>
          <w:b w:val="false"/>
          <w:color w:val="000000"/>
          <w:sz w:val="22"/>
        </w:rPr>
        <w:t>have meanings correlative 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Conversion Notice</w:t>
      </w:r>
      <w:r>
        <w:rPr>
          <w:color w:val="000000"/>
        </w:rPr>
        <w:t xml:space="preserve">” </w:t>
      </w:r>
      <w:r>
        <w:rPr>
          <w:rFonts w:ascii="Times New Roman;sans-serif" w:hAnsi="Times New Roman;sans-serif"/>
          <w:b w:val="false"/>
          <w:color w:val="000000"/>
          <w:sz w:val="22"/>
        </w:rPr>
        <w:t xml:space="preserve">means a notice from the Company delivered pursuant to </w:t>
      </w:r>
      <w:r>
        <w:rPr>
          <w:rFonts w:ascii="Times New Roman;sans-serif" w:hAnsi="Times New Roman;sans-serif"/>
          <w:b w:val="false"/>
          <w:color w:val="000000"/>
          <w:sz w:val="22"/>
          <w:u w:val="single"/>
        </w:rPr>
        <w:t>Section 2.14</w:t>
      </w:r>
      <w:r>
        <w:rPr>
          <w:color w:val="000000"/>
        </w:rPr>
        <w:t xml:space="preserve"> </w:t>
      </w:r>
      <w:r>
        <w:rPr>
          <w:rFonts w:ascii="Times New Roman;sans-serif" w:hAnsi="Times New Roman;sans-serif"/>
          <w:b w:val="false"/>
          <w:color w:val="000000"/>
          <w:sz w:val="22"/>
        </w:rPr>
        <w:t xml:space="preserve">requesting that any portion of the Aggregate Revolving Commitments be converted into Aggregate New Vehicle Floorplan Commitments or Aggregate Used Vehicle Floorplan Commitments, or that any portion of the Aggregate New Vehicle Floorplan Commitments or Aggregate Used Vehicle Floorplan Commitments be converted to Aggregate Revolving Commitments, which notice, in either case, shall be substantially in the form of </w:t>
      </w:r>
      <w:r>
        <w:rPr>
          <w:rFonts w:ascii="Times New Roman;sans-serif" w:hAnsi="Times New Roman;sans-serif"/>
          <w:b w:val="false"/>
          <w:color w:val="000000"/>
          <w:sz w:val="22"/>
          <w:u w:val="single"/>
        </w:rPr>
        <w:t>Exhibit P</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Cost of Acquisition</w:t>
      </w:r>
      <w:r>
        <w:rPr>
          <w:color w:val="000000"/>
        </w:rPr>
        <w:t xml:space="preserve">” </w:t>
      </w:r>
      <w:r>
        <w:rPr>
          <w:rFonts w:ascii="Times New Roman;sans-serif" w:hAnsi="Times New Roman;sans-serif"/>
          <w:b w:val="false"/>
          <w:color w:val="000000"/>
          <w:sz w:val="22"/>
        </w:rPr>
        <w:t xml:space="preserve">means, with respect to any Acquisition, as at the date of the consummation of such Acquisition, the sum of the following (without duplication): (i) the value of the Equity Interests of any Subsidiary to be transferred in connection with such Acquisition, (ii) the amount of any cash and fair market value of other property (excluding property of the type described in clause (i) and the unpaid principal amount of any debt instrument) given as consideration in connection with such Acquisition as reasonably determined by the Company in good faith, (iii) the amount (determined by using the face amount or the amount payable at maturity, whichever is greater) of any Indebtedness assumed by the Company or any Subsidiary in connection with such Acquisition, (iv) all additional purchase price amounts in the form of earnouts and other contingent obligations that should be recorded on the financial statements of the Company and its Subsidiaries in accordance with GAAP in connection with such Acquisition, (v) all amounts paid in respect of covenants not to compete, consulting agreements that should be recorded on the financial statements of the Company and its Subsidiaries in accordance with GAAP, and other affiliated contracts in connection with such Acquisition, and (vi) the aggregate fair market value of all other consideration (other than Equity Interests of the Company) given by the Company or any Subsidiary in connection with such Acquisition as reasonably determined by the Company in good faith;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Cost of Acquisition shall not include the purchase price of floored vehicles acquired in connection with such Acquisition. For purposes of determining the Cost of Acquisition for any transaction, the Equity Interests of the Company or any Subsidiary shall be valued in accordance with GAAP.</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Covered Entity</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10.22(b)</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Credit Extension</w:t>
      </w:r>
      <w:r>
        <w:rPr>
          <w:color w:val="000000"/>
        </w:rPr>
        <w:t xml:space="preserve">” </w:t>
      </w:r>
      <w:r>
        <w:rPr>
          <w:rFonts w:ascii="Times New Roman;sans-serif" w:hAnsi="Times New Roman;sans-serif"/>
          <w:b w:val="false"/>
          <w:color w:val="000000"/>
          <w:sz w:val="22"/>
        </w:rPr>
        <w:t>means each of the following: (a) a Revolving Borrowing, (b) an L/C Credit Extension, (c) a New Vehicle Floorplan Borrowing and (d) a Used Vehicle Floorplan Borrowing.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Daily Simple SOFR</w:t>
      </w:r>
      <w:r>
        <w:rPr>
          <w:color w:val="000000"/>
        </w:rPr>
        <w:t xml:space="preserve">” </w:t>
      </w:r>
      <w:r>
        <w:rPr>
          <w:rFonts w:ascii="Times New Roman;sans-serif" w:hAnsi="Times New Roman;sans-serif"/>
          <w:b w:val="false"/>
          <w:color w:val="000000"/>
          <w:sz w:val="22"/>
        </w:rPr>
        <w:t>means:</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367665"/>
                <wp:effectExtent l="0" t="0" r="0" b="0"/>
                <wp:wrapNone/>
                <wp:docPr id="188" name="Frame18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with respect to a Daily Simple SOFR Loan, the rate per annum equal to the Daily Simple SOFR Published Rate determined for any day pursuant to the definition thereof, in each case,</w:t>
      </w:r>
      <w:r>
        <w:rPr>
          <w:color w:val="000000"/>
        </w:rPr>
        <w:t xml:space="preserve"> </w:t>
      </w:r>
      <w:r>
        <w:rPr>
          <w:rFonts w:ascii="Times New Roman;sans-serif" w:hAnsi="Times New Roman;sans-serif"/>
          <w:b w:val="false"/>
          <w:i/>
          <w:color w:val="000000"/>
          <w:sz w:val="22"/>
        </w:rPr>
        <w:t>plus</w:t>
      </w:r>
      <w:r>
        <w:rPr>
          <w:color w:val="000000"/>
        </w:rPr>
        <w:t xml:space="preserve"> </w:t>
      </w:r>
      <w:r>
        <w:rPr>
          <w:rFonts w:ascii="Times New Roman;sans-serif" w:hAnsi="Times New Roman;sans-serif"/>
          <w:b w:val="false"/>
          <w:color w:val="000000"/>
          <w:sz w:val="22"/>
        </w:rPr>
        <w:t>the SOFR Adjustment</w:t>
      </w:r>
      <w:r>
        <w:rPr>
          <w:rFonts w:ascii="Times New Roman;sans-serif" w:hAnsi="Times New Roman;sans-serif"/>
          <w:b/>
          <w:color w:val="000000"/>
          <w:sz w:val="22"/>
        </w:rPr>
        <w:t xml:space="preserve">; </w:t>
      </w:r>
      <w:r>
        <w:rPr>
          <w:rFonts w:ascii="Times New Roman;sans-serif" w:hAnsi="Times New Roman;sans-serif"/>
          <w:b w:val="false"/>
          <w:color w:val="000000"/>
          <w:sz w:val="22"/>
        </w:rPr>
        <w:t>and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for any interest calculation with respect to a Base Rate Loan on any date, the rate per annum equal to Daily Simple SOFR Published Rate on such date, </w:t>
      </w:r>
      <w:r>
        <w:rPr>
          <w:rFonts w:ascii="Times New Roman;sans-serif" w:hAnsi="Times New Roman;sans-serif"/>
          <w:b w:val="false"/>
          <w:i/>
          <w:color w:val="000000"/>
          <w:sz w:val="22"/>
        </w:rPr>
        <w:t>plus</w:t>
      </w:r>
      <w:r>
        <w:rPr>
          <w:color w:val="000000"/>
        </w:rPr>
        <w:t xml:space="preserve"> </w:t>
      </w:r>
      <w:r>
        <w:rPr>
          <w:rFonts w:ascii="Times New Roman;sans-serif" w:hAnsi="Times New Roman;sans-serif"/>
          <w:b w:val="false"/>
          <w:color w:val="000000"/>
          <w:sz w:val="22"/>
        </w:rPr>
        <w:t>the SOFR Adjustment;</w:t>
      </w:r>
    </w:p>
    <w:p>
      <w:pPr>
        <w:pStyle w:val="TextBody"/>
        <w:bidi w:val="0"/>
        <w:spacing w:lineRule="auto" w:line="288" w:before="0" w:after="240"/>
        <w:ind w:left="0" w:right="0" w:firstLine="720"/>
        <w:jc w:val="both"/>
        <w:rPr/>
      </w:pPr>
      <w:r>
        <w:rPr>
          <w:rFonts w:ascii="Times New Roman;sans-serif" w:hAnsi="Times New Roman;sans-serif"/>
          <w:b w:val="false"/>
          <w:i/>
          <w:color w:val="000000"/>
          <w:sz w:val="22"/>
          <w:u w:val="single"/>
        </w:rPr>
        <w:t>provided</w:t>
      </w:r>
      <w:r>
        <w:rPr>
          <w:color w:val="000000"/>
        </w:rPr>
        <w:t xml:space="preserve"> </w:t>
      </w:r>
      <w:r>
        <w:rPr>
          <w:rFonts w:ascii="Times New Roman;sans-serif" w:hAnsi="Times New Roman;sans-serif"/>
          <w:b w:val="false"/>
          <w:color w:val="000000"/>
          <w:sz w:val="22"/>
        </w:rPr>
        <w:t>that if Daily Simple SOFR determined in accordance with either of the foregoing provisions (a) or (b) of this definition would otherwise be less than zero, Daily Simple SOFR shall be deemed zero for purposes of this Agreement.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Any change in Daily Simple SOFR shall be effective from and including the date of such change without further notice.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Daily Simple SOFR Committed Loan</w:t>
      </w:r>
      <w:r>
        <w:rPr>
          <w:color w:val="000000"/>
        </w:rPr>
        <w:t xml:space="preserve">” </w:t>
      </w:r>
      <w:r>
        <w:rPr>
          <w:rFonts w:ascii="Times New Roman;sans-serif" w:hAnsi="Times New Roman;sans-serif"/>
          <w:b w:val="false"/>
          <w:color w:val="000000"/>
          <w:sz w:val="22"/>
        </w:rPr>
        <w:t>means a Revolving Committed Loan, a New Vehicle Floorplan Committed Loan or a Used Vehicle Floorplan Committed Loan, as the context may require, that bears interest at a rate based on Daily Simple SOFR.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Daily Simple SOFR Loan</w:t>
      </w:r>
      <w:r>
        <w:rPr>
          <w:color w:val="000000"/>
        </w:rPr>
        <w:t xml:space="preserve">” </w:t>
      </w:r>
      <w:r>
        <w:rPr>
          <w:rFonts w:ascii="Times New Roman;sans-serif" w:hAnsi="Times New Roman;sans-serif"/>
          <w:b w:val="false"/>
          <w:color w:val="000000"/>
          <w:sz w:val="22"/>
        </w:rPr>
        <w:t>means a Daily Simple SOFR Committed Loan or a Revolving Swing Line Loan, a New Vehicle Floorplan Swing Line Loan or a Used Vehicle Floorplan Swing Line Loan that, in each case, bears interest at a rate based on Daily Simple SOFR.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Daily Simple SOFR Published Rate</w:t>
      </w:r>
      <w:r>
        <w:rPr>
          <w:color w:val="000000"/>
        </w:rPr>
        <w:t xml:space="preserve">” </w:t>
      </w:r>
      <w:r>
        <w:rPr>
          <w:rFonts w:ascii="Times New Roman;sans-serif" w:hAnsi="Times New Roman;sans-serif"/>
          <w:b w:val="false"/>
          <w:color w:val="000000"/>
          <w:sz w:val="22"/>
        </w:rPr>
        <w:t>with respect to any applicable determination date means the Secured Overnight Financing Rate published on the second U.S. Government Securities Business Day preceding such date by the SOFR Administrator on the Federal Reserve Bank of New York’s website (or any successor source); provided however that if such determination date is not a U.S. Government Securities Business Day, then Daily Simple SOFR Published Rate means such rate that applied on the first U.S. Government Securities Business Day immediately prior 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Daily Simple SOFR Replacement Date</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3.03(b)</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Debtor Relief Laws</w:t>
      </w:r>
      <w:r>
        <w:rPr>
          <w:color w:val="000000"/>
        </w:rPr>
        <w:t xml:space="preserve">” </w:t>
      </w:r>
      <w:r>
        <w:rPr>
          <w:rFonts w:ascii="Times New Roman;sans-serif" w:hAnsi="Times New Roman;sans-serif"/>
          <w:b w:val="false"/>
          <w:color w:val="000000"/>
          <w:sz w:val="22"/>
        </w:rPr>
        <w:t>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Deemed Floored</w:t>
      </w:r>
      <w:r>
        <w:rPr>
          <w:color w:val="000000"/>
        </w:rPr>
        <w:t xml:space="preserve">” </w:t>
      </w:r>
      <w:r>
        <w:rPr>
          <w:rFonts w:ascii="Times New Roman;sans-serif" w:hAnsi="Times New Roman;sans-serif"/>
          <w:b w:val="false"/>
          <w:color w:val="000000"/>
          <w:sz w:val="22"/>
        </w:rPr>
        <w:t>means, with respect to each New Vehicle, the date a New Vehicle Floorplan Borrowing is deemed to be made by a New Vehicle Floorplan Lender, including the New Vehicle Floorplan Swing Line Lender, under the New Vehicle Floorplan Facility.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Deemed To Be A Mileage Vehicle</w:t>
      </w:r>
      <w:r>
        <w:rPr>
          <w:color w:val="000000"/>
        </w:rPr>
        <w:t xml:space="preserve">” </w:t>
      </w:r>
      <w:r>
        <w:rPr>
          <w:rFonts w:ascii="Times New Roman;sans-serif" w:hAnsi="Times New Roman;sans-serif"/>
          <w:b w:val="false"/>
          <w:color w:val="000000"/>
          <w:sz w:val="22"/>
        </w:rPr>
        <w:t>means, with respect to any New Vehicle which has been Deemed Floored, the date such New Vehicle is deemed to be a Demonstrator, Rental Vehicle or other mileaged New Vehicle under the New Vehicle Floorplan Facility, which such date may be the same day as, or a date after, the date such New Vehicle is Deemed Floored.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Default</w:t>
      </w:r>
      <w:r>
        <w:rPr>
          <w:color w:val="000000"/>
        </w:rPr>
        <w:t xml:space="preserve">” </w:t>
      </w:r>
      <w:r>
        <w:rPr>
          <w:rFonts w:ascii="Times New Roman;sans-serif" w:hAnsi="Times New Roman;sans-serif"/>
          <w:b w:val="false"/>
          <w:color w:val="000000"/>
          <w:sz w:val="22"/>
        </w:rPr>
        <w:t>means any event or condition that constitutes a Revolving/Used Vehicle Event of Default or a New Vehicle Event of Default or that, with the giving of any notice, the passage of time, or both, would be a Revolving/Used Vehicle Event of Default or a New Vehicle Event of Default.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Default Rate</w:t>
      </w:r>
      <w:r>
        <w:rPr>
          <w:color w:val="000000"/>
        </w:rPr>
        <w:t xml:space="preserve">” </w:t>
      </w:r>
      <w:r>
        <w:rPr>
          <w:rFonts w:ascii="Times New Roman;sans-serif" w:hAnsi="Times New Roman;sans-serif"/>
          <w:b w:val="false"/>
          <w:color w:val="000000"/>
          <w:sz w:val="22"/>
        </w:rPr>
        <w:t xml:space="preserve">means (a) when used with respect to Obligations other than Letter of Credit Fees, an interest rate equal to (i) the Base Rate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(ii) the Applicable Rate, if any, applicable to Base Rate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367665"/>
                <wp:effectExtent l="0" t="0" r="0" b="0"/>
                <wp:wrapNone/>
                <wp:docPr id="189" name="Frame18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Loans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(iii) 2% per annum;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with respect to a Daily Simple SOFR Loan, the Default Rate shall be an interest rate equal to the interest rate (including any Applicable Rate) otherwise applicable to such Loan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2% per annum, and (b) when used with respect to Letter of Credit Fees, a rate equal to the Applicable Rate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2% per annum.</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Defaulting Lender</w:t>
      </w:r>
      <w:r>
        <w:rPr>
          <w:color w:val="000000"/>
        </w:rPr>
        <w:t xml:space="preserve">” </w:t>
      </w:r>
      <w:r>
        <w:rPr>
          <w:rFonts w:ascii="Times New Roman;sans-serif" w:hAnsi="Times New Roman;sans-serif"/>
          <w:b w:val="false"/>
          <w:color w:val="000000"/>
          <w:sz w:val="22"/>
        </w:rPr>
        <w:t xml:space="preserve">means, subject to </w:t>
      </w:r>
      <w:r>
        <w:rPr>
          <w:rFonts w:ascii="Times New Roman;sans-serif" w:hAnsi="Times New Roman;sans-serif"/>
          <w:b w:val="false"/>
          <w:color w:val="000000"/>
          <w:sz w:val="22"/>
          <w:u w:val="single"/>
        </w:rPr>
        <w:t>Section 2.27(b)</w:t>
      </w:r>
      <w:r>
        <w:rPr>
          <w:rFonts w:ascii="Times New Roman;sans-serif" w:hAnsi="Times New Roman;sans-serif"/>
          <w:b w:val="false"/>
          <w:color w:val="000000"/>
          <w:sz w:val="22"/>
        </w:rPr>
        <w:t>, any Lender that, (a) has failed to (i) fund all or any portion of its Loans within two Business Days of the date such Loans were required to be funded hereunder, unless such Lender notifies the Administrative Agent and the Company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L/C Issuer, any Swing Line Lender, or any other Lender any other amount required to be paid by it hereunder (including in respect of its participation in Letters of Credit or Swing Line Loans) within two Business Days of the date when due, (b) has notified the Company, the Administrative Agent, any L/C Issuer, or any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Company, to confirm in writing to the Administrative Agent and the Company that it will comply with its prospective funding obligations hereunder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Lender shall cease to be a Defaulting Lender pursuant to this clause (c) upon receipt of such written confirmation by the Administrative Agent and the Company) or (d) has, or has a direct or indirect parent company that has, (i) become the subject of a proceeding under any Debtor Relief Law,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w:t>
      </w:r>
      <w:r>
        <w:rPr>
          <w:color w:val="0070C0"/>
        </w:rPr>
        <w:t xml:space="preserve"> </w:t>
      </w:r>
      <w:r>
        <w:rPr>
          <w:rFonts w:ascii="Times New Roman;sans-serif" w:hAnsi="Times New Roman;sans-serif"/>
          <w:b w:val="false"/>
          <w:color w:val="000000"/>
          <w:sz w:val="22"/>
        </w:rPr>
        <w:t xml:space="preserve">or (iii) become the subject of a Bail-In Action;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and of the effective date of such status, shall be conclusive and binding absent manifest error, and such Lender shall be deemed to be a Defaulting Lender (subject to </w:t>
      </w:r>
      <w:r>
        <w:rPr>
          <w:rFonts w:ascii="Times New Roman;sans-serif" w:hAnsi="Times New Roman;sans-serif"/>
          <w:b w:val="false"/>
          <w:color w:val="000000"/>
          <w:sz w:val="22"/>
          <w:u w:val="single"/>
        </w:rPr>
        <w:t>Section 2.27(b))</w:t>
      </w:r>
      <w:r>
        <w:rPr>
          <w:color w:val="000000"/>
        </w:rPr>
        <w:t xml:space="preserve"> </w:t>
      </w:r>
      <w:r>
        <w:rPr>
          <w:rFonts w:ascii="Times New Roman;sans-serif" w:hAnsi="Times New Roman;sans-serif"/>
          <w:b w:val="false"/>
          <w:color w:val="000000"/>
          <w:sz w:val="22"/>
        </w:rPr>
        <w:t>as of the date established therefor by the Administrative Agent in a written notice of such determination, which shall be delivered by the Administrative Agent to the Company, each L/C Issuer, each Swing Line Lender and each other Lender promptly following such determination.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Designated Escrow Subsidiary</w:t>
      </w:r>
      <w:r>
        <w:rPr>
          <w:color w:val="000000"/>
        </w:rPr>
        <w:t xml:space="preserve">” </w:t>
      </w:r>
      <w:r>
        <w:rPr>
          <w:rFonts w:ascii="Times New Roman;sans-serif" w:hAnsi="Times New Roman;sans-serif"/>
          <w:b w:val="false"/>
          <w:color w:val="000000"/>
          <w:sz w:val="22"/>
        </w:rPr>
        <w:t xml:space="preserve">means a wholly-owned Subsidiary that is formed by the Company or any of its Subsidiaries for the sole purpose of incurring Indebtedness the proceeds of which will be subject to an escrow or other similar arrangement;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upon the termination of all such escrow or similar arrangements (but in any event no later than the consummation of the applicable Acquisition), such Subsidiary shall cease to constitute a “Designated Escrow Subsidiary” hereunder and shall be dissolved or shall merge with and into the Company or one of its Restricted Subsidiaries. Prior to its dissolution or merger with and into such Person, the Designated Escrow Subsidiary shall not own, hold or otherwise have any interest in any material assets other than the proceeds of the applicable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367665"/>
                <wp:effectExtent l="0" t="0" r="0" b="0"/>
                <wp:wrapNone/>
                <wp:docPr id="190" name="Frame18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Indebtedness incurred by the Designated Escrow Subsidiary and any cash or cash equivalents invested in such Designated Escrow Subsidiary to cover interest and premium in respect of such Indebtedness.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Demonstrator</w:t>
      </w:r>
      <w:r>
        <w:rPr>
          <w:color w:val="000000"/>
        </w:rPr>
        <w:t xml:space="preserve">” </w:t>
      </w:r>
      <w:r>
        <w:rPr>
          <w:rFonts w:ascii="Times New Roman;sans-serif" w:hAnsi="Times New Roman;sans-serif"/>
          <w:b w:val="false"/>
          <w:color w:val="000000"/>
          <w:sz w:val="22"/>
        </w:rPr>
        <w:t>means a New Vehicle that (i) has not been previously titled (other than to a New Vehicle Borrower in accordance with applicable law), (ii) is the then current model year or last model year, (iii) has an odometer reading of less than 7500 miles and (iv) is designated by the applicable New Vehicle Borrower as such.</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Designated Jurisdiction</w:t>
      </w:r>
      <w:r>
        <w:rPr>
          <w:color w:val="000000"/>
        </w:rPr>
        <w:t xml:space="preserve">” </w:t>
      </w:r>
      <w:r>
        <w:rPr>
          <w:rFonts w:ascii="Times New Roman;sans-serif" w:hAnsi="Times New Roman;sans-serif"/>
          <w:b w:val="false"/>
          <w:color w:val="000000"/>
          <w:sz w:val="22"/>
        </w:rPr>
        <w:t>means any country or territory to the extent that such country or territory itself is the subject of any Sanction.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Disposition</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val="false"/>
          <w:color w:val="000000"/>
          <w:sz w:val="22"/>
          <w:u w:val="single"/>
        </w:rPr>
        <w:t>Dispose</w:t>
      </w:r>
      <w:r>
        <w:rPr>
          <w:color w:val="000000"/>
        </w:rPr>
        <w:t xml:space="preserve">” </w:t>
      </w:r>
      <w:r>
        <w:rPr>
          <w:rFonts w:ascii="Times New Roman;sans-serif" w:hAnsi="Times New Roman;sans-serif"/>
          <w:b w:val="false"/>
          <w:color w:val="000000"/>
          <w:sz w:val="22"/>
        </w:rPr>
        <w:t>means the sale, transfer, license, lease or other disposition (including any sale and leaseback transaction) of any property by any Person, including any sale, assignment, transfer or other disposal, with or without recourse, of any notes or accounts receivable or any rights and claims associated therewith and including any disposition of property pursuant to a Division.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Disposition Proceeds</w:t>
      </w:r>
      <w:r>
        <w:rPr>
          <w:color w:val="000000"/>
        </w:rPr>
        <w:t xml:space="preserve">” </w:t>
      </w:r>
      <w:r>
        <w:rPr>
          <w:rFonts w:ascii="Times New Roman;sans-serif" w:hAnsi="Times New Roman;sans-serif"/>
          <w:b w:val="false"/>
          <w:color w:val="000000"/>
          <w:sz w:val="22"/>
        </w:rPr>
        <w:t xml:space="preserve">means, with respect to any Disposition, as at the date of such Disposition, the sum of the following (without duplication): (i) the amount of any cash and fair market value of other property received as consideration in connection with such Disposition, (ii) all consideration amounts in the form of earnouts and other contingent obligations that should be recorded on the financial statements of the Company and its Subsidiaries in accordance with GAAP in connection with such Disposition, (iii) all amounts received in respect of covenants not to compete, consulting agreements that should be recorded on the financial statements of the Company and its Subsidiaries in accordance with GAAP, and other affiliated contracts in connection with such Disposition, and (iv) the aggregate fair market value of all other consideration received by the Company or any Subsidiary in connection with such Disposition;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Disposition Proceeds shall not include (a) the sale price of floored Vehicles disposed of in connection with such Disposition or (b) any amount used to pay off Liens (other than Liens created by the Loan Documents) on any property disposed of in connection with such Disposition.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Disqualified Stock</w:t>
      </w:r>
      <w:r>
        <w:rPr>
          <w:color w:val="000000"/>
        </w:rPr>
        <w:t xml:space="preserve">” </w:t>
      </w:r>
      <w:r>
        <w:rPr>
          <w:rFonts w:ascii="Times New Roman;sans-serif" w:hAnsi="Times New Roman;sans-serif"/>
          <w:b w:val="false"/>
          <w:color w:val="000000"/>
          <w:sz w:val="22"/>
        </w:rPr>
        <w:t>means, with respect to any Person, any Equity Interests of such Person which by its terms (or by the terms of any security or other Equity Interests into which it is convertible or for which it is exchangeable) or upon the happening of any event: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matures or is mandatorily redeemable for cash or in exchange for Indebtedness pursuant to a sinking fund obligation or otherwise; or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(b)  is or may become (in accordance with its terms) upon the occurrence of certain events or otherwise redeemable or repurchasable for cash or in exchange for Indebtedness at the option of the holder of the Equity Interests in whole or in part, in each case on or prior to the date that is ninety-one (91) days after the latest Maturity Date in effect at the time of issuance thereof;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(i) only the portion of Equity Interests which so matures or is mandatorily redeemable, is so convertible or exchangeable or is so redeemable at the option of the holder thereof prior to such date will be deemed to be Disqualified Stock and (ii) any Equity Interests that would constitute Disqualified Stock solely because the holders thereof have the right to require such Person to repurchase such Equity Interests upon the occurrence of a change of control or asset sale (howsoever defined or referred to) shall not constitute Disqualified Stock if any such redemption or repurchase obligation is subject to compliance by the relevant Person with </w:t>
      </w:r>
      <w:r>
        <w:rPr>
          <w:rFonts w:ascii="Times New Roman;sans-serif" w:hAnsi="Times New Roman;sans-serif"/>
          <w:b w:val="false"/>
          <w:color w:val="000000"/>
          <w:sz w:val="22"/>
          <w:u w:val="single"/>
        </w:rPr>
        <w:t>Section 7.10</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if such Equity Interests are issued to any plan for the benefit of employees of the Company or its Subsidiaries or by any such plan to such employees, such Equity Interests shall not constitute Disqualified Stock solely because it may be required to be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367665"/>
                <wp:effectExtent l="0" t="0" r="0" b="0"/>
                <wp:wrapNone/>
                <wp:docPr id="191" name="Frame18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repurchased by the Company or its Subsidiaries in order to satisfy applicable statutory or regulatory obligations.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Dividing Person</w:t>
      </w:r>
      <w:r>
        <w:rPr>
          <w:color w:val="000000"/>
        </w:rPr>
        <w:t xml:space="preserve">” </w:t>
      </w:r>
      <w:r>
        <w:rPr>
          <w:rFonts w:ascii="Times New Roman;sans-serif" w:hAnsi="Times New Roman;sans-serif"/>
          <w:b w:val="false"/>
          <w:color w:val="000000"/>
          <w:sz w:val="22"/>
        </w:rPr>
        <w:t>has the meaning assigned to it in the definition of “Division.”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Division</w:t>
      </w:r>
      <w:r>
        <w:rPr>
          <w:color w:val="000000"/>
        </w:rPr>
        <w:t xml:space="preserve">” </w:t>
      </w:r>
      <w:r>
        <w:rPr>
          <w:rFonts w:ascii="Times New Roman;sans-serif" w:hAnsi="Times New Roman;sans-serif"/>
          <w:b w:val="false"/>
          <w:color w:val="000000"/>
          <w:sz w:val="22"/>
        </w:rPr>
        <w:t>means the division of the assets, liabilities and/or obligations of a Person (the “</w:t>
      </w:r>
      <w:r>
        <w:rPr>
          <w:rFonts w:ascii="Times New Roman;sans-serif" w:hAnsi="Times New Roman;sans-serif"/>
          <w:b w:val="false"/>
          <w:color w:val="000000"/>
          <w:sz w:val="22"/>
          <w:u w:val="single"/>
        </w:rPr>
        <w:t>Dividing Person</w:t>
      </w:r>
      <w:r>
        <w:rPr>
          <w:color w:val="000000"/>
        </w:rPr>
        <w:t>”</w:t>
      </w:r>
      <w:r>
        <w:rPr>
          <w:rFonts w:ascii="Times New Roman;sans-serif" w:hAnsi="Times New Roman;sans-serif"/>
          <w:b w:val="false"/>
          <w:color w:val="000000"/>
          <w:sz w:val="22"/>
        </w:rPr>
        <w:t>) among two or more Persons (whether pursuant to a “plan of division” or similar arrangement), which may or may not include the Dividing Person and pursuant to which the Dividing Person may or may not survive.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Dollar</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w:t>
      </w:r>
      <w:r>
        <w:rPr>
          <w:color w:val="000000"/>
        </w:rPr>
        <w:t xml:space="preserve">” </w:t>
      </w:r>
      <w:r>
        <w:rPr>
          <w:rFonts w:ascii="Times New Roman;sans-serif" w:hAnsi="Times New Roman;sans-serif"/>
          <w:b w:val="false"/>
          <w:color w:val="000000"/>
          <w:sz w:val="22"/>
        </w:rPr>
        <w:t>mean lawful money of the United States.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Domestic Subsidiary</w:t>
      </w:r>
      <w:r>
        <w:rPr>
          <w:color w:val="000000"/>
        </w:rPr>
        <w:t xml:space="preserve">” </w:t>
      </w:r>
      <w:r>
        <w:rPr>
          <w:rFonts w:ascii="Times New Roman;sans-serif" w:hAnsi="Times New Roman;sans-serif"/>
          <w:b w:val="false"/>
          <w:color w:val="000000"/>
          <w:sz w:val="22"/>
        </w:rPr>
        <w:t>means any Subsidiary that is not a Foreign Subsidiary.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DQ List</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10.06(l)(iv)</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EEA Financial Institution</w:t>
      </w:r>
      <w:r>
        <w:rPr>
          <w:color w:val="000000"/>
        </w:rPr>
        <w:t xml:space="preserve">” </w:t>
      </w:r>
      <w:r>
        <w:rPr>
          <w:rFonts w:ascii="Times New Roman;sans-serif" w:hAnsi="Times New Roman;sans-serif"/>
          <w:b w:val="false"/>
          <w:color w:val="000000"/>
          <w:sz w:val="22"/>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EEA Member Country</w:t>
      </w:r>
      <w:r>
        <w:rPr>
          <w:color w:val="000000"/>
        </w:rPr>
        <w:t xml:space="preserve">” </w:t>
      </w:r>
      <w:r>
        <w:rPr>
          <w:rFonts w:ascii="Times New Roman;sans-serif" w:hAnsi="Times New Roman;sans-serif"/>
          <w:b w:val="false"/>
          <w:color w:val="000000"/>
          <w:sz w:val="22"/>
        </w:rPr>
        <w:t>means any of the member states of the European Union, Iceland, Liechtenstein, and Norway.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EEA Resolution Authority</w:t>
      </w:r>
      <w:r>
        <w:rPr>
          <w:color w:val="000000"/>
        </w:rPr>
        <w:t xml:space="preserve">” </w:t>
      </w:r>
      <w:r>
        <w:rPr>
          <w:rFonts w:ascii="Times New Roman;sans-serif" w:hAnsi="Times New Roman;sans-serif"/>
          <w:b w:val="false"/>
          <w:color w:val="000000"/>
          <w:sz w:val="22"/>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4"/>
          <w:u w:val="single"/>
        </w:rPr>
        <w:t>Electronic Record</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val="false"/>
          <w:color w:val="000000"/>
          <w:sz w:val="24"/>
          <w:u w:val="single"/>
        </w:rPr>
        <w:t>Electronic Signature</w:t>
      </w:r>
      <w:r>
        <w:rPr>
          <w:color w:val="000000"/>
        </w:rPr>
        <w:t xml:space="preserve">” </w:t>
      </w:r>
      <w:r>
        <w:rPr>
          <w:rFonts w:ascii="Times New Roman;sans-serif" w:hAnsi="Times New Roman;sans-serif"/>
          <w:b w:val="false"/>
          <w:color w:val="000000"/>
          <w:sz w:val="24"/>
        </w:rPr>
        <w:t>shall have the meanings assigned to them, respectively, by 15 USC §7006, as it may be amended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Eligible Accounts</w:t>
      </w:r>
      <w:r>
        <w:rPr>
          <w:color w:val="000000"/>
        </w:rPr>
        <w:t xml:space="preserve">” </w:t>
      </w:r>
      <w:r>
        <w:rPr>
          <w:rFonts w:ascii="Times New Roman;sans-serif" w:hAnsi="Times New Roman;sans-serif"/>
          <w:b w:val="false"/>
          <w:color w:val="000000"/>
          <w:sz w:val="22"/>
        </w:rPr>
        <w:t>means the Accounts, other than Contracts-in-Transit, of the Company and the Subsidiary Guarantors, which Accounts arise from the sale, lease or license of goods or rendition of services in the ordinary course of business;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 Eligible Accounts shall not (unless otherwise agreed to by the Administrative Agent) include any Account: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(i)with respect to which any of the representations, warranties, covenants, and agreements contained in the Loan Documents are incorrect or have been breached in any material respect;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(ii)except as provided in clause (b)(viii) below, with respect to which either the perfection, enforceability, or validity of the Administrative Agent’s Liens in such Account, or the Administrative Agent’s right or ability to obtain direct payment to the Administrative Agent of the proceeds of such Account, is governed by any federal, state, or local statutory requirements other than those of the UCC;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367665"/>
                <wp:effectExtent l="0" t="0" r="0" b="0"/>
                <wp:wrapNone/>
                <wp:docPr id="192" name="Frame18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(iii)owed by an Account Debtor which is obligated to the Company or the applicable Subsidiary representing Accounts the aggregate unpaid balance of which exceeds twenty-five percent (25%) of the aggregate unpaid balance of all Accounts owed to the Company or the applicable Subsidiary at such time by all of the Company’s or the applicable Subsidiary’s Account Debtors, but only to the extent of such excess; or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(iv)that is not subject to the Administrative Agent’s Liens which are perfected as to such Accounts, or that is subject to any other Lien whatsoever other than Borrowing Base Permitted Liens; and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(b) the following Accounts shall not be Eligible Accounts to the extent (but only to the extent) that the aggregate Net Book Value of all such Accounts constitutes more than 10% of the Net Book Value of all otherwise Eligible Accounts: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(i)any Account with respect to which more than 90 days have elapsed since the date of the original invoice therefor or which is more than 60 days past due;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(ii)any Account with respect to which Account (or any other Account due from such Account Debtor), in whole or in part, a check, promissory note, draft, trade acceptance or other instrument for the payment of money has been received, presented for payment and returned uncollected for any reason;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(iii)any Account that represents a progress billing (as hereinafter defined) or as to which the Company or any Subsidiary has extended the time for payment without the consent of the Administrative Agent; for the purposes hereof, “progress billing” means any invoice for goods sold or leased or services rendered under a contract or agreement pursuant to which the Account Debtor’s obligation to pay such invoice is conditioned upon the Company’s or the applicable Subsidiary’s completion of any further performance under the contract or agreement;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(iv)any Account with respect to which any one or more of the following events has occurred to the Account Debtor on such Account: death or judicial declaration of incompetency of an Account Debtor who is an individual; the filing by or against the Account Debtor of a request or petition for liquidation, reorganization, arrangement, adjustment of debts, adjudication as a bankrupt, winding-up, or other relief under Debtor Relief Laws; the making of any general assignment by the Account Debtor for the benefit of creditors; the appointment of a receiver or trustee for the Account Debtor or for any of the assets of the Account Debtor, including, without limitation, the appointment of or taking possession by a “custodian,” as defined in the Bankruptcy Code of the United States; the institution by or against the Account Debtor of any other type of insolvency proceeding (under Debtor Relief Laws or otherwise) or of any formal or informal proceeding for the dissolution or liquidation of, settlement of claims against, or winding up of affairs of, the Account Debtor; the sale, assignment, or transfer of all or any material part of the assets of the Account Debtor; the nonpayment generally by the Account Debtor of its debts as they become due; or the cessation of the business of the Account Debtor as a going concern;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(v)any Account owed by an Account Debtor which: (1) does not maintain its chief executive office in the United States or Canada; (2) is not organized under the laws of the United States, Canada or any state or province thereof; (3) is not, if a natural person, a citizen of the United States or Canada residing therein; or (4) is a Governmental Authority of any foreign country or sovereign state, or of any state, province, municipality, or other political subdivision thereof;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(vi)any Account owed by an Account Debtor which is an Affiliate, officer, director or employee of the Company or any Subsidiary;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(vii)any Account owed by an Account Debtor to which the Company or any Subsidiary is indebted in any way, or with respect to which the Company or such Subsidiary has knowledge or notice that such Account is subject to any right of setoff or recoupment by the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367665"/>
                <wp:effectExtent l="0" t="0" r="0" b="0"/>
                <wp:wrapNone/>
                <wp:docPr id="193" name="Frame18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Account Debtor (including, without limitation, all Accounts that are subject to any agreement encumbering or limiting in any manner the Company’s or any Subsidiary’s access to such Accounts), unless the Account Debtor has entered into an agreement acceptable to the Administrative Agent to waive setoff rights; or if the Account Debtor thereon has disputed liability or made any claim with respect to any other Account due from such Account Debtor, but in each such case only to the extent of such indebtedness, setoff, recoupment, dispute, or claim;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(viii)any Account owed by any Governmental Authority, unless the Federal Assignment of Claims Act of 1940, as amended (31 U.S.C. § 3727 et seq.), and any other steps necessary to perfect the Administrative Agent’s Liens therein, have been complied with to the Administrative Agent’s satisfaction with respect to such Account;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(ix)any Account owed by any Governmental Authority and as to which the Administrative Agent determines that its Lien therein is not or cannot be perfected;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(x)any Account which represents a sale on a bill-and-hold, guaranteed sale, sale and return, sale on approval, consignment, or other repurchase or return basis;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(xi)any Account which is evidenced by a promissory note or other instrument or by chattel paper;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(xii)any Account with respect to which the Account Debtor is located in any state requiring the filing of a Notice of Business Activities Report or similar report in order to permit the Company or any Subsidiary to seek judicial enforcement in such state of payment of such Account, unless the Company or any Subsidiary has qualified to do business in such state or has filed a Notice of Business Activities Report or equivalent report for the then current year;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(xiii)any Account that arises out of a sale not made in the ordinary course of the Company’s or the applicable Subsidiary’s business or out of finance or similar charges;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(xiv)any Account with respect to which the goods giving rise to such Account have not been shipped and delivered to and accepted by the Account Debtor or the services giving rise to such Account have not been performed by the Company or the applicable Subsidiary and, if applicable, accepted by the Account Debtor, or the Account Debtor revokes its acceptance of such goods or services;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(xv)any Account in which the payment thereof has been extended beyond 90 days from the date of the original invoice thereof, the Account Debtor has made a partial payment, or such Account arises from a sale on a cash-on-delivery basis; or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(xvi)any Account which includes a billing for interest, fees or late charges,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ineligibility shall be limited to the extent of such billing.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by including an Account in any computation of the Borrowing Base, shall be deemed to represent and warrant to the Administrative Agent and the Lenders that (y) such Account is not of the type described in any of (a)(i) through (iv) above and (z) at least 90% of the Accounts included as Eligible Accounts in the computation of such Borrowing Base are not of the type described in any of (b)(i) through (xvi) above; and if any Account at any time ceases to be an Eligible Account, then such Account shall promptly be excluded by the Company from the calculation of Eligible Accounts. If the Administrative Agent or the Required Lenders have reasonable grounds to believe that an Account is of the type described in any of clauses (a)(i) through (iv) above or that any Account or Accounts cause the calculation of the Borrowing Base to violate proviso (b) above, the Administrative Agent shall inform the Company of the grounds for such belief and shall request confirmation by the Company of the eligibility of such Account or Accounts. Prior to confirmation of the eligibility thereof by the Company, such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367665"/>
                <wp:effectExtent l="0" t="0" r="0" b="0"/>
                <wp:wrapNone/>
                <wp:docPr id="194" name="Frame18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Account or Accounts shall not be considered Eligible Accounts and no representation and warranty shall have been deemed made with respect 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Eligible Assignee</w:t>
      </w:r>
      <w:r>
        <w:rPr>
          <w:color w:val="000000"/>
        </w:rPr>
        <w:t xml:space="preserve">” </w:t>
      </w:r>
      <w:r>
        <w:rPr>
          <w:rFonts w:ascii="Times New Roman;sans-serif" w:hAnsi="Times New Roman;sans-serif"/>
          <w:b w:val="false"/>
          <w:color w:val="000000"/>
          <w:sz w:val="22"/>
        </w:rPr>
        <w:t xml:space="preserve">means any Person that meets the requirements to be an assignee under </w:t>
      </w:r>
      <w:r>
        <w:rPr>
          <w:rFonts w:ascii="Times New Roman;sans-serif" w:hAnsi="Times New Roman;sans-serif"/>
          <w:b w:val="false"/>
          <w:color w:val="000000"/>
          <w:sz w:val="22"/>
          <w:u w:val="single"/>
        </w:rPr>
        <w:t>Section 10.06(b)(iii)</w:t>
      </w:r>
      <w:r>
        <w:rPr>
          <w:rFonts w:ascii="Times New Roman;sans-serif" w:hAnsi="Times New Roman;sans-serif"/>
          <w:b w:val="false"/>
          <w:color w:val="000000"/>
          <w:sz w:val="22"/>
        </w:rPr>
        <w:t xml:space="preserve">, and </w:t>
      </w:r>
      <w:r>
        <w:rPr>
          <w:rFonts w:ascii="Times New Roman;sans-serif" w:hAnsi="Times New Roman;sans-serif"/>
          <w:b w:val="false"/>
          <w:color w:val="000000"/>
          <w:sz w:val="22"/>
          <w:u w:val="single"/>
        </w:rPr>
        <w:t>(v)</w:t>
      </w:r>
      <w:r>
        <w:rPr>
          <w:color w:val="000000"/>
        </w:rPr>
        <w:t xml:space="preserve"> </w:t>
      </w:r>
      <w:r>
        <w:rPr>
          <w:rFonts w:ascii="Times New Roman;sans-serif" w:hAnsi="Times New Roman;sans-serif"/>
          <w:b w:val="false"/>
          <w:color w:val="000000"/>
          <w:sz w:val="22"/>
        </w:rPr>
        <w:t xml:space="preserve">(subject to such consents, if any, as may be required under </w:t>
      </w:r>
      <w:r>
        <w:rPr>
          <w:rFonts w:ascii="Times New Roman;sans-serif" w:hAnsi="Times New Roman;sans-serif"/>
          <w:b w:val="false"/>
          <w:color w:val="000000"/>
          <w:sz w:val="22"/>
          <w:u w:val="single"/>
        </w:rPr>
        <w:t>Section 10.06(b)(iii)</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Eligible Borrowing Base Real Estate</w:t>
      </w:r>
      <w:r>
        <w:rPr>
          <w:color w:val="000000"/>
        </w:rPr>
        <w:t xml:space="preserve">” </w:t>
      </w:r>
      <w:r>
        <w:rPr>
          <w:rFonts w:ascii="Times New Roman;sans-serif" w:hAnsi="Times New Roman;sans-serif"/>
          <w:b w:val="false"/>
          <w:color w:val="000000"/>
          <w:sz w:val="22"/>
        </w:rPr>
        <w:t>means any real property of the Company or a Subsidiary Guarantor;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Eligible Borrowing Base Real Estate shall not include any real property unless: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(i)the property is owned in fee simple by a Borrower or a Subsidiary Guarantor,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(ii)the property is not subject to any lien or encumbrances (other than Borrowing Base Permitted Liens) and the Company or such Subsidiary Guarantor, as applicable, shall not have entered into any agreement prohibiting or limiting its ability to grant a Lien on such property to the Administrative Agent to secure the Obligations,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(iii)the property is utilized by or leased to a Borrower or Subsidiary Guarantor that is a vehicle dealership or is an operating entity involved in the sale, repair, service or storage of auto vehicles,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(iv)the owner name, address(es), tenant(s), value(s), valuation type (appraisal or tax assessed) and date(s) of valuation included for such Eligible Borrowing Base Real Estate are detailed quarterly in a revolving borrowing base certificate (and, if applicable, the Pro Forma Revolving Borrowing Base Certificate first reflecting such property) delivered to the Administrative Agent,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(v)such Eligible Borrowing Base Real Estate is located in a state within the United States or in the District of Columbia,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(vi)the Administrative Agent has received a FIRREA-conforming appraisal for such property of the current value of such property or, in the event that a FIRREA-conforming appraisal cannot be obtained prior to the date such real estate is intended to be included in the Revolving Borrowing Base after commercially reasonable efforts, a report as to the tax assessed value for such property, in each case in form and substance reasonably satisfactory to the Administrative Agent and as of a date that is within 12 months before the date of the first Revolving Borrowing Base Certificate that reflects such property, which appraisal or tax assessed value report shall be delivered by the Administrative Agent to the Lenders upon receipt by the Administrative Agent,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(vii)if such real property has been deemed Eligible Borrowing Base Real Estate for 60 consecutive months or longer (a) then with respect to each fifth anniversary of the date such property was first deemed Eligible Borrowing Base Real Estate, the Administrative Agent has received (x) a new or updated FIRREA-conforming appraisal</w:t>
      </w:r>
      <w:r>
        <w:rPr>
          <w:color w:val="0000FF"/>
        </w:rPr>
        <w:t xml:space="preserve"> </w:t>
      </w:r>
      <w:r>
        <w:rPr>
          <w:rFonts w:ascii="Times New Roman;sans-serif" w:hAnsi="Times New Roman;sans-serif"/>
          <w:b w:val="false"/>
          <w:color w:val="000000"/>
          <w:sz w:val="22"/>
        </w:rPr>
        <w:t xml:space="preserve">or, in the event that a FIRREA-conforming appraisal cannot be obtained prior to the date required below after commercially reasonable efforts, a report as to tax assessment value as of a date within sixty (60) days of such anniversary, in each case in form and substance reasonably satisfactory to the Administrative Agent and which appraisal or tax assessment report shall be delivered to the Lenders by the Administrative Agent upon receipt by the Administrative Agent, and (b) the Administrative Agent, in its reasonable discretion, has not determined that such property is unacceptable or unmortgageable. Such determination shall be made each 90 days after such 60-month period and which determination shall take into account whether there is sufficient closing cost liquidity and market access available to the Company to consummate a mortgage financing and recordation in the open market;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the Administrative Agent deems such real property not to be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367665"/>
                <wp:effectExtent l="0" t="0" r="0" b="0"/>
                <wp:wrapNone/>
                <wp:docPr id="195" name="Frame19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acceptable or mortgageable, the Administrative Agent shall notify the Company in writing of such determination and such real property shall cease to be Eligible Borrowing Base Real Estate 90 days after delivery of such written notice to the Company of such determination by the Administrative Agent, and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(viii)after the occurrence of an Event of Default, the Company shall deliver to the Administrative Agent, promptly after the Administrative Agent’s written request, any of the following so requested with respect to any Eligible Borrowing Base Real Estate (i) a new or updated FIRREA-conforming appraisal, evaluation, or report as of such date as the Administrative Agent requires to determine the value of such property, (ii) a Phase I (or if recommended by such Phase I, Phase II) environmental report and such other environmental audits, assessments, studies and reports as the Administrative Agent requires, prepared by a geotechnical engineer or other qualified Person acceptable to the Administrative Agent, (iii) a title report, and (iv) flood hazard certificates, and if applicable, evidence of flood insurance coverage.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(ix)With respect to the FIRREA-conforming appraisal or tax assessment report, as the case may be, provided in connection with clause (vii) above, (1) if the appraisal or tax assessment report, as the case may be, shows that the value of the property has decreased in value, the value of the Eligible Borrowing Base Real Estate will be reduced by a corresponding amount and (2) if the appraisal or tax assessment report, as the case may be, shows that the value of the property has increased in value, the value of the Eligible Borrowing Base Real Estate will be increased by a corresponding amount.  Each such FIRREA-conforming appraisal shall be performed by an appraiser engaged by the Administrative Agent and must be delivered to the Administrative Agent. If the Company desires to remove any real property from the Revolving Borrowing Base, the Company shall deliver to the Administrative Agent a Pro Forma Revolving Borrowing Certificate (reflecting the exclusion of such property), and the Revolving Borrowing Base and Revolving Advance Limit shall be adjusted immediately in accordance with such certificate.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Eligible Contracts-in-Transit</w:t>
      </w:r>
      <w:r>
        <w:rPr>
          <w:color w:val="000000"/>
        </w:rPr>
        <w:t xml:space="preserve">” </w:t>
      </w:r>
      <w:r>
        <w:rPr>
          <w:rFonts w:ascii="Times New Roman;sans-serif" w:hAnsi="Times New Roman;sans-serif"/>
          <w:b w:val="false"/>
          <w:color w:val="000000"/>
          <w:sz w:val="22"/>
        </w:rPr>
        <w:t>means the Contracts-in-Transit of the Company and the Subsidiary Guarantors;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 Eligible Contracts-in-Transit shall not (unless otherwise agreed to by the Administrative Agent) include any Contract-in-Transit: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(i)with respect to which any of the representations, warranties, covenants, and agreements contained in the Loan Documents are incorrect or have been breached in any material respect;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(ii)with respect to which either the perfection, enforceability, or validity of the Administrative Agent’s Liens in such Contract-in-Transit, or the Administrative Agent’s right or ability to obtain direct payment to the Administrative Agent of the proceeds of such Contract-in-Transit, is governed by any federal, state, or local statutory requirements other than those of the UCC; or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(iii)that is not subject to the Administrative Agent’s Liens which are perfected as to such Contract-in-Transit, or that is subject to any other Lien whatsoever other than Borrowing Base Permitted Liens; and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(b) the following Contracts-in-Transit shall not be Eligible Contracts-in-Transit to the extent (but only to the extent) that the aggregate Net Book Value of all such Contracts-in-Transit constitutes more than 10% of the Net Book Value of all otherwise Eligible Contracts-in-Transit:</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367665"/>
                <wp:effectExtent l="0" t="0" r="0" b="0"/>
                <wp:wrapNone/>
                <wp:docPr id="196" name="Frame19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(i)any Contract-in-Transit with respect to which more than 12 days have elapsed since the sale of the applicable Vehicle;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(ii)any Contract-in-Transit with respect to which Contract-in-Transit (or any other Contract-in-Transit due from such financial institution), in whole or in part, a check, promissory note, draft, trade acceptance or other instrument for the payment of money has been received, presented for payment and returned uncollected for any reason;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(iii)any Contract-in-Transit with respect to which any one or more of the following events has occurred to the respective financial institution: the filing by or against the financial institution of a request or petition for insolvency, liquidation, reorganization, arrangement, adjustment of debts, adjudication as a bankrupt, winding-up, or other relief under Debtor Relief Laws; the making of any general assignment by the financial institution for the benefit of creditors; the appointment of a receiver or trustee for the financial institution or for any of the assets of the financial institution, including, without limitation, the appointment of or taking possession by a “custodian,” as defined in the Bankruptcy Code of the United States; the institution by or against the financial institution of any other type of insolvency proceeding (under Debtor Relief Laws or otherwise) or of any formal or informal proceeding for the dissolution or liquidation of, settlement of claims against, or winding up of affairs of, the financial institution; the sale, assignment, or transfer of all or any material part of the assets of the financial institution; the nonpayment generally by the financial institution of its debts as they become due; or the cessation of the business of the financial institution as a going concern;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(iv)any Contract-in-Transit provided by a financial institution which is an Affiliate of the Company or any Subsidiary;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(v)any Contract-in-Transit which is subject to any right of setoff or recoupment by the financial institution (including, without limitation, all Contracts-in-Transit that are subject to any agreement encumbering or limiting in any manner the Company’s or any Subsidiary’s access to such Contracts-in-Transit), unless the financial institution has entered into an agreement acceptable to the Administrative Agent to waive setoff rights; or if the financial institution has disputed liability or made any claim with respect to any other Contract-in-Transit due from such financial institution, but in each such case only to the extent of such indebtedness, setoff, recoupment, dispute, or claim;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(vi)any Contract-in-Transit that arises out of a sale not made in the ordinary course of the Company’s or the applicable Subsidiary’s business; or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(vii)any Contract-in-Transit with respect to which the Vehicle giving rise to such Contract-in-Transit has not been delivered to and accepted by the applicable customer.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 by including a Contract-in-Transit in any computation of the Borrowing Base, shall be deemed to represent and warrant to the Administrative Agent and the Lenders that (y) such Contract-in-Transit is not of the type described in any of (a)(i) through (iii) above and (z) at least 90% of the Contracts-in-Transit included as Eligible Contracts-in-Transit in the computation of such Borrowing Base are not of the type described in any of (b)(i) through (vii) above; and if any Contract-in-Transit at any time ceases to be an Eligible Contract-in-Transit, then such Contract-in-Transit shall promptly be excluded by the Company from the calculation of Eligible Contracts-in-Transit. If the Administrative Agent or the Required Lenders have reasonable grounds to believe that a Contract-in-Transit is of the type described in any of clauses (a)(i) through (iii) above or that any Contract-in-Transit or Contracts-in-Transit cause the calculation of the Borrowing Base to violate proviso (b) above, the Administrative Agent shall inform the Company of the grounds for such belief and shall request confirmation by the Company of the eligibility of such Contract-in-Transit or Contracts-in-Transit. Prior to confirmation of the eligibility thereof by the Company, such Contract-in-Transit or Contracts-in-Transit shall not be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367665"/>
                <wp:effectExtent l="0" t="0" r="0" b="0"/>
                <wp:wrapNone/>
                <wp:docPr id="197" name="Frame19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considered Eligible Contracts-in-Transit and no representation and warranty shall have been deemed made with respect 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Eligible Equipment</w:t>
      </w:r>
      <w:r>
        <w:rPr>
          <w:color w:val="000000"/>
        </w:rPr>
        <w:t xml:space="preserve">” </w:t>
      </w:r>
      <w:r>
        <w:rPr>
          <w:rFonts w:ascii="Times New Roman;sans-serif" w:hAnsi="Times New Roman;sans-serif"/>
          <w:b w:val="false"/>
          <w:color w:val="000000"/>
          <w:sz w:val="22"/>
        </w:rPr>
        <w:t>means Equipment of the Company or a Subsidiary Guarantor;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 Eligible Equipment shall not (unless otherwise agreed to by the Administrative Agent) include any Equipment: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(i)that is not legally owned by the Company or a Subsidiary; or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(ii)that is not subject to the Administrative Agent’s Liens which are perfected as to such Equipment, or that is subject to any other Lien whatsoever other than Borrowing Base Permitted Liens; and</w:t>
      </w:r>
    </w:p>
    <w:p>
      <w:pPr>
        <w:pStyle w:val="TextBody"/>
        <w:bidi w:val="0"/>
        <w:spacing w:lineRule="auto" w:line="288" w:before="0" w:after="240"/>
        <w:jc w:val="both"/>
        <w:rPr/>
      </w:pP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(b) the following Equipment shall not be Eligible Equipment to the extent (but only to the extent) that the aggregate Net Book Value of all such Equipment constitutes more than 10% of the Net Book Value of all otherwise Eligible Equipment: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(i)Equipment that is not in good working condition for its intended use or for sale; or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(ii)Equipment that is located outside the United States or at a location other than a place of business of the Company or a Subsidiary.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by including Equipment in any computation of the Borrowing Base, shall be deemed to represent and warrant to the Administrative Agent and the Lenders that (y) such Equipment is not of the type described in any of (a)(i) through (ii) above and (z) at least 90% of the Equipment included as Eligible Equipment in the computation of such Borrowing Base is not of the type described in any of (b)(i) through (ii) above, and if any Equipment at any time ceases to be Eligible Equipment, then such Equipment shall promptly be excluded by the Company from the calculation of Eligible Equipment. If the Administrative Agent or the Required Lenders have reasonable grounds to believe that an item of Equipment is of the type described in any of clauses (a)(i) through (ii) above or that any item of Equipment causes the calculation of the Borrowing Base to violate proviso (b) above, the Administrative Agent shall inform the Company of the grounds for such belief and shall request confirmation by the Company of the eligibility of such Equipment. Prior to confirmation of the eligibility thereof by the Company, such Equipment shall not be considered Eligible Equipment and no representation and warranty shall have been deemed made with respect 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Eligible New Vehicle Inventory</w:t>
      </w:r>
      <w:r>
        <w:rPr>
          <w:color w:val="000000"/>
        </w:rPr>
        <w:t xml:space="preserve">” </w:t>
      </w:r>
      <w:r>
        <w:rPr>
          <w:rFonts w:ascii="Times New Roman;sans-serif" w:hAnsi="Times New Roman;sans-serif"/>
          <w:b w:val="false"/>
          <w:color w:val="000000"/>
          <w:sz w:val="22"/>
        </w:rPr>
        <w:t>means New Vehicles each of which is an automobile or light-duty truck and is owned by a New Vehicle Borrower;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Eligible New Vehicle Inventory shall not (unless otherwise agreed to by the Administrative Agent) include any New Vehicle unless: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(i)the New Vehicle is subject to a perfected, first priority Lien in favor of the Administrative Agent for the benefit of the Secured Parties pursuant to the Security Instruments, free of any title defect or other Lien other than Borrowing Base Permitted Liens;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(ii)except as set forth in </w:t>
      </w:r>
      <w:r>
        <w:rPr>
          <w:rFonts w:ascii="Times New Roman;sans-serif" w:hAnsi="Times New Roman;sans-serif"/>
          <w:b w:val="false"/>
          <w:color w:val="000000"/>
          <w:sz w:val="22"/>
          <w:u w:val="single"/>
        </w:rPr>
        <w:t>Section 6.13</w:t>
      </w:r>
      <w:r>
        <w:rPr>
          <w:rFonts w:ascii="Times New Roman;sans-serif" w:hAnsi="Times New Roman;sans-serif"/>
          <w:b w:val="false"/>
          <w:color w:val="000000"/>
          <w:sz w:val="22"/>
        </w:rPr>
        <w:t xml:space="preserve">, the New Vehicle is located at one of the locations identified in </w:t>
      </w:r>
      <w:r>
        <w:rPr>
          <w:rFonts w:ascii="Times New Roman;sans-serif" w:hAnsi="Times New Roman;sans-serif"/>
          <w:b w:val="false"/>
          <w:color w:val="000000"/>
          <w:sz w:val="22"/>
          <w:u w:val="single"/>
        </w:rPr>
        <w:t>Schedule 5.18</w:t>
      </w:r>
      <w:r>
        <w:rPr>
          <w:color w:val="000000"/>
        </w:rPr>
        <w:t xml:space="preserve"> </w:t>
      </w:r>
      <w:r>
        <w:rPr>
          <w:rFonts w:ascii="Times New Roman;sans-serif" w:hAnsi="Times New Roman;sans-serif"/>
          <w:b w:val="false"/>
          <w:color w:val="000000"/>
          <w:sz w:val="22"/>
        </w:rPr>
        <w:t xml:space="preserve">(as updated from time to time in accordance with </w:t>
      </w:r>
      <w:r>
        <w:rPr>
          <w:rFonts w:ascii="Times New Roman;sans-serif" w:hAnsi="Times New Roman;sans-serif"/>
          <w:b w:val="false"/>
          <w:color w:val="000000"/>
          <w:sz w:val="22"/>
          <w:u w:val="single"/>
        </w:rPr>
        <w:t>Section 6.13</w:t>
      </w:r>
      <w:r>
        <w:rPr>
          <w:rFonts w:ascii="Times New Roman;sans-serif" w:hAnsi="Times New Roman;sans-serif"/>
          <w:b w:val="false"/>
          <w:color w:val="000000"/>
          <w:sz w:val="22"/>
        </w:rPr>
        <w:t>); and</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367665"/>
                <wp:effectExtent l="0" t="0" r="0" b="0"/>
                <wp:wrapNone/>
                <wp:docPr id="198" name="Frame19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(iii)the New Vehicle is held for sale in the ordinary course of a New Vehicle Borrower’s business (or is a Rental Vehicle, Demonstrator or Fleet Vehicle) and is of good and merchantable quality.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by including a New Vehicle in any computation of the Revolving Borrowing Base, shall be deemed to represent and warrant to the Administrative Agent and the Lenders that such Vehicle satisfies each of the requirements set forth in (i) through (iii) above. If the Administrative Agent or the Required Lenders have reasonable grounds to believe that a New Vehicle does not satisfy any of clauses (i) through (iii) above, the Administrative Agent shall inform the Company of the grounds for such belief and shall request confirmation by the Company of the eligibility of such New Vehicle. Prior to confirmation of the eligibility thereof by the Company, such New Vehicle shall not be considered Eligible New Vehicle Inventory and no representation and warranty shall have been deemed made with respect 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Eligible Parts and Accessories Inventory</w:t>
      </w:r>
      <w:r>
        <w:rPr>
          <w:color w:val="000000"/>
        </w:rPr>
        <w:t xml:space="preserve">” </w:t>
      </w:r>
      <w:r>
        <w:rPr>
          <w:rFonts w:ascii="Times New Roman;sans-serif" w:hAnsi="Times New Roman;sans-serif"/>
          <w:b w:val="false"/>
          <w:color w:val="000000"/>
          <w:sz w:val="22"/>
        </w:rPr>
        <w:t>means Inventory consisting of parts and accessories (but specifically excluding Vehicles and parts and accessories affixed thereto), which Inventory is owned by the Company or a Subsidiary that is a Guarantor;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 Eligible Parts and Accessories Inventory shall not (unless otherwise agreed to by the Administrative Agent) include any Inventory:</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(i)that is not owned by the Company or a Subsidiary that is a Guarantor;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(ii)that is not subject to the Administrative Agent’s Liens which are perfected as to such Inventory, or that is subject to any other Lien whatsoever, other than Borrowing Base Permitted Liens;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(iii)that is not currently either usable or salable, at prices approximating at least cost, in the normal course of the Company’s or the applicable Subsidiary’s business, or that is slow moving or stale;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(iv)that is obsolete; or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(v)that is Inventory placed on consignment; and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that (b) the following Inventory shall not be Eligible Parts and Accessories Inventory to the extent (but only to the extent) that the aggregate Net Book Value of all such Inventory constitutes more than 10% of the Net Book Value of all otherwise Eligible Parts and Accessories Inventory:</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(i)Inventory that does not consist of finished goods;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(ii)Inventory that consists of raw materials, work-in-process, chemicals (other than gas, oil and grease), samples, prototypes, supplies, or packing and shipping materials;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(iii)Inventory that is not in good condition, is unmerchantable or does not meet all standards imposed by any Governmental Authority, having regulatory authority over such goods, their use or sale;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(iv)Inventory that is returned or repossessed or used goods taken in trade;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(v)Inventory that is located outside the United States of America or Canada (or that is in-transit from vendors or suppliers); or</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367665"/>
                <wp:effectExtent l="0" t="0" r="0" b="0"/>
                <wp:wrapNone/>
                <wp:docPr id="199" name="Frame19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(vi)Inventory that is located in a public warehouse or in possession of a bailee, if the warehouseman or the bailee has not delivered to the Administrative Agent, if requested by the Administrative Agent, a subordination agreement in form and substance reasonably satisfactory to the Administrative Agent.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by including Inventory in any computation of the Borrowing Base, shall be deemed to represent and warrant to the Administrative Agent and the Lenders that (y) such Inventory is not of the type described in any of (a)(i) through (v) above and (z) at least 90% of the Inventory included as Eligible Inventory in the computation of such Borrowing Base is not of the type described in any of (b)(i) through (vi) above, and if any Inventory at any time ceases to be Eligible Parts and Accessories Inventory, such Inventory shall promptly be excluded by the Company from the calculation of Eligible Parts and Accessories Inventory. If the Administrative Agent or the Required Lenders have reasonable grounds to believe that an item of Inventory is of the type described in any of clauses (a)(i) through (v) above or that any item of Inventory causes the calculation of the Borrowing Base to violate proviso (b) above, the Administrative Agent shall inform the Company of the grounds for such belief and shall request confirmation by the Company of the eligibility of such Inventory. Prior to confirmation of the eligibility thereof by the Company, such Inventory shall not be considered Eligible Parts and Accessories Inventory and no representation and warranty shall have been deemed made with respect 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Eligible Used Vehicle Inventory</w:t>
      </w:r>
      <w:r>
        <w:rPr>
          <w:color w:val="000000"/>
        </w:rPr>
        <w:t xml:space="preserve">” </w:t>
      </w:r>
      <w:r>
        <w:rPr>
          <w:rFonts w:ascii="Times New Roman;sans-serif" w:hAnsi="Times New Roman;sans-serif"/>
          <w:b w:val="false"/>
          <w:color w:val="000000"/>
          <w:sz w:val="22"/>
        </w:rPr>
        <w:t>means Used Vehicles that are automobiles or light-duty trucks and are owned by a Used Vehicle Borrower;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Eligible Used Vehicle Inventory shall not (unless otherwise agreed to by the Administrative Agent) include any Used Vehicle unless: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(i)the Used Vehicle is subject to a perfected, first priority Lien in favor of the Administrative Agent for the benefit of the Secured Parties pursuant to the Security Instruments, free from any title defect or other Lien other than Borrowing Base Permitted Liens;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(ii)the Used Vehicle is properly titled in a Used Vehicle Borrower’s name or the certificate of title for such Used Vehicle is endorsed in blank by the prior owners and such Used Vehicle Borrower physically holds such certificates of title (or such Used Vehicle Borrower has, in accordance with its standard policies and procedures, initiated the process by which the requirements of this clause (b) will be satisfied);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(iii)except as set forth in </w:t>
      </w:r>
      <w:r>
        <w:rPr>
          <w:rFonts w:ascii="Times New Roman;sans-serif" w:hAnsi="Times New Roman;sans-serif"/>
          <w:b w:val="false"/>
          <w:color w:val="000000"/>
          <w:sz w:val="22"/>
          <w:u w:val="single"/>
        </w:rPr>
        <w:t>Section 6.13</w:t>
      </w:r>
      <w:r>
        <w:rPr>
          <w:rFonts w:ascii="Times New Roman;sans-serif" w:hAnsi="Times New Roman;sans-serif"/>
          <w:b w:val="false"/>
          <w:color w:val="000000"/>
          <w:sz w:val="22"/>
        </w:rPr>
        <w:t xml:space="preserve">, the Used Vehicle is located at one of the locations identified in </w:t>
      </w:r>
      <w:r>
        <w:rPr>
          <w:rFonts w:ascii="Times New Roman;sans-serif" w:hAnsi="Times New Roman;sans-serif"/>
          <w:b w:val="false"/>
          <w:color w:val="000000"/>
          <w:sz w:val="22"/>
          <w:u w:val="single"/>
        </w:rPr>
        <w:t>Schedule 5.18</w:t>
      </w:r>
      <w:r>
        <w:rPr>
          <w:color w:val="000000"/>
        </w:rPr>
        <w:t xml:space="preserve"> </w:t>
      </w:r>
      <w:r>
        <w:rPr>
          <w:rFonts w:ascii="Times New Roman;sans-serif" w:hAnsi="Times New Roman;sans-serif"/>
          <w:b w:val="false"/>
          <w:color w:val="000000"/>
          <w:sz w:val="22"/>
        </w:rPr>
        <w:t xml:space="preserve">(as updated from time to time in accordance with </w:t>
      </w:r>
      <w:r>
        <w:rPr>
          <w:rFonts w:ascii="Times New Roman;sans-serif" w:hAnsi="Times New Roman;sans-serif"/>
          <w:b w:val="false"/>
          <w:color w:val="000000"/>
          <w:sz w:val="22"/>
          <w:u w:val="single"/>
        </w:rPr>
        <w:t>Section 6.13</w:t>
      </w:r>
      <w:r>
        <w:rPr>
          <w:rFonts w:ascii="Times New Roman;sans-serif" w:hAnsi="Times New Roman;sans-serif"/>
          <w:b w:val="false"/>
          <w:color w:val="000000"/>
          <w:sz w:val="22"/>
        </w:rPr>
        <w:t>); and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(iv)the Used Vehicle is held for sale in the ordinary course of a Used Vehicle Borrower’s business and is of good and merchantable quality.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by including a Used Vehicle in any computation of the Used Vehicle Floorplan Borrowing Base or the Revolving Borrowing Base, shall be deemed to represent and warrant to the Administrative Agent and the Lenders that (1) such Vehicle satisfies each of the requirements set forth in (i) through (iv) above and (2) such Vehicle is not a Demonstrator, Rental Vehicle or other mileaged New Vehicle, or any other New Vehicle. If the Administrative Agent or the Required Lenders have reasonable grounds to believe that a Used Vehicle does not satisfy any of clauses (i) through (iv) above or the foregoing clause (2), the Administrative Agent shall inform the Company of the grounds for such belief and shall request confirmation by the Company of the eligibility of such Used Vehicle. Prior to confirmation of the eligibility thereof by the Company, such Used Vehicle shall not be considered Eligible Used Vehicle Inventory and no representation and warranty shall have been deemed made with respect thereto.</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367665"/>
                <wp:effectExtent l="0" t="0" r="0" b="0"/>
                <wp:wrapNone/>
                <wp:docPr id="200" name="Frame19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Environmental Laws</w:t>
      </w:r>
      <w:r>
        <w:rPr>
          <w:color w:val="000000"/>
        </w:rPr>
        <w:t xml:space="preserve">” </w:t>
      </w:r>
      <w:r>
        <w:rPr>
          <w:rFonts w:ascii="Times New Roman;sans-serif" w:hAnsi="Times New Roman;sans-serif"/>
          <w:b w:val="false"/>
          <w:color w:val="000000"/>
          <w:sz w:val="22"/>
        </w:rPr>
        <w:t>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Environmental Liability</w:t>
      </w:r>
      <w:r>
        <w:rPr>
          <w:color w:val="000000"/>
        </w:rPr>
        <w:t xml:space="preserve">” </w:t>
      </w:r>
      <w:r>
        <w:rPr>
          <w:rFonts w:ascii="Times New Roman;sans-serif" w:hAnsi="Times New Roman;sans-serif"/>
          <w:b w:val="false"/>
          <w:color w:val="000000"/>
          <w:sz w:val="22"/>
        </w:rPr>
        <w:t>means any liability, contingent or otherwise (including any liability for damages, costs of environmental remediation, fines, penalties or indemnities), of the Company, any other Loan Party or any of their respective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Equipment</w:t>
      </w:r>
      <w:r>
        <w:rPr>
          <w:color w:val="000000"/>
        </w:rPr>
        <w:t xml:space="preserve">” </w:t>
      </w:r>
      <w:r>
        <w:rPr>
          <w:rFonts w:ascii="Times New Roman;sans-serif" w:hAnsi="Times New Roman;sans-serif"/>
          <w:b w:val="false"/>
          <w:color w:val="000000"/>
          <w:sz w:val="22"/>
        </w:rPr>
        <w:t>has the meaning given such term in Section 9-102 of the UCC.</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Equity Interests</w:t>
      </w:r>
      <w:r>
        <w:rPr>
          <w:color w:val="000000"/>
        </w:rPr>
        <w:t xml:space="preserve">” </w:t>
      </w:r>
      <w:r>
        <w:rPr>
          <w:rFonts w:ascii="Times New Roman;sans-serif" w:hAnsi="Times New Roman;sans-serif"/>
          <w:b w:val="false"/>
          <w:color w:val="000000"/>
          <w:sz w:val="22"/>
        </w:rPr>
        <w:t>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ERISA</w:t>
      </w:r>
      <w:r>
        <w:rPr>
          <w:color w:val="000000"/>
        </w:rPr>
        <w:t xml:space="preserve">” </w:t>
      </w:r>
      <w:r>
        <w:rPr>
          <w:rFonts w:ascii="Times New Roman;sans-serif" w:hAnsi="Times New Roman;sans-serif"/>
          <w:b w:val="false"/>
          <w:color w:val="000000"/>
          <w:sz w:val="22"/>
        </w:rPr>
        <w:t>means the Employee Retirement Income Security Act of 1974, as amended, and the rules and regulations promulgated thereunder.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ERISA Affiliate</w:t>
      </w:r>
      <w:r>
        <w:rPr>
          <w:color w:val="000000"/>
        </w:rPr>
        <w:t xml:space="preserve">” </w:t>
      </w:r>
      <w:r>
        <w:rPr>
          <w:rFonts w:ascii="Times New Roman;sans-serif" w:hAnsi="Times New Roman;sans-serif"/>
          <w:b w:val="false"/>
          <w:color w:val="000000"/>
          <w:sz w:val="22"/>
        </w:rPr>
        <w:t>means any trade or business (whether or not incorporated) under common control with the Company within the meaning of Section 414(b) or (c) of the Code (and Sections 414(m) and (o) of the Code for purposes of provisions relating to Section 412 of the Code).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ERISA Event</w:t>
      </w:r>
      <w:r>
        <w:rPr>
          <w:color w:val="000000"/>
        </w:rPr>
        <w:t xml:space="preserve">” </w:t>
      </w:r>
      <w:r>
        <w:rPr>
          <w:rFonts w:ascii="Times New Roman;sans-serif" w:hAnsi="Times New Roman;sans-serif"/>
          <w:b w:val="false"/>
          <w:color w:val="000000"/>
          <w:sz w:val="22"/>
        </w:rPr>
        <w:t>means (a) a Reportable Event with respect to a Pension Plan; (b) the withdrawal of the Company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Company or any ERISA Affiliate from a Multiemployer Plan or notification that a Multiemployer Plan is in reorganization;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or (h) the imposition of any liability under Title IV of ERISA, other than for PBGC premiums due but not delinquent under Section 4007 of ERISA, upon the Company or any ERISA Affiliate.</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367665"/>
                <wp:effectExtent l="0" t="0" r="0" b="0"/>
                <wp:wrapNone/>
                <wp:docPr id="201" name="Frame19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Escrow and Security Agreement</w:t>
      </w:r>
      <w:r>
        <w:rPr>
          <w:color w:val="000000"/>
        </w:rPr>
        <w:t xml:space="preserve">” </w:t>
      </w:r>
      <w:r>
        <w:rPr>
          <w:rFonts w:ascii="Times New Roman;sans-serif" w:hAnsi="Times New Roman;sans-serif"/>
          <w:b w:val="false"/>
          <w:color w:val="000000"/>
          <w:sz w:val="22"/>
        </w:rPr>
        <w:t xml:space="preserve">means that certain Fourth Amended and Restated Escrow and Security Agreement dated as of the Closing Date made by the Company and certain Loan Parties in favor of the Administrative Agent for the benefit of the Secured Parties, substantially in the form of </w:t>
      </w:r>
      <w:r>
        <w:rPr>
          <w:rFonts w:ascii="Times New Roman;sans-serif" w:hAnsi="Times New Roman;sans-serif"/>
          <w:b w:val="false"/>
          <w:color w:val="000000"/>
          <w:sz w:val="22"/>
          <w:u w:val="single"/>
        </w:rPr>
        <w:t>Exhibit I</w:t>
      </w:r>
      <w:r>
        <w:rPr>
          <w:color w:val="000000"/>
        </w:rPr>
        <w:t xml:space="preserve"> </w:t>
      </w:r>
      <w:r>
        <w:rPr>
          <w:rFonts w:ascii="Times New Roman;sans-serif" w:hAnsi="Times New Roman;sans-serif"/>
          <w:b w:val="false"/>
          <w:color w:val="000000"/>
          <w:sz w:val="22"/>
        </w:rPr>
        <w:t xml:space="preserve">attached hereto, as supplemented from time to time by the execution and delivery of Joinder Agreements pursuant to </w:t>
      </w:r>
      <w:r>
        <w:rPr>
          <w:rFonts w:ascii="Times New Roman;sans-serif" w:hAnsi="Times New Roman;sans-serif"/>
          <w:b w:val="false"/>
          <w:color w:val="000000"/>
          <w:sz w:val="22"/>
          <w:u w:val="single"/>
        </w:rPr>
        <w:t>Section 6.14</w:t>
      </w:r>
      <w:r>
        <w:rPr>
          <w:rFonts w:ascii="Times New Roman;sans-serif" w:hAnsi="Times New Roman;sans-serif"/>
          <w:b w:val="false"/>
          <w:color w:val="000000"/>
          <w:sz w:val="22"/>
        </w:rPr>
        <w:t>, and as otherwise supplemented, amended, or modified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EU Bail-In Legislation Schedule</w:t>
      </w:r>
      <w:r>
        <w:rPr>
          <w:color w:val="000000"/>
        </w:rPr>
        <w:t xml:space="preserve">” </w:t>
      </w:r>
      <w:r>
        <w:rPr>
          <w:rFonts w:ascii="Times New Roman;sans-serif" w:hAnsi="Times New Roman;sans-serif"/>
          <w:b w:val="false"/>
          <w:color w:val="000000"/>
          <w:sz w:val="22"/>
        </w:rPr>
        <w:t>means the EU Bail-In Legislation Schedule published by the Loan Market Association (or any successor person), as in effect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Event of Default</w:t>
      </w:r>
      <w:r>
        <w:rPr>
          <w:color w:val="000000"/>
        </w:rPr>
        <w:t xml:space="preserve">” </w:t>
      </w:r>
      <w:r>
        <w:rPr>
          <w:rFonts w:ascii="Times New Roman;sans-serif" w:hAnsi="Times New Roman;sans-serif"/>
          <w:b w:val="false"/>
          <w:color w:val="000000"/>
          <w:sz w:val="22"/>
        </w:rPr>
        <w:t>means either a Revolving/Used Vehicle Event of Default or a New Vehicle Event of Default.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Excluded Property</w:t>
      </w:r>
      <w:r>
        <w:rPr>
          <w:color w:val="000000"/>
        </w:rPr>
        <w:t xml:space="preserve">” </w:t>
      </w:r>
      <w:r>
        <w:rPr>
          <w:rFonts w:ascii="Times New Roman;sans-serif" w:hAnsi="Times New Roman;sans-serif"/>
          <w:b w:val="false"/>
          <w:color w:val="000000"/>
          <w:sz w:val="22"/>
        </w:rPr>
        <w:t xml:space="preserve">means collectively: (a) any of the following, to the extent (but only to the extent) that any Franchise Agreement or Framework Agreement prohibits the granting of a security interest in such property: any Equity Interests of any Subsidiary owning (directly or indirectly) and/or operating a Franchise, the proceeds from the sale of any Franchise Agreement or Framework Agreement or any Equity Interests of any Subsidiary, any Framework Agreements, Franchise Agreements or other contracts or agreements with a manufacturer or distributor of Vehicles relating to the ownership or operation of any Franchise, any contract rights or other privileges (including, without limitation, any licenses) arising pursuant to any Framework Agreement, Franchise Agreement or other such agreement and any other assets (other than Vehicles, Borrowing Base Assets and proceeds of Vehicles and Borrowing Base Assets); (b) any contract, license, lease or agreement (other than any contract that is Excluded Property pursuant to clause (a) above) in which any Loan Party has any right, title or interest if and to the extent such contract or agreement contains a or is subject to a contractual provision or other restriction on assignment; (c) any “intent-to-use” trademark applications filed in the United States Patent and Trademark Office for which a statement of use has not been filed (but only until such statement is filed);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“Excluded Property” shall not include any common law rights with respect to any Trademark described in or subject to such “intent to use” application; and (d) any real property, fixtures, related real property rights, related contracts and proceeds of the foregoing (including, without limitation, insurance proceeds in respect of the foregoing);</w:t>
      </w:r>
    </w:p>
    <w:p>
      <w:pPr>
        <w:pStyle w:val="TextBody"/>
        <w:bidi w:val="0"/>
        <w:spacing w:lineRule="auto" w:line="288" w:before="0" w:after="240"/>
        <w:jc w:val="both"/>
        <w:rPr/>
      </w:pP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of the foregoing exclusions in clause (a) or (b) shall not apply if (x) such prohibition has been waived or such other Person has otherwise consented to the creation hereunder of a security interest in such agreement, or (y) such prohibition would be rendered ineffective pursuant to Section 9-406, 9-407 or 9-408 of Article 9 of the UCC, as applicable and as then in effect in any relevant jurisdiction, or any other applicable law or principles of equity; and</w:t>
      </w:r>
    </w:p>
    <w:p>
      <w:pPr>
        <w:pStyle w:val="TextBody"/>
        <w:bidi w:val="0"/>
        <w:spacing w:lineRule="auto" w:line="288" w:before="0" w:after="240"/>
        <w:jc w:val="both"/>
        <w:rPr/>
      </w:pP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that immediately upon the ineffectiveness, lapse or termination of any such prohibition, such Loan Party shall be deemed to have granted a security interest in all its rights, title and interests in and to such contract or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Excluded Swap Obligation</w:t>
      </w:r>
      <w:r>
        <w:rPr>
          <w:color w:val="000000"/>
        </w:rPr>
        <w:t xml:space="preserve">” </w:t>
      </w:r>
      <w:r>
        <w:rPr>
          <w:rFonts w:ascii="Times New Roman;sans-serif" w:hAnsi="Times New Roman;sans-serif"/>
          <w:b w:val="false"/>
          <w:color w:val="000000"/>
          <w:sz w:val="22"/>
        </w:rPr>
        <w:t xml:space="preserve">means, with respect to any Loan Party, any Swap Obligation if, and to the extent that, all or a portion of the Guarantee of such Loan Party of, the joint and several liability of such Loan Party for, or the grant by such Loan Party of a security interest to secure, such Swap Obligation (or any Guarantee thereof or joint and several liability therefor) is or becomes illegal under the Commodity Exchange Act or any rule, regulation or order of the Commodity Futures Trading Commission (or the application or official interpretation of any thereof) by virtue of such Loan Party’s failure for any reason to constitute an “eligible contract participant” as defined in the Commodity Exchange Act (determined after giving effect to </w:t>
      </w:r>
      <w:r>
        <w:rPr>
          <w:rFonts w:ascii="Times New Roman;sans-serif" w:hAnsi="Times New Roman;sans-serif"/>
          <w:b w:val="false"/>
          <w:color w:val="000000"/>
          <w:sz w:val="22"/>
          <w:u w:val="single"/>
        </w:rPr>
        <w:t>Section 10.20</w:t>
      </w:r>
      <w:r>
        <w:rPr>
          <w:color w:val="000000"/>
        </w:rPr>
        <w:t xml:space="preserve"> </w:t>
      </w:r>
      <w:r>
        <w:rPr>
          <w:rFonts w:ascii="Times New Roman;sans-serif" w:hAnsi="Times New Roman;sans-serif"/>
          <w:b w:val="false"/>
          <w:color w:val="000000"/>
          <w:sz w:val="22"/>
        </w:rPr>
        <w:t xml:space="preserve">and any other “keepwell, support or other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367665"/>
                <wp:effectExtent l="0" t="0" r="0" b="0"/>
                <wp:wrapNone/>
                <wp:docPr id="202" name="Frame19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agreement” for the benefit of such Loan Party and any and all guarantees of such Loan Party’s Swap Obligations by other Loan Parties) at the time the Guarantee of such Loan Party, the joint and several liability of such Loan Party or a grant by such Loan Party of a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excluded in accordance with the first sentence of this definition. The parties hereto agree that if any Loan Party has granted a Lien on any Collateral of such Loan Party pursuant to any Security Instrument, the obligations secured by such Lien shall exclude any Excluded Swap Obligation with respect to such Loan Party, and such Security Instrument is hereby deemed amended to effect such exclusion.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Excluded Taxes</w:t>
      </w:r>
      <w:r>
        <w:rPr>
          <w:color w:val="000000"/>
        </w:rPr>
        <w:t xml:space="preserve">” </w:t>
      </w:r>
      <w:r>
        <w:rPr>
          <w:rFonts w:ascii="Times New Roman;sans-serif" w:hAnsi="Times New Roman;sans-serif"/>
          <w:b w:val="false"/>
          <w:color w:val="000000"/>
          <w:sz w:val="22"/>
        </w:rPr>
        <w:t xml:space="preserve">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Company under </w:t>
      </w:r>
      <w:r>
        <w:rPr>
          <w:rFonts w:ascii="Times New Roman;sans-serif" w:hAnsi="Times New Roman;sans-serif"/>
          <w:b w:val="false"/>
          <w:color w:val="000000"/>
          <w:sz w:val="22"/>
          <w:u w:val="single"/>
        </w:rPr>
        <w:t>Section 10.13</w:t>
      </w:r>
      <w:r>
        <w:rPr>
          <w:rFonts w:ascii="Times New Roman;sans-serif" w:hAnsi="Times New Roman;sans-serif"/>
          <w:b w:val="false"/>
          <w:color w:val="000000"/>
          <w:sz w:val="22"/>
        </w:rPr>
        <w:t xml:space="preserve">) or (ii) such Lender changes its Lending Office, except in each case to the extent that, pursuant to </w:t>
      </w:r>
      <w:r>
        <w:rPr>
          <w:rFonts w:ascii="Times New Roman;sans-serif" w:hAnsi="Times New Roman;sans-serif"/>
          <w:b w:val="false"/>
          <w:color w:val="000000"/>
          <w:sz w:val="22"/>
          <w:u w:val="single"/>
        </w:rPr>
        <w:t>Section 3.01(a)(ii)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(iii)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(c)</w:t>
      </w:r>
      <w:r>
        <w:rPr>
          <w:rFonts w:ascii="Times New Roman;sans-serif" w:hAnsi="Times New Roman;sans-serif"/>
          <w:b w:val="false"/>
          <w:color w:val="000000"/>
          <w:sz w:val="22"/>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sans-serif" w:hAnsi="Times New Roman;sans-serif"/>
          <w:b w:val="false"/>
          <w:color w:val="000000"/>
          <w:sz w:val="22"/>
          <w:u w:val="single"/>
        </w:rPr>
        <w:t>Section 3.01(e)</w:t>
      </w:r>
      <w:r>
        <w:rPr>
          <w:color w:val="000000"/>
        </w:rPr>
        <w:t xml:space="preserve"> </w:t>
      </w:r>
      <w:r>
        <w:rPr>
          <w:rFonts w:ascii="Times New Roman;sans-serif" w:hAnsi="Times New Roman;sans-serif"/>
          <w:b w:val="false"/>
          <w:color w:val="000000"/>
          <w:sz w:val="22"/>
        </w:rPr>
        <w:t>and (d) any U.S. federal withholding Taxes imposed pursuant to FATCA.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Existing Credit Agreement</w:t>
      </w:r>
      <w:r>
        <w:rPr>
          <w:color w:val="000000"/>
        </w:rPr>
        <w:t xml:space="preserve">” </w:t>
      </w:r>
      <w:r>
        <w:rPr>
          <w:rFonts w:ascii="Times New Roman;sans-serif" w:hAnsi="Times New Roman;sans-serif"/>
          <w:b w:val="false"/>
          <w:color w:val="000000"/>
          <w:sz w:val="22"/>
        </w:rPr>
        <w:t xml:space="preserve">has the meaning given such term in the recitals hereto.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Existing Letters of Credit</w:t>
      </w:r>
      <w:r>
        <w:rPr>
          <w:color w:val="000000"/>
        </w:rPr>
        <w:t xml:space="preserve">” </w:t>
      </w:r>
      <w:r>
        <w:rPr>
          <w:rFonts w:ascii="Times New Roman;sans-serif" w:hAnsi="Times New Roman;sans-serif"/>
          <w:b w:val="false"/>
          <w:color w:val="000000"/>
          <w:sz w:val="22"/>
        </w:rPr>
        <w:t xml:space="preserve">means those Letters of Credit described on </w:t>
      </w:r>
      <w:r>
        <w:rPr>
          <w:rFonts w:ascii="Times New Roman;sans-serif" w:hAnsi="Times New Roman;sans-serif"/>
          <w:b w:val="false"/>
          <w:color w:val="000000"/>
          <w:sz w:val="22"/>
          <w:u w:val="single"/>
        </w:rPr>
        <w:t>Schedule 2.03B</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Extending Lender</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2.23(e)</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Existing Maturity Date</w:t>
      </w:r>
      <w:r>
        <w:rPr>
          <w:color w:val="000000"/>
        </w:rPr>
        <w:t xml:space="preserve">” </w:t>
      </w:r>
      <w:r>
        <w:rPr>
          <w:rFonts w:ascii="Times New Roman;sans-serif" w:hAnsi="Times New Roman;sans-serif"/>
          <w:b w:val="false"/>
          <w:color w:val="000000"/>
          <w:sz w:val="22"/>
        </w:rPr>
        <w:t>means the Maturity Date then in effect hereunder.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Facilities</w:t>
      </w:r>
      <w:r>
        <w:rPr>
          <w:color w:val="000000"/>
        </w:rPr>
        <w:t xml:space="preserve">” </w:t>
      </w:r>
      <w:r>
        <w:rPr>
          <w:rFonts w:ascii="Times New Roman;sans-serif" w:hAnsi="Times New Roman;sans-serif"/>
          <w:b w:val="false"/>
          <w:color w:val="000000"/>
          <w:sz w:val="22"/>
        </w:rPr>
        <w:t>means, collectively, the Revolving Credit Facility, the New Vehicle Floorplan Facility and the Used Vehicle Floorplan Facility.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FASB ASC</w:t>
      </w:r>
      <w:r>
        <w:rPr>
          <w:color w:val="000000"/>
        </w:rPr>
        <w:t xml:space="preserve">” </w:t>
      </w:r>
      <w:r>
        <w:rPr>
          <w:rFonts w:ascii="Times New Roman;sans-serif" w:hAnsi="Times New Roman;sans-serif"/>
          <w:b w:val="false"/>
          <w:color w:val="000000"/>
          <w:sz w:val="22"/>
        </w:rPr>
        <w:t>means the Accounting Standards Codification of the Financial Accounting Standards Board.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FATCA</w:t>
      </w:r>
      <w:r>
        <w:rPr>
          <w:color w:val="000000"/>
        </w:rPr>
        <w:t xml:space="preserve">” </w:t>
      </w:r>
      <w:r>
        <w:rPr>
          <w:rFonts w:ascii="Times New Roman;sans-serif" w:hAnsi="Times New Roman;sans-serif"/>
          <w:b w:val="false"/>
          <w:color w:val="000000"/>
          <w:sz w:val="22"/>
        </w:rPr>
        <w:t>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entered into in connection with the implementation of the foregoing.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Federal Funds Rate</w:t>
      </w:r>
      <w:r>
        <w:rPr>
          <w:color w:val="000000"/>
        </w:rPr>
        <w:t xml:space="preserve">” </w:t>
      </w:r>
      <w:r>
        <w:rPr>
          <w:rFonts w:ascii="Times New Roman;sans-serif" w:hAnsi="Times New Roman;sans-serif"/>
          <w:b w:val="false"/>
          <w:color w:val="000000"/>
          <w:sz w:val="22"/>
        </w:rPr>
        <w:t xml:space="preserve">means, for any day, the rate per annum calculated by the Federal Reserve Bank of New York based on such day’s federal funds transactions by depository institutions (as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367665"/>
                <wp:effectExtent l="0" t="0" r="0" b="0"/>
                <wp:wrapNone/>
                <wp:docPr id="203" name="Frame19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the Federal Funds Rate as so determined would be less than zero, such rate shall be deemed to be zero for purposes of this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Fee Letters</w:t>
      </w:r>
      <w:r>
        <w:rPr>
          <w:color w:val="000000"/>
        </w:rPr>
        <w:t xml:space="preserve">” </w:t>
      </w:r>
      <w:r>
        <w:rPr>
          <w:rFonts w:ascii="Times New Roman;sans-serif" w:hAnsi="Times New Roman;sans-serif"/>
          <w:b w:val="false"/>
          <w:color w:val="000000"/>
          <w:sz w:val="22"/>
        </w:rPr>
        <w:t xml:space="preserve">means, individually and collectively, (i) the Bank of America Fee Letter and (ii) each letter agreement entered into among the Company, the Administrative Agent and each applicable Lender regarding facility fees owing under the Credit Facilities.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Fleet Vehicle</w:t>
      </w:r>
      <w:r>
        <w:rPr>
          <w:color w:val="000000"/>
        </w:rPr>
        <w:t xml:space="preserve">” </w:t>
      </w:r>
      <w:r>
        <w:rPr>
          <w:rFonts w:ascii="Times New Roman;sans-serif" w:hAnsi="Times New Roman;sans-serif"/>
          <w:b w:val="false"/>
          <w:color w:val="000000"/>
          <w:sz w:val="22"/>
        </w:rPr>
        <w:t>means one of a group of New Vehicles sold to a Person (e.g., a rental car agency) which purchases in excess of ten (10) Vehicles per purchase contract for commercial use.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Floored New Vehicle</w:t>
      </w:r>
      <w:r>
        <w:rPr>
          <w:color w:val="000000"/>
        </w:rPr>
        <w:t xml:space="preserve">” </w:t>
      </w:r>
      <w:r>
        <w:rPr>
          <w:rFonts w:ascii="Times New Roman;sans-serif" w:hAnsi="Times New Roman;sans-serif"/>
          <w:b w:val="false"/>
          <w:color w:val="000000"/>
          <w:sz w:val="22"/>
        </w:rPr>
        <w:t>means, as of any date, any New Vehicle that is (a) owned by a New Vehicle Borrower on such date and (b) for which any New Vehicle Floorplan Lender has made a New Vehicle Non-Offset Floorplan Loan on or prior to such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Floorplan Commitment</w:t>
      </w:r>
      <w:r>
        <w:rPr>
          <w:color w:val="000000"/>
        </w:rPr>
        <w:t xml:space="preserve">” </w:t>
      </w:r>
      <w:r>
        <w:rPr>
          <w:rFonts w:ascii="Times New Roman;sans-serif" w:hAnsi="Times New Roman;sans-serif"/>
          <w:b w:val="false"/>
          <w:color w:val="000000"/>
          <w:sz w:val="22"/>
        </w:rPr>
        <w:t>means, as to each Lender, the New Vehicle Floorplan Commitment and Used Vehicle Floorplan Commitment, collectively, of such Lender.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Floorplan Facility</w:t>
      </w:r>
      <w:r>
        <w:rPr>
          <w:color w:val="000000"/>
        </w:rPr>
        <w:t xml:space="preserve">” </w:t>
      </w:r>
      <w:r>
        <w:rPr>
          <w:rFonts w:ascii="Times New Roman;sans-serif" w:hAnsi="Times New Roman;sans-serif"/>
          <w:b w:val="false"/>
          <w:color w:val="000000"/>
          <w:sz w:val="22"/>
        </w:rPr>
        <w:t>means, collectively or individually, as the context may require, the New Vehicle Floorplan Facility or the Used Vehicle Floorplan Facility.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Floorplan Loan</w:t>
      </w:r>
      <w:r>
        <w:rPr>
          <w:color w:val="000000"/>
        </w:rPr>
        <w:t xml:space="preserve">” </w:t>
      </w:r>
      <w:r>
        <w:rPr>
          <w:rFonts w:ascii="Times New Roman;sans-serif" w:hAnsi="Times New Roman;sans-serif"/>
          <w:b w:val="false"/>
          <w:color w:val="000000"/>
          <w:sz w:val="22"/>
        </w:rPr>
        <w:t>means any New Vehicle Floorplan Loan or any Used Vehicle Floorplan Loan.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Floorplan Interest Offset</w:t>
      </w:r>
      <w:r>
        <w:rPr>
          <w:color w:val="000000"/>
        </w:rPr>
        <w:t xml:space="preserve">” </w:t>
      </w:r>
      <w:r>
        <w:rPr>
          <w:rFonts w:ascii="Times New Roman;sans-serif" w:hAnsi="Times New Roman;sans-serif"/>
          <w:b w:val="false"/>
          <w:color w:val="000000"/>
          <w:sz w:val="22"/>
        </w:rPr>
        <w:t xml:space="preserve">means, at any time, the amount that is credited to the New Vehicle Floorplan Offset Account at such time, after giving effect to </w:t>
      </w:r>
      <w:r>
        <w:rPr>
          <w:rFonts w:ascii="Times New Roman;sans-serif" w:hAnsi="Times New Roman;sans-serif"/>
          <w:b w:val="false"/>
          <w:color w:val="000000"/>
          <w:sz w:val="22"/>
          <w:u w:val="single"/>
        </w:rPr>
        <w:t>Section 2.09(b)(ii)</w:t>
      </w:r>
      <w:r>
        <w:rPr>
          <w:color w:val="000000"/>
        </w:rPr>
        <w:t xml:space="preserve"> </w:t>
      </w:r>
      <w:r>
        <w:rPr>
          <w:rFonts w:ascii="Times New Roman;sans-serif" w:hAnsi="Times New Roman;sans-serif"/>
          <w:b w:val="false"/>
          <w:color w:val="000000"/>
          <w:sz w:val="22"/>
        </w:rPr>
        <w:t>and excluding any Loan Repayments From Offset.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Floorplan Offset Amount</w:t>
      </w:r>
      <w:r>
        <w:rPr>
          <w:color w:val="000000"/>
        </w:rPr>
        <w:t xml:space="preserve">” </w:t>
      </w:r>
      <w:r>
        <w:rPr>
          <w:rFonts w:ascii="Times New Roman;sans-serif" w:hAnsi="Times New Roman;sans-serif"/>
          <w:b w:val="false"/>
          <w:color w:val="000000"/>
          <w:sz w:val="22"/>
        </w:rPr>
        <w:t xml:space="preserve">means, at any time, the amount that is credited to the New Vehicle Floorplan Offset Account at such time without giving effect to Loan Repayments From Offset.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Floorplan On-line System</w:t>
      </w:r>
      <w:r>
        <w:rPr>
          <w:color w:val="000000"/>
        </w:rPr>
        <w:t xml:space="preserve">” </w:t>
      </w:r>
      <w:r>
        <w:rPr>
          <w:rFonts w:ascii="Times New Roman;sans-serif" w:hAnsi="Times New Roman;sans-serif"/>
          <w:b w:val="false"/>
          <w:color w:val="000000"/>
          <w:sz w:val="22"/>
        </w:rPr>
        <w:t xml:space="preserve">has the meaning set forth in </w:t>
      </w:r>
      <w:r>
        <w:rPr>
          <w:rFonts w:ascii="Times New Roman;sans-serif" w:hAnsi="Times New Roman;sans-serif"/>
          <w:b w:val="false"/>
          <w:color w:val="000000"/>
          <w:sz w:val="22"/>
          <w:u w:val="single"/>
        </w:rPr>
        <w:t>Section 2.09(a)</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FMCC</w:t>
      </w:r>
      <w:r>
        <w:rPr>
          <w:color w:val="000000"/>
        </w:rPr>
        <w:t xml:space="preserve">” </w:t>
      </w:r>
      <w:r>
        <w:rPr>
          <w:rFonts w:ascii="Times New Roman;sans-serif" w:hAnsi="Times New Roman;sans-serif"/>
          <w:b w:val="false"/>
          <w:color w:val="000000"/>
          <w:sz w:val="22"/>
        </w:rPr>
        <w:t xml:space="preserve">means Ford Motor Credit Company, or any successor in interest to Ford Motor Credit Company.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FMCC Collateral</w:t>
      </w:r>
      <w:r>
        <w:rPr>
          <w:color w:val="000000"/>
        </w:rPr>
        <w:t xml:space="preserve">” </w:t>
      </w:r>
      <w:r>
        <w:rPr>
          <w:rFonts w:ascii="Times New Roman;sans-serif" w:hAnsi="Times New Roman;sans-serif"/>
          <w:b w:val="false"/>
          <w:color w:val="000000"/>
          <w:sz w:val="22"/>
        </w:rPr>
        <w:t>means, to the extent a security interest in and to the following items of property have been granted to FMCC, (A) any item of Ford or Lincoln New Vehicle inventory if such inventory was originally acquired by any Ford or Lincoln Franchise (whether directly from a manufacturer, through dealer trade or at auction) set forth on the applicable exhibit to the FMCC Intercreditor Agreement (which Exhibit shall be considered the “</w:t>
      </w:r>
      <w:r>
        <w:rPr>
          <w:rFonts w:ascii="Times New Roman;sans-serif" w:hAnsi="Times New Roman;sans-serif"/>
          <w:b w:val="false"/>
          <w:color w:val="000000"/>
          <w:sz w:val="22"/>
          <w:u w:val="single"/>
        </w:rPr>
        <w:t>FMCC Exhibit</w:t>
      </w:r>
      <w:r>
        <w:rPr>
          <w:color w:val="000000"/>
        </w:rPr>
        <w:t xml:space="preserve">” </w:t>
      </w:r>
      <w:r>
        <w:rPr>
          <w:rFonts w:ascii="Times New Roman;sans-serif" w:hAnsi="Times New Roman;sans-serif"/>
          <w:b w:val="false"/>
          <w:color w:val="000000"/>
          <w:sz w:val="22"/>
        </w:rPr>
        <w:t xml:space="preserve">and may be supplemented or amended from time to time in accordance with the terms of the FMCC Intercreditor Agreement) and FMCC is a party to a loan facility to provide inventory financing of Ford or Lincoln New Vehicle inventory on a VIN-specific basis to such Ford or Lincoln Franchise, (B) all accounts, instruments, monies, payment intangibles and other rights to payment (and all items in which FMCC may exercise a right of setoff or recoupment at law or in equity) which are owed by any Person to a Ford or Lincoln Franchise (or to the dealership Subsidiary that owns such Ford or Lincoln Franchise and which relate to such Ford or Lincoln Franchise) set forth on the FMCC Exhibit, (C) any inventory of repair, replacement or service parts of any Ford or Lincoln Franchise set forth on the FMCC Exhibit, (D) general intangibles of any Ford or Lincoln Franchise set forth on the FMCC Exhibit (including, without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367665"/>
                <wp:effectExtent l="0" t="0" r="0" b="0"/>
                <wp:wrapNone/>
                <wp:docPr id="204" name="Frame19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limitation, franchise rights of such Ford or Lincoln Franchise to the extent such Ford or Lincoln Franchise shall have granted a security interest therein to FMCC, but excluding any equity or other ownership interests in any direct or indirect Subsidiary of the Company), and (E) any proceeds of the foregoing.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FMCC Intercreditor Agreement</w:t>
      </w:r>
      <w:r>
        <w:rPr>
          <w:color w:val="000000"/>
        </w:rPr>
        <w:t xml:space="preserve">” </w:t>
      </w:r>
      <w:r>
        <w:rPr>
          <w:rFonts w:ascii="Times New Roman;sans-serif" w:hAnsi="Times New Roman;sans-serif"/>
          <w:b w:val="false"/>
          <w:color w:val="000000"/>
          <w:sz w:val="22"/>
        </w:rPr>
        <w:t xml:space="preserve">means an intercreditor agreement, including any such agreement entered into after December 4, 2014, between FMCC and the Administrative Agent with respect to FMCC Collateral and is otherwise acceptable to the Administrative Agent.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Foreign Lender</w:t>
      </w:r>
      <w:r>
        <w:rPr>
          <w:color w:val="000000"/>
        </w:rPr>
        <w:t xml:space="preserve">” </w:t>
      </w:r>
      <w:r>
        <w:rPr>
          <w:rFonts w:ascii="Times New Roman;sans-serif" w:hAnsi="Times New Roman;sans-serif"/>
          <w:b w:val="false"/>
          <w:color w:val="000000"/>
          <w:sz w:val="22"/>
        </w:rPr>
        <w:t>means any Lender that is organized under the Laws of a jurisdiction other than that in which the Company is resident for tax purposes (including such a Lender when acting in the capacity of an L/C Issuer). For purposes of this definition, the United States, each State thereof and the District of Columbia shall be deemed to constitute a single jurisdiction.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Foreign Subsidiary</w:t>
      </w:r>
      <w:r>
        <w:rPr>
          <w:color w:val="000000"/>
        </w:rPr>
        <w:t xml:space="preserve">” </w:t>
      </w:r>
      <w:r>
        <w:rPr>
          <w:rFonts w:ascii="Times New Roman;sans-serif" w:hAnsi="Times New Roman;sans-serif"/>
          <w:b w:val="false"/>
          <w:color w:val="000000"/>
          <w:sz w:val="22"/>
        </w:rPr>
        <w:t>means (i) any Subsidiary not organized under the laws of the United States, any state thereof, or the District of Columbia, (ii) any Subsidiary of an entity described in the preceding clause (i), (iii) any Subsidiary that is a disregarded entity for U.S. federal income tax purposes that owns the capital stock or indebtedness of one or more Foreign Subsidiaries or (iv) a Subsidiary substantially all of the assets of which are capital stock or indebtedness of one or more Foreign Subsidiaries.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Framework Agreement</w:t>
      </w:r>
      <w:r>
        <w:rPr>
          <w:color w:val="000000"/>
        </w:rPr>
        <w:t xml:space="preserve">” </w:t>
      </w:r>
      <w:r>
        <w:rPr>
          <w:rFonts w:ascii="Times New Roman;sans-serif" w:hAnsi="Times New Roman;sans-serif"/>
          <w:b w:val="false"/>
          <w:color w:val="000000"/>
          <w:sz w:val="22"/>
        </w:rPr>
        <w:t>means a framework agreement, in each case between a Loan Party and a manufacturer or distributor of Vehicles.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FRB</w:t>
      </w:r>
      <w:r>
        <w:rPr>
          <w:color w:val="000000"/>
        </w:rPr>
        <w:t xml:space="preserve">” </w:t>
      </w:r>
      <w:r>
        <w:rPr>
          <w:rFonts w:ascii="Times New Roman;sans-serif" w:hAnsi="Times New Roman;sans-serif"/>
          <w:b w:val="false"/>
          <w:color w:val="000000"/>
          <w:sz w:val="22"/>
        </w:rPr>
        <w:t>means the Board of Governors of the Federal Reserve System of the United States.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Franchise</w:t>
      </w:r>
      <w:r>
        <w:rPr>
          <w:color w:val="000000"/>
        </w:rPr>
        <w:t xml:space="preserve">” </w:t>
      </w:r>
      <w:r>
        <w:rPr>
          <w:rFonts w:ascii="Times New Roman;sans-serif" w:hAnsi="Times New Roman;sans-serif"/>
          <w:b w:val="false"/>
          <w:color w:val="000000"/>
          <w:sz w:val="22"/>
        </w:rPr>
        <w:t>means any division of a Subsidiary that holds (or the portion of the assets of such Subsidiary that constitutes) the assets of a particular franchise for the sale of New Vehicles and/or Used Vehicles. A Subsidiary may own and operate one or more than one Franchise. (By way of example, and without limiting the generality of the foregoing, Asbury Automotive St. Louis, L.L.C. is a Subsidiary that, as of the date hereof, owns a BMW Franchise and an Infiniti Franchise, among others.)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Franchise Agreement</w:t>
      </w:r>
      <w:r>
        <w:rPr>
          <w:color w:val="000000"/>
        </w:rPr>
        <w:t xml:space="preserve">” </w:t>
      </w:r>
      <w:r>
        <w:rPr>
          <w:rFonts w:ascii="Times New Roman;sans-serif" w:hAnsi="Times New Roman;sans-serif"/>
          <w:b w:val="false"/>
          <w:color w:val="000000"/>
          <w:sz w:val="22"/>
        </w:rPr>
        <w:t>means any dealer franchise agreement, dealer sales and service agreement or similar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Fronting Exposure</w:t>
      </w:r>
      <w:r>
        <w:rPr>
          <w:color w:val="000000"/>
        </w:rPr>
        <w:t xml:space="preserve">” </w:t>
      </w:r>
      <w:r>
        <w:rPr>
          <w:rFonts w:ascii="Times New Roman;sans-serif" w:hAnsi="Times New Roman;sans-serif"/>
          <w:b w:val="false"/>
          <w:color w:val="000000"/>
          <w:sz w:val="22"/>
        </w:rPr>
        <w:t>means, at any time there is a Defaulting Lender, (a) with respect to an L/C Issuer, such Defaulting Lender’s Applicable Percentage of the outstanding L/C Obligations with respect to Letters of Credit issued by such L/C Issuer other than L/C Obligations as to which such Defaulting Lender’s participation obligation has been reallocated to other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Lenders or Cash Collateralized in accordance with the terms 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Fund</w:t>
      </w:r>
      <w:r>
        <w:rPr>
          <w:color w:val="000000"/>
        </w:rPr>
        <w:t xml:space="preserve">” </w:t>
      </w:r>
      <w:r>
        <w:rPr>
          <w:rFonts w:ascii="Times New Roman;sans-serif" w:hAnsi="Times New Roman;sans-serif"/>
          <w:b w:val="false"/>
          <w:color w:val="000000"/>
          <w:sz w:val="22"/>
        </w:rPr>
        <w:t>means any Person (other than a natural Person) that is (or will be) engaged in making, purchasing, holding or otherwise investing in commercial loans and similar extensions of credit in the ordinary course of its activities.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GAAP</w:t>
      </w:r>
      <w:r>
        <w:rPr>
          <w:color w:val="000000"/>
        </w:rPr>
        <w:t xml:space="preserve">” </w:t>
      </w:r>
      <w:r>
        <w:rPr>
          <w:rFonts w:ascii="Times New Roman;sans-serif" w:hAnsi="Times New Roman;sans-serif"/>
          <w:b w:val="false"/>
          <w:color w:val="000000"/>
          <w:sz w:val="22"/>
        </w:rPr>
        <w:t xml:space="preserve">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367665"/>
                <wp:effectExtent l="0" t="0" r="0" b="0"/>
                <wp:wrapNone/>
                <wp:docPr id="205" name="Frame20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United States, that are applicable to the circumstances as of the date of determination, consistently applied.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Governmental Authority</w:t>
      </w:r>
      <w:r>
        <w:rPr>
          <w:color w:val="000000"/>
        </w:rPr>
        <w:t xml:space="preserve">” </w:t>
      </w:r>
      <w:r>
        <w:rPr>
          <w:rFonts w:ascii="Times New Roman;sans-serif" w:hAnsi="Times New Roman;sans-serif"/>
          <w:b w:val="false"/>
          <w:color w:val="000000"/>
          <w:sz w:val="22"/>
        </w:rPr>
        <w:t>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Guarantee</w:t>
      </w:r>
      <w:r>
        <w:rPr>
          <w:color w:val="000000"/>
        </w:rPr>
        <w:t xml:space="preserve">” </w:t>
      </w:r>
      <w:r>
        <w:rPr>
          <w:rFonts w:ascii="Times New Roman;sans-serif" w:hAnsi="Times New Roman;sans-serif"/>
          <w:b w:val="false"/>
          <w:color w:val="000000"/>
          <w:sz w:val="22"/>
        </w:rPr>
        <w:t>means, as to any Person, (a) any obligation, contingent or otherwise, of such Person guaranteeing or having the economic effect of guaranteeing any Indebtedness (the “primary obligations”) payable or performable by another Person (the “primary obligor”) in any manner, whether directly or indirectly, and including any obligation of such Person, direct or indirect, (i) to purchase or pay (or advance or supply funds for the purchase or payment of) such primary obligations, (ii) to purchase or lease property, securities or services for the purpose of assuring the obligee in respect of such primary obligations of the payment or performance of such primary obligations, (iii) to maintain working capital, equity capital or any other financial statement condition or liquidity or level of income or cash flow of the primary obligor so as to enable the primary obligor to pay such primary obligations, or (iv) entered into for the purpose of assuring in any other manner the obligee in respect of such primary obligations of the payment or performance thereof or to protect such obligee against loss in respect thereof (in whole or in part), or (b) any Lien on any assets of such Person securing any primary obligations of any primary obligor, whether or not such primary obligation is assumed by such Person (or any right, contingent or otherwise, of any holder of such primary obligation to obtain any such Lien). The amount of any Guarantee (other than a Guarantee of the type described in clause (b) above) shall be deemed to be an amount equal to the stated or determinable amount of the related primary obligation, or portion thereof, in respect of which such Guarantee is made or, if not stated or determinable, the maximum reasonably anticipated liability in respect thereof as reasonably determined by the guaranteeing Person in good faith. The amount of any Guarantee of the type described in clause (b) above shall be deemed to be an amount equal to the lesser of (x) the fair market value of the property subject to such Lien and (y)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 The term “Guarantee” shall not include endorsements of instruments for deposit or collection in the ordinary course of business.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Guaranties</w:t>
      </w:r>
      <w:r>
        <w:rPr>
          <w:color w:val="000000"/>
        </w:rPr>
        <w:t xml:space="preserve">” </w:t>
      </w:r>
      <w:r>
        <w:rPr>
          <w:rFonts w:ascii="Times New Roman;sans-serif" w:hAnsi="Times New Roman;sans-serif"/>
          <w:b w:val="false"/>
          <w:color w:val="000000"/>
          <w:sz w:val="22"/>
        </w:rPr>
        <w:t>means, collectively, the Company Guaranty and the Subsidiary Guaranty.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Guarantors</w:t>
      </w:r>
      <w:r>
        <w:rPr>
          <w:color w:val="000000"/>
        </w:rPr>
        <w:t xml:space="preserve">” </w:t>
      </w:r>
      <w:r>
        <w:rPr>
          <w:rFonts w:ascii="Times New Roman;sans-serif" w:hAnsi="Times New Roman;sans-serif"/>
          <w:b w:val="false"/>
          <w:color w:val="000000"/>
          <w:sz w:val="22"/>
        </w:rPr>
        <w:t>means, collectively, (a) the Company, (b) the Subsidiary Guarantors, and (c) with respect to (i) Obligations owing by any Loan Party or any Subsidiary of a Loan Party under any Swap Contract or any Cash Management Agreement and (ii) the payment and performance by each Specified Loan Party of its obligations under its Guarantee with respect to all Swap Obligations, each Borrower.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Hazardous Materials</w:t>
      </w:r>
      <w:r>
        <w:rPr>
          <w:color w:val="000000"/>
        </w:rPr>
        <w:t xml:space="preserve">” </w:t>
      </w:r>
      <w:r>
        <w:rPr>
          <w:rFonts w:ascii="Times New Roman;sans-serif" w:hAnsi="Times New Roman;sans-serif"/>
          <w:b w:val="false"/>
          <w:color w:val="000000"/>
          <w:sz w:val="22"/>
        </w:rPr>
        <w:t>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Hedge Bank</w:t>
      </w:r>
      <w:r>
        <w:rPr>
          <w:color w:val="000000"/>
        </w:rPr>
        <w:t xml:space="preserve">” </w:t>
      </w:r>
      <w:r>
        <w:rPr>
          <w:rFonts w:ascii="Times New Roman;sans-serif" w:hAnsi="Times New Roman;sans-serif"/>
          <w:b w:val="false"/>
          <w:color w:val="000000"/>
          <w:sz w:val="22"/>
        </w:rPr>
        <w:t xml:space="preserve">means any Person that, (a) at the time it enters into a Swap Contract not prohibited under </w:t>
      </w:r>
      <w:r>
        <w:rPr>
          <w:rFonts w:ascii="Times New Roman;sans-serif" w:hAnsi="Times New Roman;sans-serif"/>
          <w:b w:val="false"/>
          <w:color w:val="000000"/>
          <w:sz w:val="22"/>
          <w:u w:val="single"/>
        </w:rPr>
        <w:t xml:space="preserve">Article VI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VII</w:t>
      </w:r>
      <w:r>
        <w:rPr>
          <w:rFonts w:ascii="Times New Roman;sans-serif" w:hAnsi="Times New Roman;sans-serif"/>
          <w:b w:val="false"/>
          <w:color w:val="000000"/>
          <w:sz w:val="22"/>
        </w:rPr>
        <w:t xml:space="preserve">, is a Lender or an Affiliate of a Lender, or (b) at the time it (or its Affiliate)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367665"/>
                <wp:effectExtent l="0" t="0" r="0" b="0"/>
                <wp:wrapNone/>
                <wp:docPr id="206" name="Frame20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becomes a Lender, is a party to a Swap Contract not prohibited under </w:t>
      </w:r>
      <w:r>
        <w:rPr>
          <w:rFonts w:ascii="Times New Roman;sans-serif" w:hAnsi="Times New Roman;sans-serif"/>
          <w:b w:val="false"/>
          <w:color w:val="000000"/>
          <w:sz w:val="22"/>
          <w:u w:val="single"/>
        </w:rPr>
        <w:t>Article VI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VII</w:t>
      </w:r>
      <w:r>
        <w:rPr>
          <w:rFonts w:ascii="Times New Roman;sans-serif" w:hAnsi="Times New Roman;sans-serif"/>
          <w:b w:val="false"/>
          <w:color w:val="000000"/>
          <w:sz w:val="22"/>
        </w:rPr>
        <w:t>, in each case, in its capacity as a party to such Swap Contract.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Increase Effective Date</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2.22(d)</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Immaterial Subsidiary</w:t>
      </w:r>
      <w:r>
        <w:rPr>
          <w:color w:val="000000"/>
        </w:rPr>
        <w:t xml:space="preserve">” </w:t>
      </w:r>
      <w:r>
        <w:rPr>
          <w:rFonts w:ascii="Times New Roman;sans-serif" w:hAnsi="Times New Roman;sans-serif"/>
          <w:b w:val="false"/>
          <w:color w:val="000000"/>
          <w:sz w:val="22"/>
        </w:rPr>
        <w:t xml:space="preserve">means each direct or indirect Subsidiary of the Company that either (a) has total assets (including Equity Interests in other Persons) of less than 2.5% of the total assets of the Company and its Subsidiaries (calculated as of the most recent fiscal period with respect to which the Administrative Agent shall have received financial statements required to be delivered pursuant to </w:t>
      </w:r>
      <w:r>
        <w:rPr>
          <w:rFonts w:ascii="Times New Roman;sans-serif" w:hAnsi="Times New Roman;sans-serif"/>
          <w:b w:val="false"/>
          <w:color w:val="000000"/>
          <w:sz w:val="22"/>
          <w:u w:val="single"/>
        </w:rPr>
        <w:t>Sections 6.01(a)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 xml:space="preserve">(or if prior to delivery of any financial statements pursuant to such Sections, then calculated based on the Audited Financial Statements) or (b) contributes less than 2.5% to Consolidated EBITDA (calculated as of the most recent fiscal period with respect to which the Administrative Agent shall have received financial statements required to be delivered pursuant to </w:t>
      </w:r>
      <w:r>
        <w:rPr>
          <w:rFonts w:ascii="Times New Roman;sans-serif" w:hAnsi="Times New Roman;sans-serif"/>
          <w:b w:val="false"/>
          <w:color w:val="000000"/>
          <w:sz w:val="22"/>
          <w:u w:val="single"/>
        </w:rPr>
        <w:t>Sections 6.01(a)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 xml:space="preserve">(or if prior to delivery of any financial statements pursuant to such Sections, then calculated based on the Audited Financial Statements);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in the event that either (x) the total assets of all Immaterial Subsidiaries equals or exceed 5% of the total assets of the Company and its Subsidiaries (calculated as of the most recent fiscal period with respect to which the Administrative Agent shall have received financial statements required to be delivered pursuant to </w:t>
      </w:r>
      <w:r>
        <w:rPr>
          <w:rFonts w:ascii="Times New Roman;sans-serif" w:hAnsi="Times New Roman;sans-serif"/>
          <w:b w:val="false"/>
          <w:color w:val="000000"/>
          <w:sz w:val="22"/>
          <w:u w:val="single"/>
        </w:rPr>
        <w:t>Sections 6.01(a)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 xml:space="preserve">(or if prior to delivery of any financial statements pursuant to such Sections, then calculated based on the Audited Financial Statements) or (y) the total contribution of all Immaterial Subsidiaries to Consolidated EBITDA exceeds 5% of Consolidated EBITDA (calculated as of the most recent fiscal period with respect to which the Administrative Agent shall have received financial statements required to be delivered pursuant to </w:t>
      </w:r>
      <w:r>
        <w:rPr>
          <w:rFonts w:ascii="Times New Roman;sans-serif" w:hAnsi="Times New Roman;sans-serif"/>
          <w:b w:val="false"/>
          <w:color w:val="000000"/>
          <w:sz w:val="22"/>
          <w:u w:val="single"/>
        </w:rPr>
        <w:t>Sections 6.01(a)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 xml:space="preserve">(or if prior to delivery of any financial statements pursuant to such Sections, then calculated based on the Audited Financial Statements), as the case may be, the Company will designate Subsidiaries which would otherwise constitute Immaterial Subsidiaries to be excluded from qualifying as Immaterial Subsidiaries until the total assets and total contribution to Consolidated EBITDA of all Subsidiaries constituting Immaterial Subsidiaries are, in each case, less than or equal to such 5% thresholds;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 xml:space="preserve">that, so long as a Subsidiary is designated as a “Borrower” or “Subsidiary Guarantor” under the Loan Documents, such Subsidiary shall not constitute an “Immaterial Subsidiary”.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Impacted Loans</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3.03(a)</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Indebtedness</w:t>
      </w:r>
      <w:r>
        <w:rPr>
          <w:color w:val="000000"/>
        </w:rPr>
        <w:t xml:space="preserve">” </w:t>
      </w:r>
      <w:r>
        <w:rPr>
          <w:rFonts w:ascii="Times New Roman;sans-serif" w:hAnsi="Times New Roman;sans-serif"/>
          <w:b w:val="false"/>
          <w:color w:val="000000"/>
          <w:sz w:val="22"/>
        </w:rPr>
        <w:t>means, as to any Person at a particular time, without duplication, all of the following, whether or not included as indebtedness or liabilities in accordance with GAAP:</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all obligations of such Person for borrowed money and all obligations of such Person evidenced by bonds, debentures, notes, loan agreements or other similar instruments;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all direct or contingent obligations of such Person arising under letters of credit (including standby and commercial), bankers’ acceptances, bank guaranties, surety bonds and similar instruments;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net obligations of such Person under any Swap Contract;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all obligations of such Person to pay the deferred purchase price of property or services (other than trade accounts payable in the ordinary course of business and, in each case, not past due for more than (i) 90 days after the original specified due date thereof, or (ii) if such trade account payable has no specified due date, 120 days after the date on which such trade account payable was created);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 xml:space="preserve">indebtedness (excluding prepaid interest thereon) secured by a Lien on property owned or being purchased by such Person (including indebtedness arising under conditional sales or other title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367665"/>
                <wp:effectExtent l="0" t="0" r="0" b="0"/>
                <wp:wrapNone/>
                <wp:docPr id="207" name="Frame20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retention agreements), whether or not such indebtedness shall have been assumed by such Person or is limited in recourse;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 xml:space="preserve">capital leases, finance leases and Synthetic Lease Obligations;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 xml:space="preserve">all Disqualified Stock; and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 xml:space="preserve">all Guarantees of such Person in respect of any of the foregoing.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 The amount of any capital lease, finance lease or Synthetic Lease Obligation as of any date shall be deemed to be the amount of Attributable Indebtedness in respect thereof as of such date. The amount of Indebtedness of the type described in clause (e) above to the extent the recourse for such Indebtedness is limited to recourse against the property subject to the Lien described in clause (e) shall be deemed to be an amount equal to the lesser of (x) the fair market value of the property subject to such Lien and (y) the outstanding amount if indebtedness secured by such Lien. The term “Indebtedness” shall not include (x) customer deposits and interest payable thereon in the ordinary course of business or (y) indebtedness to the extent that it has been defeased or satisfied and discharged in accordance with the terms of the documents governing such indebtedness;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to the extent the deposit of assets with the applicable holders (or trustee on behalf of such holders) is required in connection with the defeasance or satisfaction and discharge of such indebtedness, such assets are limited to cash and cash equivalents and (ii) none of the assets associated with such defeasance, or any income earned on such assets, shall be included in the calculation of any financial covenant or ratio or incurrence test hereunder, any borrowing base hereunder or the Prepayment Test Amount.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Indemnified Taxes</w:t>
      </w:r>
      <w:r>
        <w:rPr>
          <w:color w:val="000000"/>
        </w:rPr>
        <w:t xml:space="preserve">” </w:t>
      </w:r>
      <w:r>
        <w:rPr>
          <w:rFonts w:ascii="Times New Roman;sans-serif" w:hAnsi="Times New Roman;sans-serif"/>
          <w:b w:val="false"/>
          <w:color w:val="000000"/>
          <w:sz w:val="22"/>
        </w:rPr>
        <w:t>means (a) Taxes, other than Excluded Taxes, imposed on or with respect to any payment made by or on account of any obligation of any Loan Party under any Loan Document and (b) to the extent not otherwise described in (a), Other Taxes.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Indemnitees</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10.04(b)</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Indentures</w:t>
      </w:r>
      <w:r>
        <w:rPr>
          <w:color w:val="000000"/>
        </w:rPr>
        <w:t xml:space="preserve">” </w:t>
      </w:r>
      <w:r>
        <w:rPr>
          <w:rFonts w:ascii="Times New Roman;sans-serif" w:hAnsi="Times New Roman;sans-serif"/>
          <w:b w:val="false"/>
          <w:color w:val="000000"/>
          <w:sz w:val="22"/>
        </w:rPr>
        <w:t>means (i) that certain Indenture, dated as of February 19, 2020 (as amended, supplemented and otherwise modified prior to the date hereof, and as further amended, supplemented or otherwise modified from time to time to the extent permitted hereunder), governing the 4.50% Senior Notes due 2028 of the Company, (ii) that certain Indenture, dated as of February 19, 2020 (as amended, supplemented and otherwise modified prior to the date hereof, and as further amended, supplemented or otherwise modified from time to time to the extent permitted hereunder), governing the 4.75% Senior Notes due 2030 of the Company, (iii) that certain Indenture, dated as of November 19, 2021 (as amended, supplemented and otherwise modified prior to the date hereof, and as further amended, supplemented or otherwise modified from time to time to the extent permitted hereunder), governing the 4.625% Senior Note due 2029 of the Company and (iv) that certain Indenture, dated as of November 19, 2021 (as amended, supplemented and otherwise modified prior to the date hereof, and as further amended, supplemented or otherwise modified from time to time to the extent permitted hereunder), governing the 5.000% Senior Note due 2032 of the Company.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Information</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10.07</w:t>
      </w:r>
      <w:r>
        <w:rPr>
          <w:rFonts w:ascii="Times New Roman;sans-serif" w:hAnsi="Times New Roman;sans-serif"/>
          <w:b w:val="false"/>
          <w:color w:val="000000"/>
          <w:sz w:val="22"/>
        </w:rPr>
        <w:t>.</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367665"/>
                <wp:effectExtent l="0" t="0" r="0" b="0"/>
                <wp:wrapNone/>
                <wp:docPr id="208" name="Frame20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Intangible Assets</w:t>
      </w:r>
      <w:r>
        <w:rPr>
          <w:color w:val="000000"/>
        </w:rPr>
        <w:t xml:space="preserve">” </w:t>
      </w:r>
      <w:r>
        <w:rPr>
          <w:rFonts w:ascii="Times New Roman;sans-serif" w:hAnsi="Times New Roman;sans-serif"/>
          <w:b w:val="false"/>
          <w:color w:val="000000"/>
          <w:sz w:val="22"/>
        </w:rPr>
        <w:t>means assets that are considered to be intangible assets under GAAP, including customer lists, goodwill, computer software, copyrights, trade names, trademarks, patents, franchises, licenses, unamortized deferred charges, unamortized debt discount and capitalized research and development costs.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Interest Payment Date</w:t>
      </w:r>
      <w:r>
        <w:rPr>
          <w:color w:val="000000"/>
        </w:rPr>
        <w:t xml:space="preserve">” </w:t>
      </w:r>
      <w:r>
        <w:rPr>
          <w:rFonts w:ascii="Times New Roman;sans-serif" w:hAnsi="Times New Roman;sans-serif"/>
          <w:b w:val="false"/>
          <w:color w:val="000000"/>
          <w:sz w:val="22"/>
        </w:rPr>
        <w:t>means the Automatic Debit Date of each calendar month.</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Investment</w:t>
      </w:r>
      <w:r>
        <w:rPr>
          <w:color w:val="000000"/>
        </w:rPr>
        <w:t xml:space="preserve">” </w:t>
      </w:r>
      <w:r>
        <w:rPr>
          <w:rFonts w:ascii="Times New Roman;sans-serif" w:hAnsi="Times New Roman;sans-serif"/>
          <w:b w:val="false"/>
          <w:color w:val="000000"/>
          <w:sz w:val="22"/>
        </w:rPr>
        <w:t xml:space="preserve">means, as to any Person, any direct or indirect acquisition or investment by such Person, whether by means of (a) the purchase or other acquisition of capital stock or other securities of another Person,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or (c) the purchase or other acquisition (in one transaction or a series of transactions) of assets of another Person that constitute a business unit. For purposes of covenant compliance, the amount of any Investment shall be the amount actually invested </w:t>
      </w:r>
      <w:r>
        <w:rPr>
          <w:rFonts w:ascii="Times New Roman;sans-serif" w:hAnsi="Times New Roman;sans-serif"/>
          <w:b w:val="false"/>
          <w:i/>
          <w:color w:val="000000"/>
          <w:sz w:val="22"/>
        </w:rPr>
        <w:t xml:space="preserve">less </w:t>
      </w:r>
      <w:r>
        <w:rPr>
          <w:rFonts w:ascii="Times New Roman;sans-serif" w:hAnsi="Times New Roman;sans-serif"/>
          <w:b w:val="false"/>
          <w:color w:val="000000"/>
          <w:sz w:val="22"/>
        </w:rPr>
        <w:t>any principal repayments or return of capital actually received in cash from such Investment.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IRS</w:t>
      </w:r>
      <w:r>
        <w:rPr>
          <w:color w:val="000000"/>
        </w:rPr>
        <w:t xml:space="preserve">” </w:t>
      </w:r>
      <w:r>
        <w:rPr>
          <w:rFonts w:ascii="Times New Roman;sans-serif" w:hAnsi="Times New Roman;sans-serif"/>
          <w:b w:val="false"/>
          <w:color w:val="000000"/>
          <w:sz w:val="22"/>
        </w:rPr>
        <w:t>means the United States Internal Revenue Service.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ISP</w:t>
      </w:r>
      <w:r>
        <w:rPr>
          <w:color w:val="000000"/>
        </w:rPr>
        <w:t xml:space="preserve">” </w:t>
      </w:r>
      <w:r>
        <w:rPr>
          <w:rFonts w:ascii="Times New Roman;sans-serif" w:hAnsi="Times New Roman;sans-serif"/>
          <w:b w:val="false"/>
          <w:color w:val="000000"/>
          <w:sz w:val="22"/>
        </w:rPr>
        <w:t>means the International Standby Practices, International Chamber of Commerce Publication No. 590 (or such later version thereof as may be in effect at the applicable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Issuer Documents</w:t>
      </w:r>
      <w:r>
        <w:rPr>
          <w:color w:val="000000"/>
        </w:rPr>
        <w:t xml:space="preserve">” </w:t>
      </w:r>
      <w:r>
        <w:rPr>
          <w:rFonts w:ascii="Times New Roman;sans-serif" w:hAnsi="Times New Roman;sans-serif"/>
          <w:b w:val="false"/>
          <w:color w:val="000000"/>
          <w:sz w:val="22"/>
        </w:rPr>
        <w:t>means with respect to any Letter of Credit, the Letter of Credit Application, and any other document, agreement and instrument entered into by the respective L/C Issuer and the Company (or any Subsidiary) or in favor of such L/C Issuer and relating to such Letter of Credit.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Joinder Agreement</w:t>
      </w:r>
      <w:r>
        <w:rPr>
          <w:color w:val="000000"/>
        </w:rPr>
        <w:t xml:space="preserve">” </w:t>
      </w:r>
      <w:r>
        <w:rPr>
          <w:rFonts w:ascii="Times New Roman;sans-serif" w:hAnsi="Times New Roman;sans-serif"/>
          <w:b w:val="false"/>
          <w:color w:val="000000"/>
          <w:sz w:val="22"/>
        </w:rPr>
        <w:t xml:space="preserve">means each Joinder Agreement, substantially in the form of </w:t>
      </w:r>
      <w:r>
        <w:rPr>
          <w:rFonts w:ascii="Times New Roman;sans-serif" w:hAnsi="Times New Roman;sans-serif"/>
          <w:b w:val="false"/>
          <w:color w:val="000000"/>
          <w:sz w:val="22"/>
          <w:u w:val="single"/>
        </w:rPr>
        <w:t>Exhibit H</w:t>
      </w:r>
      <w:r>
        <w:rPr>
          <w:rFonts w:ascii="Times New Roman;sans-serif" w:hAnsi="Times New Roman;sans-serif"/>
          <w:b w:val="false"/>
          <w:color w:val="000000"/>
          <w:sz w:val="22"/>
        </w:rPr>
        <w:t xml:space="preserve">, executed and delivered by a Subsidiary or any other Person to the Administrative Agent, for the benefit of the Secured Parties, pursuant to </w:t>
      </w:r>
      <w:r>
        <w:rPr>
          <w:rFonts w:ascii="Times New Roman;sans-serif" w:hAnsi="Times New Roman;sans-serif"/>
          <w:b w:val="false"/>
          <w:color w:val="000000"/>
          <w:sz w:val="22"/>
          <w:u w:val="single"/>
        </w:rPr>
        <w:t>Section 6.14</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Koons Acquisition</w:t>
      </w:r>
      <w:r>
        <w:rPr>
          <w:color w:val="000000"/>
        </w:rPr>
        <w:t xml:space="preserve">” </w:t>
      </w:r>
      <w:r>
        <w:rPr>
          <w:rFonts w:ascii="Times New Roman;sans-serif" w:hAnsi="Times New Roman;sans-serif"/>
          <w:b w:val="false"/>
          <w:color w:val="000000"/>
          <w:sz w:val="22"/>
        </w:rPr>
        <w:t>means the acquisition by the Company and/or its Subsidiaries of dealership assets, real estate and real estate related rights and other assets of the Koons Dealership Companies, the Koons Real Estate Companies and the Koons Management Company (as defined in the definition of Koons Purchase Agreement) pursuant to the Koons Purchase Agreement, without giving effect to any modifications, amendments, consents or waivers thereto that are material and adverse to the interests of the Lenders, as reasonably determined by the Administrative Agent, without the prior consent of the Administrative Agent (not to be unreasonably withheld, delayed or conditioned).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Koons Acquisition Documents</w:t>
      </w:r>
      <w:r>
        <w:rPr>
          <w:color w:val="000000"/>
        </w:rPr>
        <w:t xml:space="preserve">” </w:t>
      </w:r>
      <w:r>
        <w:rPr>
          <w:rFonts w:ascii="Times New Roman;sans-serif" w:hAnsi="Times New Roman;sans-serif"/>
          <w:b w:val="false"/>
          <w:color w:val="000000"/>
          <w:sz w:val="22"/>
        </w:rPr>
        <w:t>means the Koons Purchase Agreement and all documents, agreements, certificates and instruments executed in connection therewith.</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Koons Acquisition Indebtedness</w:t>
      </w:r>
      <w:r>
        <w:rPr>
          <w:color w:val="000000"/>
        </w:rPr>
        <w:t xml:space="preserve">” </w:t>
      </w:r>
      <w:r>
        <w:rPr>
          <w:rFonts w:ascii="Times New Roman;sans-serif" w:hAnsi="Times New Roman;sans-serif"/>
          <w:b w:val="false"/>
          <w:color w:val="000000"/>
          <w:sz w:val="22"/>
        </w:rPr>
        <w:t>means Indebtedness incurred by the Company or any of its Subsidiaries (which may include Indebtedness incurred hereunder), the proceeds of which will be used to consummate the transactions contemplated by the Koons Acquisition Documents.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Koons Dealership Company</w:t>
      </w:r>
      <w:r>
        <w:rPr>
          <w:color w:val="000000"/>
        </w:rPr>
        <w:t xml:space="preserve">” </w:t>
      </w:r>
      <w:r>
        <w:rPr>
          <w:rFonts w:ascii="Times New Roman;sans-serif" w:hAnsi="Times New Roman;sans-serif"/>
          <w:b w:val="false"/>
          <w:color w:val="000000"/>
          <w:sz w:val="22"/>
        </w:rPr>
        <w:t xml:space="preserve">means each of the following as defined in the definition of Koons Purchase Agreement: Koons Ford, Koons Ford of Baltimore, Koons Sterling Ford, Koons of Annapolis Toyota, Volvo Cars White Marsh, Koons Chevrolet, Koons Westminster Toyota, Koons Tysons Corner, Koons Tysons Toyota, Koons Arlington Toyota, Koons Collision Repair Center, Koons Easton Toyota, Koons Lexus of Wilmington, Koons Kia and Hyundai, Mercedes-Benz of Catonsville, Koons of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367665"/>
                <wp:effectExtent l="0" t="0" r="0" b="0"/>
                <wp:wrapNone/>
                <wp:docPr id="209" name="Frame20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Clarksville, Koons Buick GMC Woodbridge, Koons KIA of Owings Mills and Koons Woodbridge Ford, as the case may be, and collectively, they are the “</w:t>
      </w:r>
      <w:r>
        <w:rPr>
          <w:rFonts w:ascii="Times New Roman;sans-serif" w:hAnsi="Times New Roman;sans-serif"/>
          <w:b w:val="false"/>
          <w:color w:val="000000"/>
          <w:sz w:val="22"/>
          <w:u w:val="single"/>
        </w:rPr>
        <w:t>Koons Dealership Companies</w:t>
      </w:r>
      <w:r>
        <w:rPr>
          <w:color w:val="000000"/>
        </w:rPr>
        <w:t>”</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Koons Purchase Agreement</w:t>
      </w:r>
      <w:r>
        <w:rPr>
          <w:color w:val="000000"/>
        </w:rPr>
        <w:t xml:space="preserve">” </w:t>
      </w:r>
      <w:r>
        <w:rPr>
          <w:rFonts w:ascii="Times New Roman;sans-serif" w:hAnsi="Times New Roman;sans-serif"/>
          <w:b w:val="false"/>
          <w:color w:val="000000"/>
          <w:sz w:val="22"/>
        </w:rPr>
        <w:t>means that certain Purchase and Sale Agreement dated as of September 7, 2023 by and among the Company, as Buyer, Koons Ford, Inc., a Virginia corporation (“</w:t>
      </w:r>
      <w:r>
        <w:rPr>
          <w:rFonts w:ascii="Times New Roman;sans-serif" w:hAnsi="Times New Roman;sans-serif"/>
          <w:b w:val="false"/>
          <w:color w:val="000000"/>
          <w:sz w:val="22"/>
          <w:u w:val="single"/>
        </w:rPr>
        <w:t>Koons Ford</w:t>
      </w:r>
      <w:r>
        <w:rPr>
          <w:color w:val="000000"/>
        </w:rPr>
        <w:t>”</w:t>
      </w:r>
      <w:r>
        <w:rPr>
          <w:rFonts w:ascii="Times New Roman;sans-serif" w:hAnsi="Times New Roman;sans-serif"/>
          <w:b w:val="false"/>
          <w:color w:val="000000"/>
          <w:sz w:val="22"/>
        </w:rPr>
        <w:t>), Koons Ford of Baltimore, Inc., a Maryland corporation (“</w:t>
      </w:r>
      <w:r>
        <w:rPr>
          <w:rFonts w:ascii="Times New Roman;sans-serif" w:hAnsi="Times New Roman;sans-serif"/>
          <w:b w:val="false"/>
          <w:color w:val="000000"/>
          <w:sz w:val="22"/>
          <w:u w:val="single"/>
        </w:rPr>
        <w:t>Koons Ford of Baltimore</w:t>
      </w:r>
      <w:r>
        <w:rPr>
          <w:color w:val="000000"/>
        </w:rPr>
        <w:t>”</w:t>
      </w:r>
      <w:r>
        <w:rPr>
          <w:rFonts w:ascii="Times New Roman;sans-serif" w:hAnsi="Times New Roman;sans-serif"/>
          <w:b w:val="false"/>
          <w:color w:val="000000"/>
          <w:sz w:val="22"/>
        </w:rPr>
        <w:t>), Herndon Motor Co., Inc., a Virginia corporation (“</w:t>
      </w:r>
      <w:r>
        <w:rPr>
          <w:rFonts w:ascii="Times New Roman;sans-serif" w:hAnsi="Times New Roman;sans-serif"/>
          <w:b w:val="false"/>
          <w:color w:val="000000"/>
          <w:sz w:val="22"/>
          <w:u w:val="single"/>
        </w:rPr>
        <w:t>Koons Sterling Ford</w:t>
      </w:r>
      <w:r>
        <w:rPr>
          <w:color w:val="000000"/>
        </w:rPr>
        <w:t>”</w:t>
      </w:r>
      <w:r>
        <w:rPr>
          <w:rFonts w:ascii="Times New Roman;sans-serif" w:hAnsi="Times New Roman;sans-serif"/>
          <w:b w:val="false"/>
          <w:color w:val="000000"/>
          <w:sz w:val="22"/>
        </w:rPr>
        <w:t>), Koons of Annapolis, Inc., a Maryland corporation (“</w:t>
      </w:r>
      <w:r>
        <w:rPr>
          <w:rFonts w:ascii="Times New Roman;sans-serif" w:hAnsi="Times New Roman;sans-serif"/>
          <w:b w:val="false"/>
          <w:color w:val="000000"/>
          <w:sz w:val="22"/>
          <w:u w:val="single"/>
        </w:rPr>
        <w:t>Koons of Annapolis Toyota</w:t>
      </w:r>
      <w:r>
        <w:rPr>
          <w:color w:val="000000"/>
        </w:rPr>
        <w:t>”</w:t>
      </w:r>
      <w:r>
        <w:rPr>
          <w:rFonts w:ascii="Times New Roman;sans-serif" w:hAnsi="Times New Roman;sans-serif"/>
          <w:b w:val="false"/>
          <w:color w:val="000000"/>
          <w:sz w:val="22"/>
        </w:rPr>
        <w:t>), Koons of Owings Mills, Inc., a Maryland corporation (“</w:t>
      </w:r>
      <w:r>
        <w:rPr>
          <w:rFonts w:ascii="Times New Roman;sans-serif" w:hAnsi="Times New Roman;sans-serif"/>
          <w:b w:val="false"/>
          <w:color w:val="000000"/>
          <w:sz w:val="22"/>
          <w:u w:val="single"/>
        </w:rPr>
        <w:t>Volvo Cars White Marsh</w:t>
      </w:r>
      <w:r>
        <w:rPr>
          <w:color w:val="000000"/>
        </w:rPr>
        <w:t>”</w:t>
      </w:r>
      <w:r>
        <w:rPr>
          <w:rFonts w:ascii="Times New Roman;sans-serif" w:hAnsi="Times New Roman;sans-serif"/>
          <w:b w:val="false"/>
          <w:color w:val="000000"/>
          <w:sz w:val="22"/>
        </w:rPr>
        <w:t>), Koons Chevrolet, Inc., a Maryland corporation (“</w:t>
      </w:r>
      <w:r>
        <w:rPr>
          <w:rFonts w:ascii="Times New Roman;sans-serif" w:hAnsi="Times New Roman;sans-serif"/>
          <w:b w:val="false"/>
          <w:color w:val="000000"/>
          <w:sz w:val="22"/>
          <w:u w:val="single"/>
        </w:rPr>
        <w:t>Koons Chevrolet</w:t>
      </w:r>
      <w:r>
        <w:rPr>
          <w:color w:val="000000"/>
        </w:rPr>
        <w:t>”</w:t>
      </w:r>
      <w:r>
        <w:rPr>
          <w:rFonts w:ascii="Times New Roman;sans-serif" w:hAnsi="Times New Roman;sans-serif"/>
          <w:b w:val="false"/>
          <w:color w:val="000000"/>
          <w:sz w:val="22"/>
        </w:rPr>
        <w:t>), Koons of Westminster, Inc., a Maryland corporation (“</w:t>
      </w:r>
      <w:r>
        <w:rPr>
          <w:rFonts w:ascii="Times New Roman;sans-serif" w:hAnsi="Times New Roman;sans-serif"/>
          <w:b w:val="false"/>
          <w:color w:val="000000"/>
          <w:sz w:val="22"/>
          <w:u w:val="single"/>
        </w:rPr>
        <w:t>Koons Westminster Toyota</w:t>
      </w:r>
      <w:r>
        <w:rPr>
          <w:color w:val="000000"/>
        </w:rPr>
        <w:t>”</w:t>
      </w:r>
      <w:r>
        <w:rPr>
          <w:rFonts w:ascii="Times New Roman;sans-serif" w:hAnsi="Times New Roman;sans-serif"/>
          <w:b w:val="false"/>
          <w:color w:val="000000"/>
          <w:sz w:val="22"/>
        </w:rPr>
        <w:t>), Koons of Tysons Corner, Inc., a Virginia corporation (“</w:t>
      </w:r>
      <w:r>
        <w:rPr>
          <w:rFonts w:ascii="Times New Roman;sans-serif" w:hAnsi="Times New Roman;sans-serif"/>
          <w:b w:val="false"/>
          <w:color w:val="000000"/>
          <w:sz w:val="22"/>
          <w:u w:val="single"/>
        </w:rPr>
        <w:t>Koons Tysons Corner</w:t>
      </w:r>
      <w:r>
        <w:rPr>
          <w:color w:val="000000"/>
        </w:rPr>
        <w:t>”</w:t>
      </w:r>
      <w:r>
        <w:rPr>
          <w:rFonts w:ascii="Times New Roman;sans-serif" w:hAnsi="Times New Roman;sans-serif"/>
          <w:b w:val="false"/>
          <w:color w:val="000000"/>
          <w:sz w:val="22"/>
        </w:rPr>
        <w:t>), Kline Tysons Imports, Inc., a Virginia corporation (“</w:t>
      </w:r>
      <w:r>
        <w:rPr>
          <w:rFonts w:ascii="Times New Roman;sans-serif" w:hAnsi="Times New Roman;sans-serif"/>
          <w:b w:val="false"/>
          <w:color w:val="000000"/>
          <w:sz w:val="22"/>
          <w:u w:val="single"/>
        </w:rPr>
        <w:t>Koons Tysons Toyota</w:t>
      </w:r>
      <w:r>
        <w:rPr>
          <w:color w:val="000000"/>
        </w:rPr>
        <w:t>”</w:t>
      </w:r>
      <w:r>
        <w:rPr>
          <w:rFonts w:ascii="Times New Roman;sans-serif" w:hAnsi="Times New Roman;sans-serif"/>
          <w:b w:val="false"/>
          <w:color w:val="000000"/>
          <w:sz w:val="22"/>
        </w:rPr>
        <w:t>), Kline Imports Arlington, Inc., a Virginia corporation (“</w:t>
      </w:r>
      <w:r>
        <w:rPr>
          <w:rFonts w:ascii="Times New Roman;sans-serif" w:hAnsi="Times New Roman;sans-serif"/>
          <w:b w:val="false"/>
          <w:color w:val="000000"/>
          <w:sz w:val="22"/>
          <w:u w:val="single"/>
        </w:rPr>
        <w:t>Koons Arlington Toyota</w:t>
      </w:r>
      <w:r>
        <w:rPr>
          <w:color w:val="000000"/>
        </w:rPr>
        <w:t>”</w:t>
      </w:r>
      <w:r>
        <w:rPr>
          <w:rFonts w:ascii="Times New Roman;sans-serif" w:hAnsi="Times New Roman;sans-serif"/>
          <w:b w:val="false"/>
          <w:color w:val="000000"/>
          <w:sz w:val="22"/>
        </w:rPr>
        <w:t>), Kline Collision Repair Center, Inc., a Virginia corporation (“</w:t>
      </w:r>
      <w:r>
        <w:rPr>
          <w:rFonts w:ascii="Times New Roman;sans-serif" w:hAnsi="Times New Roman;sans-serif"/>
          <w:b w:val="false"/>
          <w:color w:val="000000"/>
          <w:sz w:val="22"/>
          <w:u w:val="single"/>
        </w:rPr>
        <w:t>Koons Collision Repair Center</w:t>
      </w:r>
      <w:r>
        <w:rPr>
          <w:color w:val="000000"/>
        </w:rPr>
        <w:t>”</w:t>
      </w:r>
      <w:r>
        <w:rPr>
          <w:rFonts w:ascii="Times New Roman;sans-serif" w:hAnsi="Times New Roman;sans-serif"/>
          <w:b w:val="false"/>
          <w:color w:val="000000"/>
          <w:sz w:val="22"/>
        </w:rPr>
        <w:t>), Koons of Easton, Inc., a Maryland corporation (“</w:t>
      </w:r>
      <w:r>
        <w:rPr>
          <w:rFonts w:ascii="Times New Roman;sans-serif" w:hAnsi="Times New Roman;sans-serif"/>
          <w:b w:val="false"/>
          <w:color w:val="000000"/>
          <w:sz w:val="22"/>
          <w:u w:val="single"/>
        </w:rPr>
        <w:t>Koons Easton Toyota</w:t>
      </w:r>
      <w:r>
        <w:rPr>
          <w:color w:val="000000"/>
        </w:rPr>
        <w:t>”</w:t>
      </w:r>
      <w:r>
        <w:rPr>
          <w:rFonts w:ascii="Times New Roman;sans-serif" w:hAnsi="Times New Roman;sans-serif"/>
          <w:b w:val="false"/>
          <w:color w:val="000000"/>
          <w:sz w:val="22"/>
        </w:rPr>
        <w:t>), Koons of Wilmington, Inc., a Delaware corporation (“</w:t>
      </w:r>
      <w:r>
        <w:rPr>
          <w:rFonts w:ascii="Times New Roman;sans-serif" w:hAnsi="Times New Roman;sans-serif"/>
          <w:b w:val="false"/>
          <w:color w:val="000000"/>
          <w:sz w:val="22"/>
          <w:u w:val="single"/>
        </w:rPr>
        <w:t>Koons Lexus of Wilmington</w:t>
      </w:r>
      <w:r>
        <w:rPr>
          <w:color w:val="000000"/>
        </w:rPr>
        <w:t>”</w:t>
      </w:r>
      <w:r>
        <w:rPr>
          <w:rFonts w:ascii="Times New Roman;sans-serif" w:hAnsi="Times New Roman;sans-serif"/>
          <w:b w:val="false"/>
          <w:color w:val="000000"/>
          <w:sz w:val="22"/>
        </w:rPr>
        <w:t>), Koons of Woodbridge, Inc., a Virginia corporation (“</w:t>
      </w:r>
      <w:r>
        <w:rPr>
          <w:rFonts w:ascii="Times New Roman;sans-serif" w:hAnsi="Times New Roman;sans-serif"/>
          <w:b w:val="false"/>
          <w:color w:val="000000"/>
          <w:sz w:val="22"/>
          <w:u w:val="single"/>
        </w:rPr>
        <w:t>Koons Kia and Hyundai</w:t>
      </w:r>
      <w:r>
        <w:rPr>
          <w:color w:val="000000"/>
        </w:rPr>
        <w:t>”</w:t>
      </w:r>
      <w:r>
        <w:rPr>
          <w:rFonts w:ascii="Times New Roman;sans-serif" w:hAnsi="Times New Roman;sans-serif"/>
          <w:b w:val="false"/>
          <w:color w:val="000000"/>
          <w:sz w:val="22"/>
        </w:rPr>
        <w:t>), Koons of Catonsville, Inc., a Maryland corporation (“</w:t>
      </w:r>
      <w:r>
        <w:rPr>
          <w:rFonts w:ascii="Times New Roman;sans-serif" w:hAnsi="Times New Roman;sans-serif"/>
          <w:b w:val="false"/>
          <w:color w:val="000000"/>
          <w:sz w:val="22"/>
          <w:u w:val="single"/>
        </w:rPr>
        <w:t>Mercedes-Benz of Catonsville</w:t>
      </w:r>
      <w:r>
        <w:rPr>
          <w:color w:val="000000"/>
        </w:rPr>
        <w:t>”</w:t>
      </w:r>
      <w:r>
        <w:rPr>
          <w:rFonts w:ascii="Times New Roman;sans-serif" w:hAnsi="Times New Roman;sans-serif"/>
          <w:b w:val="false"/>
          <w:color w:val="000000"/>
          <w:sz w:val="22"/>
        </w:rPr>
        <w:t>), Koons of Clarksville, Inc., a Maryland corporation (“</w:t>
      </w:r>
      <w:r>
        <w:rPr>
          <w:rFonts w:ascii="Times New Roman;sans-serif" w:hAnsi="Times New Roman;sans-serif"/>
          <w:b w:val="false"/>
          <w:color w:val="000000"/>
          <w:sz w:val="22"/>
          <w:u w:val="single"/>
        </w:rPr>
        <w:t>Koons of Clarksville</w:t>
      </w:r>
      <w:r>
        <w:rPr>
          <w:color w:val="000000"/>
        </w:rPr>
        <w:t>”</w:t>
      </w:r>
      <w:r>
        <w:rPr>
          <w:rFonts w:ascii="Times New Roman;sans-serif" w:hAnsi="Times New Roman;sans-serif"/>
          <w:b w:val="false"/>
          <w:color w:val="000000"/>
          <w:sz w:val="22"/>
        </w:rPr>
        <w:t>), Koons Buick GMC Woodbridge, Inc., a Virginia corporation (“</w:t>
      </w:r>
      <w:r>
        <w:rPr>
          <w:rFonts w:ascii="Times New Roman;sans-serif" w:hAnsi="Times New Roman;sans-serif"/>
          <w:b w:val="false"/>
          <w:color w:val="000000"/>
          <w:sz w:val="22"/>
          <w:u w:val="single"/>
        </w:rPr>
        <w:t>Koons Buick GMC Woodbridge</w:t>
      </w:r>
      <w:r>
        <w:rPr>
          <w:color w:val="000000"/>
        </w:rPr>
        <w:t>”</w:t>
      </w:r>
      <w:r>
        <w:rPr>
          <w:rFonts w:ascii="Times New Roman;sans-serif" w:hAnsi="Times New Roman;sans-serif"/>
          <w:b w:val="false"/>
          <w:color w:val="000000"/>
          <w:sz w:val="22"/>
        </w:rPr>
        <w:t>), Koons of Reisterstown Road, Inc., a Maryland corporation (“</w:t>
      </w:r>
      <w:r>
        <w:rPr>
          <w:rFonts w:ascii="Times New Roman;sans-serif" w:hAnsi="Times New Roman;sans-serif"/>
          <w:b w:val="false"/>
          <w:color w:val="000000"/>
          <w:sz w:val="22"/>
          <w:u w:val="single"/>
        </w:rPr>
        <w:t>Koons KIA of Owings Mills</w:t>
      </w:r>
      <w:r>
        <w:rPr>
          <w:color w:val="000000"/>
        </w:rPr>
        <w:t>”</w:t>
      </w:r>
      <w:r>
        <w:rPr>
          <w:rFonts w:ascii="Times New Roman;sans-serif" w:hAnsi="Times New Roman;sans-serif"/>
          <w:b w:val="false"/>
          <w:color w:val="000000"/>
          <w:sz w:val="22"/>
        </w:rPr>
        <w:t>), Koons Woodbridge Ford, Inc., a Virginia corporation (“</w:t>
      </w:r>
      <w:r>
        <w:rPr>
          <w:rFonts w:ascii="Times New Roman;sans-serif" w:hAnsi="Times New Roman;sans-serif"/>
          <w:b w:val="false"/>
          <w:color w:val="000000"/>
          <w:sz w:val="22"/>
          <w:u w:val="single"/>
        </w:rPr>
        <w:t>Koons Woodbridge Ford</w:t>
      </w:r>
      <w:r>
        <w:rPr>
          <w:color w:val="000000"/>
        </w:rPr>
        <w:t>”</w:t>
      </w:r>
      <w:r>
        <w:rPr>
          <w:rFonts w:ascii="Times New Roman;sans-serif" w:hAnsi="Times New Roman;sans-serif"/>
          <w:b w:val="false"/>
          <w:color w:val="000000"/>
          <w:sz w:val="22"/>
        </w:rPr>
        <w:t>), Jim Koons Management Company, Inc., a Maryland corporation (“</w:t>
      </w:r>
      <w:r>
        <w:rPr>
          <w:rFonts w:ascii="Times New Roman;sans-serif" w:hAnsi="Times New Roman;sans-serif"/>
          <w:b w:val="false"/>
          <w:color w:val="000000"/>
          <w:sz w:val="22"/>
          <w:u w:val="single"/>
        </w:rPr>
        <w:t>Management Company</w:t>
      </w:r>
      <w:r>
        <w:rPr>
          <w:color w:val="000000"/>
        </w:rPr>
        <w:t>”</w:t>
      </w:r>
      <w:r>
        <w:rPr>
          <w:rFonts w:ascii="Times New Roman;sans-serif" w:hAnsi="Times New Roman;sans-serif"/>
          <w:b w:val="false"/>
          <w:color w:val="000000"/>
          <w:sz w:val="22"/>
        </w:rPr>
        <w:t>), Koons Real Properties, LLC, a Maryland limited liability company (“</w:t>
      </w:r>
      <w:r>
        <w:rPr>
          <w:rFonts w:ascii="Times New Roman;sans-serif" w:hAnsi="Times New Roman;sans-serif"/>
          <w:b w:val="false"/>
          <w:color w:val="000000"/>
          <w:sz w:val="22"/>
          <w:u w:val="single"/>
        </w:rPr>
        <w:t>Koons Real Properties</w:t>
      </w:r>
      <w:r>
        <w:rPr>
          <w:color w:val="000000"/>
        </w:rPr>
        <w:t>”</w:t>
      </w:r>
      <w:r>
        <w:rPr>
          <w:rFonts w:ascii="Times New Roman;sans-serif" w:hAnsi="Times New Roman;sans-serif"/>
          <w:b w:val="false"/>
          <w:color w:val="000000"/>
          <w:sz w:val="22"/>
        </w:rPr>
        <w:t>), Koons of Annapolis LLC, a Maryland limited liability company (“</w:t>
      </w:r>
      <w:r>
        <w:rPr>
          <w:rFonts w:ascii="Times New Roman;sans-serif" w:hAnsi="Times New Roman;sans-serif"/>
          <w:b w:val="false"/>
          <w:color w:val="000000"/>
          <w:sz w:val="22"/>
          <w:u w:val="single"/>
        </w:rPr>
        <w:t>Annapolis Property Company</w:t>
      </w:r>
      <w:r>
        <w:rPr>
          <w:color w:val="000000"/>
        </w:rPr>
        <w:t>”</w:t>
      </w:r>
      <w:r>
        <w:rPr>
          <w:rFonts w:ascii="Times New Roman;sans-serif" w:hAnsi="Times New Roman;sans-serif"/>
          <w:b w:val="false"/>
          <w:color w:val="000000"/>
          <w:sz w:val="22"/>
        </w:rPr>
        <w:t>), Koons Baltimore Properties, LLC, a Maryland limited liability company (“</w:t>
      </w:r>
      <w:r>
        <w:rPr>
          <w:rFonts w:ascii="Times New Roman;sans-serif" w:hAnsi="Times New Roman;sans-serif"/>
          <w:b w:val="false"/>
          <w:color w:val="000000"/>
          <w:sz w:val="22"/>
          <w:u w:val="single"/>
        </w:rPr>
        <w:t>Baltimore Property Company</w:t>
      </w:r>
      <w:r>
        <w:rPr>
          <w:color w:val="000000"/>
        </w:rPr>
        <w:t>”</w:t>
      </w:r>
      <w:r>
        <w:rPr>
          <w:rFonts w:ascii="Times New Roman;sans-serif" w:hAnsi="Times New Roman;sans-serif"/>
          <w:b w:val="false"/>
          <w:color w:val="000000"/>
          <w:sz w:val="22"/>
        </w:rPr>
        <w:t>), Koons Rolling Roads Properties LLC, a Maryland limited liability company (“</w:t>
      </w:r>
      <w:r>
        <w:rPr>
          <w:rFonts w:ascii="Times New Roman;sans-serif" w:hAnsi="Times New Roman;sans-serif"/>
          <w:b w:val="false"/>
          <w:color w:val="000000"/>
          <w:sz w:val="22"/>
          <w:u w:val="single"/>
        </w:rPr>
        <w:t>Rolling Roads Property Company</w:t>
      </w:r>
      <w:r>
        <w:rPr>
          <w:color w:val="000000"/>
        </w:rPr>
        <w:t>”</w:t>
      </w:r>
      <w:r>
        <w:rPr>
          <w:rFonts w:ascii="Times New Roman;sans-serif" w:hAnsi="Times New Roman;sans-serif"/>
          <w:b w:val="false"/>
          <w:color w:val="000000"/>
          <w:sz w:val="22"/>
        </w:rPr>
        <w:t>), Koons Alexandria Properties, LLC, a Virginia limited liability company (“</w:t>
      </w:r>
      <w:r>
        <w:rPr>
          <w:rFonts w:ascii="Times New Roman;sans-serif" w:hAnsi="Times New Roman;sans-serif"/>
          <w:b w:val="false"/>
          <w:color w:val="000000"/>
          <w:sz w:val="22"/>
          <w:u w:val="single"/>
        </w:rPr>
        <w:t>Alexandria Property Company</w:t>
      </w:r>
      <w:r>
        <w:rPr>
          <w:color w:val="000000"/>
        </w:rPr>
        <w:t>”</w:t>
      </w:r>
      <w:r>
        <w:rPr>
          <w:rFonts w:ascii="Times New Roman;sans-serif" w:hAnsi="Times New Roman;sans-serif"/>
          <w:b w:val="false"/>
          <w:color w:val="000000"/>
          <w:sz w:val="22"/>
        </w:rPr>
        <w:t>), Koons Easton Properties, LLC, a Maryland limited liability company (“</w:t>
      </w:r>
      <w:r>
        <w:rPr>
          <w:rFonts w:ascii="Times New Roman;sans-serif" w:hAnsi="Times New Roman;sans-serif"/>
          <w:b w:val="false"/>
          <w:color w:val="000000"/>
          <w:sz w:val="22"/>
          <w:u w:val="single"/>
        </w:rPr>
        <w:t>Easton Property Company</w:t>
      </w:r>
      <w:r>
        <w:rPr>
          <w:color w:val="000000"/>
        </w:rPr>
        <w:t>”</w:t>
      </w:r>
      <w:r>
        <w:rPr>
          <w:rFonts w:ascii="Times New Roman;sans-serif" w:hAnsi="Times New Roman;sans-serif"/>
          <w:b w:val="false"/>
          <w:color w:val="000000"/>
          <w:sz w:val="22"/>
        </w:rPr>
        <w:t>), Koons Falls Church Properties, LLC, a Virginia limited liability company (“</w:t>
      </w:r>
      <w:r>
        <w:rPr>
          <w:rFonts w:ascii="Times New Roman;sans-serif" w:hAnsi="Times New Roman;sans-serif"/>
          <w:b w:val="false"/>
          <w:color w:val="000000"/>
          <w:sz w:val="22"/>
          <w:u w:val="single"/>
        </w:rPr>
        <w:t>Falls Church Property Company</w:t>
      </w:r>
      <w:r>
        <w:rPr>
          <w:color w:val="000000"/>
        </w:rPr>
        <w:t>”</w:t>
      </w:r>
      <w:r>
        <w:rPr>
          <w:rFonts w:ascii="Times New Roman;sans-serif" w:hAnsi="Times New Roman;sans-serif"/>
          <w:b w:val="false"/>
          <w:color w:val="000000"/>
          <w:sz w:val="22"/>
        </w:rPr>
        <w:t>), Koons Hillwood Woodbridge Properties, LLC, a Maryland limited liability company (“</w:t>
      </w:r>
      <w:r>
        <w:rPr>
          <w:rFonts w:ascii="Times New Roman;sans-serif" w:hAnsi="Times New Roman;sans-serif"/>
          <w:b w:val="false"/>
          <w:color w:val="000000"/>
          <w:sz w:val="22"/>
          <w:u w:val="single"/>
        </w:rPr>
        <w:t>Hillwood Woodbridge Property Company</w:t>
      </w:r>
      <w:r>
        <w:rPr>
          <w:color w:val="000000"/>
        </w:rPr>
        <w:t>”</w:t>
      </w:r>
      <w:r>
        <w:rPr>
          <w:rFonts w:ascii="Times New Roman;sans-serif" w:hAnsi="Times New Roman;sans-serif"/>
          <w:b w:val="false"/>
          <w:color w:val="000000"/>
          <w:sz w:val="22"/>
        </w:rPr>
        <w:t>), 9610 Reisterstown Road LLC, a Maryland limited liability company (“</w:t>
      </w:r>
      <w:r>
        <w:rPr>
          <w:rFonts w:ascii="Times New Roman;sans-serif" w:hAnsi="Times New Roman;sans-serif"/>
          <w:b w:val="false"/>
          <w:color w:val="000000"/>
          <w:sz w:val="22"/>
          <w:u w:val="single"/>
        </w:rPr>
        <w:t>Reisterstown Property Company</w:t>
      </w:r>
      <w:r>
        <w:rPr>
          <w:color w:val="000000"/>
        </w:rPr>
        <w:t>”</w:t>
      </w:r>
      <w:r>
        <w:rPr>
          <w:rFonts w:ascii="Times New Roman;sans-serif" w:hAnsi="Times New Roman;sans-serif"/>
          <w:b w:val="false"/>
          <w:color w:val="000000"/>
          <w:sz w:val="22"/>
        </w:rPr>
        <w:t>), Koons Noblewood Properties, LLC, a Virginia limited liability company (“</w:t>
      </w:r>
      <w:r>
        <w:rPr>
          <w:rFonts w:ascii="Times New Roman;sans-serif" w:hAnsi="Times New Roman;sans-serif"/>
          <w:b w:val="false"/>
          <w:color w:val="000000"/>
          <w:sz w:val="22"/>
          <w:u w:val="single"/>
        </w:rPr>
        <w:t>Noblewood Property Company</w:t>
      </w:r>
      <w:r>
        <w:rPr>
          <w:color w:val="000000"/>
        </w:rPr>
        <w:t>”</w:t>
      </w:r>
      <w:r>
        <w:rPr>
          <w:rFonts w:ascii="Times New Roman;sans-serif" w:hAnsi="Times New Roman;sans-serif"/>
          <w:b w:val="false"/>
          <w:color w:val="000000"/>
          <w:sz w:val="22"/>
        </w:rPr>
        <w:t>), Crown Real Properties, LLC, a Virginia limited liability company (“</w:t>
      </w:r>
      <w:r>
        <w:rPr>
          <w:rFonts w:ascii="Times New Roman;sans-serif" w:hAnsi="Times New Roman;sans-serif"/>
          <w:b w:val="false"/>
          <w:color w:val="000000"/>
          <w:sz w:val="22"/>
          <w:u w:val="single"/>
        </w:rPr>
        <w:t>Crown Property Company</w:t>
      </w:r>
      <w:r>
        <w:rPr>
          <w:color w:val="000000"/>
        </w:rPr>
        <w:t>”</w:t>
      </w:r>
      <w:r>
        <w:rPr>
          <w:rFonts w:ascii="Times New Roman;sans-serif" w:hAnsi="Times New Roman;sans-serif"/>
          <w:b w:val="false"/>
          <w:color w:val="000000"/>
          <w:sz w:val="22"/>
        </w:rPr>
        <w:t>), Koons Wilmington Properties, LLC, a Delaware limited liability company (“</w:t>
      </w:r>
      <w:r>
        <w:rPr>
          <w:rFonts w:ascii="Times New Roman;sans-serif" w:hAnsi="Times New Roman;sans-serif"/>
          <w:b w:val="false"/>
          <w:color w:val="000000"/>
          <w:sz w:val="22"/>
          <w:u w:val="single"/>
        </w:rPr>
        <w:t>Wilmington Property Company</w:t>
      </w:r>
      <w:r>
        <w:rPr>
          <w:color w:val="000000"/>
        </w:rPr>
        <w:t>”</w:t>
      </w:r>
      <w:r>
        <w:rPr>
          <w:rFonts w:ascii="Times New Roman;sans-serif" w:hAnsi="Times New Roman;sans-serif"/>
          <w:b w:val="false"/>
          <w:color w:val="000000"/>
          <w:sz w:val="22"/>
        </w:rPr>
        <w:t>), Koons Catonsville Properties, LLC, a Maryland limited liability company (“</w:t>
      </w:r>
      <w:r>
        <w:rPr>
          <w:rFonts w:ascii="Times New Roman;sans-serif" w:hAnsi="Times New Roman;sans-serif"/>
          <w:b w:val="false"/>
          <w:color w:val="000000"/>
          <w:sz w:val="22"/>
          <w:u w:val="single"/>
        </w:rPr>
        <w:t>Catonsville Property Company</w:t>
      </w:r>
      <w:r>
        <w:rPr>
          <w:color w:val="000000"/>
        </w:rPr>
        <w:t>”</w:t>
      </w:r>
      <w:r>
        <w:rPr>
          <w:rFonts w:ascii="Times New Roman;sans-serif" w:hAnsi="Times New Roman;sans-serif"/>
          <w:b w:val="false"/>
          <w:color w:val="000000"/>
          <w:sz w:val="22"/>
        </w:rPr>
        <w:t>), Koons Clarksville Properties, LLC, a Maryland limited liability company (“</w:t>
      </w:r>
      <w:r>
        <w:rPr>
          <w:rFonts w:ascii="Times New Roman;sans-serif" w:hAnsi="Times New Roman;sans-serif"/>
          <w:b w:val="false"/>
          <w:color w:val="000000"/>
          <w:sz w:val="22"/>
          <w:u w:val="single"/>
        </w:rPr>
        <w:t>Clarksville Property Company</w:t>
      </w:r>
      <w:r>
        <w:rPr>
          <w:color w:val="000000"/>
        </w:rPr>
        <w:t>”</w:t>
      </w:r>
      <w:r>
        <w:rPr>
          <w:rFonts w:ascii="Times New Roman;sans-serif" w:hAnsi="Times New Roman;sans-serif"/>
          <w:b w:val="false"/>
          <w:color w:val="000000"/>
          <w:sz w:val="22"/>
        </w:rPr>
        <w:t>), Crown Tysons Properties, LLC, a Virginia limited liability company (“</w:t>
      </w:r>
      <w:r>
        <w:rPr>
          <w:rFonts w:ascii="Times New Roman;sans-serif" w:hAnsi="Times New Roman;sans-serif"/>
          <w:b w:val="false"/>
          <w:color w:val="000000"/>
          <w:sz w:val="22"/>
          <w:u w:val="single"/>
        </w:rPr>
        <w:t>Crown Tysons Property Company</w:t>
      </w:r>
      <w:r>
        <w:rPr>
          <w:color w:val="000000"/>
        </w:rPr>
        <w:t>”</w:t>
      </w:r>
      <w:r>
        <w:rPr>
          <w:rFonts w:ascii="Times New Roman;sans-serif" w:hAnsi="Times New Roman;sans-serif"/>
          <w:b w:val="false"/>
          <w:color w:val="000000"/>
          <w:sz w:val="22"/>
        </w:rPr>
        <w:t>), Koons Tysons Properties, LLC, a Virginia limited liability company (“</w:t>
      </w:r>
      <w:r>
        <w:rPr>
          <w:rFonts w:ascii="Times New Roman;sans-serif" w:hAnsi="Times New Roman;sans-serif"/>
          <w:b w:val="false"/>
          <w:color w:val="000000"/>
          <w:sz w:val="22"/>
          <w:u w:val="single"/>
        </w:rPr>
        <w:t>Koons Tysons Property Company</w:t>
      </w:r>
      <w:r>
        <w:rPr>
          <w:color w:val="000000"/>
        </w:rPr>
        <w:t>”</w:t>
      </w:r>
      <w:r>
        <w:rPr>
          <w:rFonts w:ascii="Times New Roman;sans-serif" w:hAnsi="Times New Roman;sans-serif"/>
          <w:b w:val="false"/>
          <w:color w:val="000000"/>
          <w:sz w:val="22"/>
        </w:rPr>
        <w:t>), Koons Legacy Properties, LLC, a Maryland limited liability company (“</w:t>
      </w:r>
      <w:r>
        <w:rPr>
          <w:rFonts w:ascii="Times New Roman;sans-serif" w:hAnsi="Times New Roman;sans-serif"/>
          <w:b w:val="false"/>
          <w:color w:val="000000"/>
          <w:sz w:val="22"/>
          <w:u w:val="single"/>
        </w:rPr>
        <w:t>Koons Legacy Property Company</w:t>
      </w:r>
      <w:r>
        <w:rPr>
          <w:color w:val="000000"/>
        </w:rPr>
        <w:t>”</w:t>
      </w:r>
      <w:r>
        <w:rPr>
          <w:rFonts w:ascii="Times New Roman;sans-serif" w:hAnsi="Times New Roman;sans-serif"/>
          <w:b w:val="false"/>
          <w:color w:val="000000"/>
          <w:sz w:val="22"/>
        </w:rPr>
        <w:t>), Koons Nottingham Properties, LLC, a Maryland limited liability company (“</w:t>
      </w:r>
      <w:r>
        <w:rPr>
          <w:rFonts w:ascii="Times New Roman;sans-serif" w:hAnsi="Times New Roman;sans-serif"/>
          <w:b w:val="false"/>
          <w:color w:val="000000"/>
          <w:sz w:val="22"/>
          <w:u w:val="single"/>
        </w:rPr>
        <w:t>Nottingham Property Company</w:t>
      </w:r>
      <w:r>
        <w:rPr>
          <w:color w:val="000000"/>
        </w:rPr>
        <w:t>”</w:t>
      </w:r>
      <w:r>
        <w:rPr>
          <w:rFonts w:ascii="Times New Roman;sans-serif" w:hAnsi="Times New Roman;sans-serif"/>
          <w:b w:val="false"/>
          <w:color w:val="000000"/>
          <w:sz w:val="22"/>
        </w:rPr>
        <w:t>), Koons Opitz Properties, LLC, a Virginia limited liability company (“</w:t>
      </w:r>
      <w:r>
        <w:rPr>
          <w:rFonts w:ascii="Times New Roman;sans-serif" w:hAnsi="Times New Roman;sans-serif"/>
          <w:b w:val="false"/>
          <w:color w:val="000000"/>
          <w:sz w:val="22"/>
          <w:u w:val="single"/>
        </w:rPr>
        <w:t>Opitz Property Company</w:t>
      </w:r>
      <w:r>
        <w:rPr>
          <w:color w:val="000000"/>
        </w:rPr>
        <w:t>”</w:t>
      </w:r>
      <w:r>
        <w:rPr>
          <w:rFonts w:ascii="Times New Roman;sans-serif" w:hAnsi="Times New Roman;sans-serif"/>
          <w:b w:val="false"/>
          <w:color w:val="000000"/>
          <w:sz w:val="22"/>
        </w:rPr>
        <w:t>), Koons Route 1 Properties, LLC, a Virginia limited liability company (“</w:t>
      </w:r>
      <w:r>
        <w:rPr>
          <w:rFonts w:ascii="Times New Roman;sans-serif" w:hAnsi="Times New Roman;sans-serif"/>
          <w:b w:val="false"/>
          <w:color w:val="000000"/>
          <w:sz w:val="22"/>
          <w:u w:val="single"/>
        </w:rPr>
        <w:t>Route 1 Property Company</w:t>
      </w:r>
      <w:r>
        <w:rPr>
          <w:color w:val="000000"/>
        </w:rPr>
        <w:t>”</w:t>
      </w:r>
      <w:r>
        <w:rPr>
          <w:rFonts w:ascii="Times New Roman;sans-serif" w:hAnsi="Times New Roman;sans-serif"/>
          <w:b w:val="false"/>
          <w:color w:val="000000"/>
          <w:sz w:val="22"/>
        </w:rPr>
        <w:t>), Koons Westminster Properties, LLC, a Maryland limited liability company (“</w:t>
      </w:r>
      <w:r>
        <w:rPr>
          <w:rFonts w:ascii="Times New Roman;sans-serif" w:hAnsi="Times New Roman;sans-serif"/>
          <w:b w:val="false"/>
          <w:color w:val="000000"/>
          <w:sz w:val="22"/>
          <w:u w:val="single"/>
        </w:rPr>
        <w:t>Westminster Property Company</w:t>
      </w:r>
      <w:r>
        <w:rPr>
          <w:color w:val="000000"/>
        </w:rPr>
        <w:t>”</w:t>
      </w:r>
      <w:r>
        <w:rPr>
          <w:rFonts w:ascii="Times New Roman;sans-serif" w:hAnsi="Times New Roman;sans-serif"/>
          <w:b w:val="false"/>
          <w:color w:val="000000"/>
          <w:sz w:val="22"/>
        </w:rPr>
        <w:t>) and Koons Plaza Development Co., a Virginia general partnership (“</w:t>
      </w:r>
      <w:r>
        <w:rPr>
          <w:rFonts w:ascii="Times New Roman;sans-serif" w:hAnsi="Times New Roman;sans-serif"/>
          <w:b w:val="false"/>
          <w:color w:val="000000"/>
          <w:sz w:val="22"/>
          <w:u w:val="single"/>
        </w:rPr>
        <w:t>Koons Plaza</w:t>
      </w:r>
      <w:r>
        <w:rPr>
          <w:color w:val="000000"/>
        </w:rPr>
        <w:t>”</w:t>
      </w:r>
      <w:r>
        <w:rPr>
          <w:rFonts w:ascii="Times New Roman;sans-serif" w:hAnsi="Times New Roman;sans-serif"/>
          <w:b w:val="false"/>
          <w:color w:val="000000"/>
          <w:sz w:val="22"/>
        </w:rPr>
        <w:t xml:space="preserve">), as such document was posted with the Securities and Exchange Commission by the Company in its 8-K dated September 8, 2023.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Koons Real Estate Company</w:t>
      </w:r>
      <w:r>
        <w:rPr>
          <w:color w:val="000000"/>
        </w:rPr>
        <w:t xml:space="preserve">” </w:t>
      </w:r>
      <w:r>
        <w:rPr>
          <w:rFonts w:ascii="Times New Roman;sans-serif" w:hAnsi="Times New Roman;sans-serif"/>
          <w:b w:val="false"/>
          <w:color w:val="000000"/>
          <w:sz w:val="22"/>
        </w:rPr>
        <w:t xml:space="preserve">means each of the following as defined in the definition of Koons Purchase Agreement: Koons Real Properties, Annapolis Property Company, Baltimore Property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367665"/>
                <wp:effectExtent l="0" t="0" r="0" b="0"/>
                <wp:wrapNone/>
                <wp:docPr id="210" name="Frame20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Company, Rolling Roads Property Company, Alexandria Property Company, Easton Property Company, Falls Church Property Company, Hillwood Woodbridge Property Company, Reisterstown Property Company, Noblewood Property Company, Crown Property Company, Wilmington Property Company, Catonsville Property Company, Clarksville Property Company, Crown Tysons Property Company, Koons Tysons Property Company, Koons Legacy Property Company, Nottingham Property Company, Opitz Property Company, Route 1 Property Company and Westminster Property Company, Koons of Annapolis Toyota, Koons of Clarksville, Koons Kia and Hyundai, Koons Buick GMC Woodbridge, Koons Arlington Toyota, Koons Chevrolet, Management Company, Koons Tysons Corner, Koons Ford, and Koons Lexus of Wilmington, as the case may be, and collectively, they are the “</w:t>
      </w:r>
      <w:r>
        <w:rPr>
          <w:rFonts w:ascii="Times New Roman;sans-serif" w:hAnsi="Times New Roman;sans-serif"/>
          <w:b w:val="false"/>
          <w:color w:val="000000"/>
          <w:sz w:val="22"/>
          <w:u w:val="single"/>
        </w:rPr>
        <w:t>Koons Real Estate Companies</w:t>
      </w:r>
      <w:r>
        <w:rPr>
          <w:color w:val="000000"/>
        </w:rPr>
        <w:t>”</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Koons Restricted Subsidiaries</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4.02(i)(i)</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Koons Sellers</w:t>
      </w:r>
      <w:r>
        <w:rPr>
          <w:color w:val="000000"/>
        </w:rPr>
        <w:t xml:space="preserve">” </w:t>
      </w:r>
      <w:r>
        <w:rPr>
          <w:rFonts w:ascii="Times New Roman;sans-serif" w:hAnsi="Times New Roman;sans-serif"/>
          <w:b w:val="false"/>
          <w:color w:val="000000"/>
          <w:sz w:val="22"/>
        </w:rPr>
        <w:t>means the Koons Management Company, the Koons Dealership Companies, and the Koons Real Estate Companies.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Landlord Waiver</w:t>
      </w:r>
      <w:r>
        <w:rPr>
          <w:color w:val="000000"/>
        </w:rPr>
        <w:t xml:space="preserve">” </w:t>
      </w:r>
      <w:r>
        <w:rPr>
          <w:rFonts w:ascii="Times New Roman;sans-serif" w:hAnsi="Times New Roman;sans-serif"/>
          <w:b w:val="false"/>
          <w:color w:val="000000"/>
          <w:sz w:val="22"/>
        </w:rPr>
        <w:t>means, as to any leasehold interest of a Loan Party, a landlord waiver and consent agreement executed by the landlord of such leasehold interest, in each case in form and substance reasonably satisfactory to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Laws</w:t>
      </w:r>
      <w:r>
        <w:rPr>
          <w:color w:val="000000"/>
        </w:rPr>
        <w:t xml:space="preserve">” </w:t>
      </w:r>
      <w:r>
        <w:rPr>
          <w:rFonts w:ascii="Times New Roman;sans-serif" w:hAnsi="Times New Roman;sans-serif"/>
          <w:b w:val="false"/>
          <w:color w:val="000000"/>
          <w:sz w:val="22"/>
        </w:rPr>
        <w:t>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L/C Advance</w:t>
      </w:r>
      <w:r>
        <w:rPr>
          <w:color w:val="000000"/>
        </w:rPr>
        <w:t xml:space="preserve">” </w:t>
      </w:r>
      <w:r>
        <w:rPr>
          <w:rFonts w:ascii="Times New Roman;sans-serif" w:hAnsi="Times New Roman;sans-serif"/>
          <w:b w:val="false"/>
          <w:color w:val="000000"/>
          <w:sz w:val="22"/>
        </w:rPr>
        <w:t>means, with respect to each Lender, such Lender’s funding of its participation in any L/C Borrowing in accordance with its Applicable Percentage.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L/C Borrowing</w:t>
      </w:r>
      <w:r>
        <w:rPr>
          <w:color w:val="000000"/>
        </w:rPr>
        <w:t xml:space="preserve">” </w:t>
      </w:r>
      <w:r>
        <w:rPr>
          <w:rFonts w:ascii="Times New Roman;sans-serif" w:hAnsi="Times New Roman;sans-serif"/>
          <w:b w:val="false"/>
          <w:color w:val="000000"/>
          <w:sz w:val="22"/>
        </w:rPr>
        <w:t>means an extension of credit resulting from a drawing under any Letter of Credit which has not been reimbursed on the date when made or refinanced as a Committed Borrowing.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L/C Commitment</w:t>
      </w:r>
      <w:r>
        <w:rPr>
          <w:color w:val="000000"/>
        </w:rPr>
        <w:t xml:space="preserve">” </w:t>
      </w:r>
      <w:r>
        <w:rPr>
          <w:rFonts w:ascii="Times New Roman;sans-serif" w:hAnsi="Times New Roman;sans-serif"/>
          <w:b w:val="false"/>
          <w:color w:val="000000"/>
          <w:sz w:val="22"/>
        </w:rPr>
        <w:t xml:space="preserve">means, with respect to each L/C Issuer, the commitment of such L/C Issuer to issue Letters of Credit hereunder. The initial amount of each L/C Issuer’s Letter of Credit Commitment is set forth on </w:t>
      </w:r>
      <w:r>
        <w:rPr>
          <w:rFonts w:ascii="Times New Roman;sans-serif" w:hAnsi="Times New Roman;sans-serif"/>
          <w:b w:val="false"/>
          <w:color w:val="000000"/>
          <w:sz w:val="22"/>
          <w:u w:val="single"/>
        </w:rPr>
        <w:t>Schedule 2.03A</w:t>
      </w:r>
      <w:r>
        <w:rPr>
          <w:rFonts w:ascii="Times New Roman;sans-serif" w:hAnsi="Times New Roman;sans-serif"/>
          <w:b w:val="false"/>
          <w:color w:val="000000"/>
          <w:sz w:val="22"/>
        </w:rPr>
        <w:t xml:space="preserve">, or if an L/C Issuer has entered into an Assignment and Assumption or has otherwise assumed a Letter of Credit Commitment after the Closing Date, the amount set forth for such L/C Issuer as its Letter of Credit Commitment in the Register maintained by the Administrative Agent. The Letter of Credit Commitment of an L/C Issuer may be modified from time to time by agreement between such L/C Issuer and the Company, and notified to the Administrative Agent.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L/C Credit Extension</w:t>
      </w:r>
      <w:r>
        <w:rPr>
          <w:color w:val="000000"/>
        </w:rPr>
        <w:t xml:space="preserve">” </w:t>
      </w:r>
      <w:r>
        <w:rPr>
          <w:rFonts w:ascii="Times New Roman;sans-serif" w:hAnsi="Times New Roman;sans-serif"/>
          <w:b w:val="false"/>
          <w:color w:val="000000"/>
          <w:sz w:val="22"/>
        </w:rPr>
        <w:t>means, with respect to any Letter of Credit, the issuance thereof or extension of the expiry date thereof, or the increase of the amount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L/C Disbursement</w:t>
      </w:r>
      <w:r>
        <w:rPr>
          <w:color w:val="000000"/>
        </w:rPr>
        <w:t xml:space="preserve">” </w:t>
      </w:r>
      <w:r>
        <w:rPr>
          <w:rFonts w:ascii="Times New Roman;sans-serif" w:hAnsi="Times New Roman;sans-serif"/>
          <w:b w:val="false"/>
          <w:color w:val="000000"/>
          <w:sz w:val="22"/>
        </w:rPr>
        <w:t>means a payment made by an L/C Issuer pursuant to a Letter of Credit.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L/C Issuer</w:t>
      </w:r>
      <w:r>
        <w:rPr>
          <w:color w:val="000000"/>
        </w:rPr>
        <w:t xml:space="preserve">” </w:t>
      </w:r>
      <w:r>
        <w:rPr>
          <w:rFonts w:ascii="Times New Roman;sans-serif" w:hAnsi="Times New Roman;sans-serif"/>
          <w:b w:val="false"/>
          <w:color w:val="000000"/>
          <w:sz w:val="22"/>
        </w:rPr>
        <w:t xml:space="preserve">means (a) Bank of America in its capacity as an issuer of Letters of Credit hereunder, or any successor to Bank of America in its capacity as an issuer of Letters of Credit hereunder and (b) not more than one additional Lender, selected by the Company and reasonably acceptable to the Administrative Agent, which consents to its appointment by the Company as an issuer of Letters of Credit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367665"/>
                <wp:effectExtent l="0" t="0" r="0" b="0"/>
                <wp:wrapNone/>
                <wp:docPr id="211" name="Frame20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hereunder and becomes an L/C Issuer hereunder pursuant to a joinder agreement in form and substance reasonably satisfactory to the Administrative Agent and its counsel, in such Lender’s capacity as an issuer of Letters of Credit hereunder or any successor to such Lender in its capacity as an issuer of Letters of Credit hereunder. Any L/C Issuer may, in its discretion, arrange for one or more Letters of Credit to be issued by Affiliates of such L/C Issuer, in which case the term “L/C Issuer” shall include any such Affiliate with respect to Letters of Credit issued by such Affiliate. All singular references to the L/C Issuer shall mean any L/C Issuer, the L/C Issuer that has issued the applicable Letter of Credit or all L/C Issuers, as the context may require.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L/C Obligations</w:t>
      </w:r>
      <w:r>
        <w:rPr>
          <w:color w:val="000000"/>
        </w:rPr>
        <w:t xml:space="preserve">” </w:t>
      </w:r>
      <w:r>
        <w:rPr>
          <w:rFonts w:ascii="Times New Roman;sans-serif" w:hAnsi="Times New Roman;sans-serif"/>
          <w:b w:val="false"/>
          <w:color w:val="000000"/>
          <w:sz w:val="22"/>
        </w:rPr>
        <w:t xml:space="preserve">means, as at any date of determination, the aggregate amount available to be drawn under all outstanding Letters of Credit at such time, including any automatic or scheduled increases provided for by the terms of such Letters of Credit, determined without regard to whether any conditions to drawing could be met at that time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the aggregate amount of all Unreimbursed Amounts, including all L/C Borrowings. The L/C Obligations of any Lender at any time shall be its Applicable Revolving Percentage of the total L/C Obligations at such time. For all purposes of this Agreement, if on any date of determination a Letter of Credit has expired by its terms but any amount may still be drawn thereunder by reason of the operation of Article 29(a) of the UCP or Rule 3.13 or Rule 3.14 of the ISP or similar terms of the Letter of Credit itself, or if compliant documents have been presented but not yet honored, such Letter of Credit shall be deemed to be “outstanding” and “undrawn” in the amount so remaining available to be paid, and the obligations of the Borrowers and each Lender shall remain in full force and effect until the L/C Issuers and the Lenders shall have no further obligations to make any payments or disbursements under any circumstances with respect to any Letter of Credit.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Lender</w:t>
      </w:r>
      <w:r>
        <w:rPr>
          <w:color w:val="000000"/>
        </w:rPr>
        <w:t xml:space="preserve">” </w:t>
      </w:r>
      <w:r>
        <w:rPr>
          <w:rFonts w:ascii="Times New Roman;sans-serif" w:hAnsi="Times New Roman;sans-serif"/>
          <w:b w:val="false"/>
          <w:color w:val="000000"/>
          <w:sz w:val="22"/>
        </w:rPr>
        <w:t>has the meaning specified in the introductory paragraph hereto and, as the context requires, includes the Swing Line Lender.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Lender Party</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Lender Recipient Party</w:t>
      </w:r>
      <w:r>
        <w:rPr>
          <w:color w:val="000000"/>
        </w:rPr>
        <w:t xml:space="preserve">” </w:t>
      </w:r>
      <w:r>
        <w:rPr>
          <w:rFonts w:ascii="Times New Roman;sans-serif" w:hAnsi="Times New Roman;sans-serif"/>
          <w:b w:val="false"/>
          <w:color w:val="000000"/>
          <w:sz w:val="22"/>
        </w:rPr>
        <w:t>means collectively, the Lenders, the Swing Line Lenders and the L/C Issuers.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Lending Office</w:t>
      </w:r>
      <w:r>
        <w:rPr>
          <w:color w:val="000000"/>
        </w:rPr>
        <w:t xml:space="preserve">” </w:t>
      </w:r>
      <w:r>
        <w:rPr>
          <w:rFonts w:ascii="Times New Roman;sans-serif" w:hAnsi="Times New Roman;sans-serif"/>
          <w:b w:val="false"/>
          <w:color w:val="000000"/>
          <w:sz w:val="22"/>
        </w:rPr>
        <w:t>means, as to any Lender, the office or offices of such Lender described as such in such Lender’s Administrative Questionnaire, or such other office or offices as a Lender may from time to time notify the Company and the Administrative Agent, which office may include any Affiliate of such Lender or any domestic or foreign branch of such Lender or such Affiliate. Unless the context otherwise requires each reference to a Lender shall include its applicable Lending Office.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Letter of Credit</w:t>
      </w:r>
      <w:r>
        <w:rPr>
          <w:color w:val="000000"/>
        </w:rPr>
        <w:t xml:space="preserve">” </w:t>
      </w:r>
      <w:r>
        <w:rPr>
          <w:rFonts w:ascii="Times New Roman;sans-serif" w:hAnsi="Times New Roman;sans-serif"/>
          <w:b w:val="false"/>
          <w:color w:val="000000"/>
          <w:sz w:val="22"/>
        </w:rPr>
        <w:t>means any standby letter of credit issued hereunder providing for the payment of cash upon the honoring of a presentation thereunder and shall include the Existing Letters of Credit.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Letter of Credit Application</w:t>
      </w:r>
      <w:r>
        <w:rPr>
          <w:color w:val="000000"/>
        </w:rPr>
        <w:t xml:space="preserve">” </w:t>
      </w:r>
      <w:r>
        <w:rPr>
          <w:rFonts w:ascii="Times New Roman;sans-serif" w:hAnsi="Times New Roman;sans-serif"/>
          <w:b w:val="false"/>
          <w:color w:val="000000"/>
          <w:sz w:val="22"/>
        </w:rPr>
        <w:t>means an application and agreement for the issuance or amendment of a Letter of Credit in the form from time to time in use by the applicable L/C Issuer.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Letter of Credit Expiration Date</w:t>
      </w:r>
      <w:r>
        <w:rPr>
          <w:color w:val="000000"/>
        </w:rPr>
        <w:t xml:space="preserve">” </w:t>
      </w:r>
      <w:r>
        <w:rPr>
          <w:rFonts w:ascii="Times New Roman;sans-serif" w:hAnsi="Times New Roman;sans-serif"/>
          <w:b w:val="false"/>
          <w:color w:val="000000"/>
          <w:sz w:val="22"/>
        </w:rPr>
        <w:t>means the day that is fifteen days prior to the Maturity Date then in effect (or, if such day is not a Business Day, the next preceding Business Day).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Letter of Credit Fee</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2.03(i)</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Letter of Credit Sublimit</w:t>
      </w:r>
      <w:r>
        <w:rPr>
          <w:color w:val="000000"/>
        </w:rPr>
        <w:t xml:space="preserve">” </w:t>
      </w:r>
      <w:r>
        <w:rPr>
          <w:rFonts w:ascii="Times New Roman;sans-serif" w:hAnsi="Times New Roman;sans-serif"/>
          <w:b w:val="false"/>
          <w:color w:val="000000"/>
          <w:sz w:val="22"/>
        </w:rPr>
        <w:t>means an amount equal to $50,000,000. The Letter of Credit Sublimit is part of, and not in addition to, the Aggregate Revolving Commitments.</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367665"/>
                <wp:effectExtent l="0" t="0" r="0" b="0"/>
                <wp:wrapNone/>
                <wp:docPr id="212" name="Frame20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Lien</w:t>
      </w:r>
      <w:r>
        <w:rPr>
          <w:color w:val="000000"/>
        </w:rPr>
        <w:t xml:space="preserve">” </w:t>
      </w:r>
      <w:r>
        <w:rPr>
          <w:rFonts w:ascii="Times New Roman;sans-serif" w:hAnsi="Times New Roman;sans-serif"/>
          <w:b w:val="false"/>
          <w:color w:val="000000"/>
          <w:sz w:val="22"/>
        </w:rPr>
        <w:t>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Limited Condition Acquisition</w:t>
      </w:r>
      <w:r>
        <w:rPr>
          <w:color w:val="000000"/>
        </w:rPr>
        <w:t xml:space="preserve">” </w:t>
      </w:r>
      <w:r>
        <w:rPr>
          <w:rFonts w:ascii="Times New Roman;sans-serif" w:hAnsi="Times New Roman;sans-serif"/>
          <w:b w:val="false"/>
          <w:color w:val="000000"/>
          <w:sz w:val="22"/>
        </w:rPr>
        <w:t>shall mean any Acquisition that (a) is not prohibited hereunder, (b) is financed in whole or in part with a substantially concurrent incurrence of Indebtedness, and (c) is not conditioned on the availability of, or on obtaining, third-party financing.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Loan</w:t>
      </w:r>
      <w:r>
        <w:rPr>
          <w:color w:val="000000"/>
        </w:rPr>
        <w:t xml:space="preserve">” </w:t>
      </w:r>
      <w:r>
        <w:rPr>
          <w:rFonts w:ascii="Times New Roman;sans-serif" w:hAnsi="Times New Roman;sans-serif"/>
          <w:b w:val="false"/>
          <w:color w:val="000000"/>
          <w:sz w:val="22"/>
        </w:rPr>
        <w:t>means a Revolving Loan, a New Vehicle Floorplan Loan or a Used Vehicle Floorplan Loan, as the context may require.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Loan Documents</w:t>
      </w:r>
      <w:r>
        <w:rPr>
          <w:color w:val="000000"/>
        </w:rPr>
        <w:t xml:space="preserve">” </w:t>
      </w:r>
      <w:r>
        <w:rPr>
          <w:rFonts w:ascii="Times New Roman;sans-serif" w:hAnsi="Times New Roman;sans-serif"/>
          <w:b w:val="false"/>
          <w:color w:val="000000"/>
          <w:sz w:val="22"/>
        </w:rPr>
        <w:t xml:space="preserve">means this Agreement, including schedules and exhibits hereto, each Note, each Issuer Document, each Security Instrument, the Guaranties, any agreement creating or perfecting rights in Cash Collateral pursuant to the provisions of </w:t>
      </w:r>
      <w:r>
        <w:rPr>
          <w:rFonts w:ascii="Times New Roman;sans-serif" w:hAnsi="Times New Roman;sans-serif"/>
          <w:b w:val="false"/>
          <w:color w:val="000000"/>
          <w:sz w:val="22"/>
          <w:u w:val="single"/>
        </w:rPr>
        <w:t>Section 2.26</w:t>
      </w:r>
      <w:r>
        <w:rPr>
          <w:color w:val="000000"/>
        </w:rPr>
        <w:t xml:space="preserve"> </w:t>
      </w:r>
      <w:r>
        <w:rPr>
          <w:rFonts w:ascii="Times New Roman;sans-serif" w:hAnsi="Times New Roman;sans-serif"/>
          <w:b w:val="false"/>
          <w:color w:val="000000"/>
          <w:sz w:val="22"/>
        </w:rPr>
        <w:t>of this Agreement, each Fee Letter, any Autoborrow Agreement, and any amendments, modifications or supplements hereto or to any other Loan Document or waivers hereof or to any other Loan Document.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Loan Parties</w:t>
      </w:r>
      <w:r>
        <w:rPr>
          <w:color w:val="000000"/>
        </w:rPr>
        <w:t xml:space="preserve">” </w:t>
      </w:r>
      <w:r>
        <w:rPr>
          <w:rFonts w:ascii="Times New Roman;sans-serif" w:hAnsi="Times New Roman;sans-serif"/>
          <w:b w:val="false"/>
          <w:color w:val="000000"/>
          <w:sz w:val="22"/>
        </w:rPr>
        <w:t>means, collectively, the Company, each Vehicle Borrower, each Guarantor, and each Person (other than the Administrative Agent, any Lender or any landlord executing a Landlord Waiver) executing a Security Instrument.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Loan Repayments From Offset</w:t>
      </w:r>
      <w:r>
        <w:rPr>
          <w:color w:val="000000"/>
        </w:rPr>
        <w:t xml:space="preserve">” </w:t>
      </w:r>
      <w:r>
        <w:rPr>
          <w:rFonts w:ascii="Times New Roman;sans-serif" w:hAnsi="Times New Roman;sans-serif"/>
          <w:b w:val="false"/>
          <w:color w:val="000000"/>
          <w:sz w:val="24"/>
        </w:rPr>
        <w:t xml:space="preserve">means </w:t>
      </w:r>
      <w:r>
        <w:rPr>
          <w:rFonts w:ascii="Times New Roman;sans-serif" w:hAnsi="Times New Roman;sans-serif"/>
          <w:b w:val="false"/>
          <w:color w:val="000000"/>
          <w:sz w:val="22"/>
        </w:rPr>
        <w:t xml:space="preserve">amounts actually distributed by the Administrative Agent to Lenders pursuant to </w:t>
      </w:r>
      <w:r>
        <w:rPr>
          <w:rFonts w:ascii="Times New Roman;sans-serif" w:hAnsi="Times New Roman;sans-serif"/>
          <w:b w:val="false"/>
          <w:color w:val="000000"/>
          <w:sz w:val="22"/>
          <w:u w:val="single"/>
        </w:rPr>
        <w:t>Section 2.09(b)(ii)</w:t>
      </w:r>
      <w:r>
        <w:rPr>
          <w:color w:val="000000"/>
        </w:rPr>
        <w:t xml:space="preserve"> </w:t>
      </w:r>
      <w:r>
        <w:rPr>
          <w:rFonts w:ascii="Times New Roman;sans-serif" w:hAnsi="Times New Roman;sans-serif"/>
          <w:b w:val="false"/>
          <w:color w:val="000000"/>
          <w:sz w:val="22"/>
        </w:rPr>
        <w:t>to repay Committed Loans.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Loan Year</w:t>
      </w:r>
      <w:r>
        <w:rPr>
          <w:color w:val="000000"/>
        </w:rPr>
        <w:t xml:space="preserve">” </w:t>
      </w:r>
      <w:r>
        <w:rPr>
          <w:rFonts w:ascii="Times New Roman;sans-serif" w:hAnsi="Times New Roman;sans-serif"/>
          <w:b w:val="false"/>
          <w:color w:val="000000"/>
          <w:sz w:val="22"/>
        </w:rPr>
        <w:t>means each 12 month period commencing on (but excluding) the Closing Date (or an Anniversary Date) and ending on (and including) the next succeeding Anniversary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Manufacturer</w:t>
      </w:r>
      <w:r>
        <w:rPr>
          <w:color w:val="000000"/>
        </w:rPr>
        <w:t xml:space="preserve">” </w:t>
      </w:r>
      <w:r>
        <w:rPr>
          <w:rFonts w:ascii="Times New Roman;sans-serif" w:hAnsi="Times New Roman;sans-serif"/>
          <w:b w:val="false"/>
          <w:color w:val="000000"/>
          <w:sz w:val="22"/>
        </w:rPr>
        <w:t xml:space="preserve">means the manufacturer of, or a manufacturer-appointed wholesale distributor of, Inventory.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Material Acquisition</w:t>
      </w:r>
      <w:r>
        <w:rPr>
          <w:color w:val="000000"/>
        </w:rPr>
        <w:t xml:space="preserve">” </w:t>
      </w:r>
      <w:r>
        <w:rPr>
          <w:rFonts w:ascii="Times New Roman;sans-serif" w:hAnsi="Times New Roman;sans-serif"/>
          <w:b w:val="false"/>
          <w:color w:val="000000"/>
          <w:sz w:val="22"/>
        </w:rPr>
        <w:t xml:space="preserve">means any Acquisition by the Company or any Subsidiary that (a) has a Cost of Acquisition greater than $100,000,000, or (b) the Company has determined (in its sole discretion) to constitute a Material Acquisition.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Material Adverse Effect</w:t>
      </w:r>
      <w:r>
        <w:rPr>
          <w:color w:val="000000"/>
        </w:rPr>
        <w:t xml:space="preserve">” </w:t>
      </w:r>
      <w:r>
        <w:rPr>
          <w:rFonts w:ascii="Times New Roman;sans-serif" w:hAnsi="Times New Roman;sans-serif"/>
          <w:b w:val="false"/>
          <w:color w:val="000000"/>
          <w:sz w:val="22"/>
        </w:rPr>
        <w:t>means (a) a material adverse change in, or a material adverse effect upon, the operations, business, properties, liabilities (actual or contingent), or financial condition of the Company and its Subsidiaries taken as a whole; (b) a material impairment of the rights and remedies of the Administrative Agent or any Lender under any Loan Document, or of ability of the Loan Parties taken as a whole to perform their respective obligations under the respective Loan Documents to which any of them is a party; or (c) a material adverse effect upon the legality, validity, binding effect or enforceability against the Loan Parties taken as a whole of the Loan Documents.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Material Disposition</w:t>
      </w:r>
      <w:r>
        <w:rPr>
          <w:color w:val="000000"/>
        </w:rPr>
        <w:t xml:space="preserve">” </w:t>
      </w:r>
      <w:r>
        <w:rPr>
          <w:rFonts w:ascii="Times New Roman;sans-serif" w:hAnsi="Times New Roman;sans-serif"/>
          <w:b w:val="false"/>
          <w:color w:val="000000"/>
          <w:sz w:val="22"/>
        </w:rPr>
        <w:t xml:space="preserve">means any Disposition by the Company or any Subsidiary that (a) has Disposition Proceeds greater than $75,000,000, (b) results in a decrease in the aggregate of the Revolving Borrowing Base or the Used Vehicle Floorplan Borrowing Base by more than ten percent (10%), or (c) the Company has determined (in its sole discretion ) to constitute a Material Disposition.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367665"/>
                <wp:effectExtent l="0" t="0" r="0" b="0"/>
                <wp:wrapNone/>
                <wp:docPr id="213" name="Frame20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Maturity Date</w:t>
      </w:r>
      <w:r>
        <w:rPr>
          <w:color w:val="000000"/>
        </w:rPr>
        <w:t xml:space="preserve">” </w:t>
      </w:r>
      <w:r>
        <w:rPr>
          <w:rFonts w:ascii="Times New Roman;sans-serif" w:hAnsi="Times New Roman;sans-serif"/>
          <w:b w:val="false"/>
          <w:color w:val="000000"/>
          <w:sz w:val="22"/>
        </w:rPr>
        <w:t xml:space="preserve">means the later of (a) October 20, 2028 and (b) if maturity is extended pursuant to </w:t>
      </w:r>
      <w:r>
        <w:rPr>
          <w:rFonts w:ascii="Times New Roman;sans-serif" w:hAnsi="Times New Roman;sans-serif"/>
          <w:b w:val="false"/>
          <w:color w:val="000000"/>
          <w:sz w:val="22"/>
          <w:u w:val="single"/>
        </w:rPr>
        <w:t>Section 2.23</w:t>
      </w:r>
      <w:r>
        <w:rPr>
          <w:rFonts w:ascii="Times New Roman;sans-serif" w:hAnsi="Times New Roman;sans-serif"/>
          <w:b w:val="false"/>
          <w:color w:val="000000"/>
          <w:sz w:val="22"/>
        </w:rPr>
        <w:t xml:space="preserve">, such extended maturity date as determined pursuant to such Section,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“Maturity Date” with respect to any Non-Extending Lender (including with respect to the payment of Obligations owing to such Lender and the Availability Period for Loans by such Lender) shall be the latest date that such Lender has consented to as its Maturity Date pursuant to </w:t>
      </w:r>
      <w:r>
        <w:rPr>
          <w:rFonts w:ascii="Times New Roman;sans-serif" w:hAnsi="Times New Roman;sans-serif"/>
          <w:b w:val="false"/>
          <w:color w:val="000000"/>
          <w:sz w:val="22"/>
          <w:u w:val="single"/>
        </w:rPr>
        <w:t>Section 2.23</w:t>
      </w:r>
      <w:r>
        <w:rPr>
          <w:color w:val="000000"/>
        </w:rPr>
        <w:t xml:space="preserve"> </w:t>
      </w:r>
      <w:r>
        <w:rPr>
          <w:rFonts w:ascii="Times New Roman;sans-serif" w:hAnsi="Times New Roman;sans-serif"/>
          <w:b w:val="false"/>
          <w:color w:val="000000"/>
          <w:sz w:val="22"/>
        </w:rPr>
        <w:t xml:space="preserve">(or, if such Lender has not consented to any such extension, the original Maturity Date as in effect on the Closing Date); </w:t>
      </w:r>
      <w:r>
        <w:rPr>
          <w:rFonts w:ascii="Times New Roman;sans-serif" w:hAnsi="Times New Roman;sans-serif"/>
          <w:b w:val="false"/>
          <w:color w:val="000000"/>
          <w:sz w:val="22"/>
          <w:u w:val="single"/>
        </w:rPr>
        <w:t>provided further</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in each case, if such date is not a Business Day, the respective Maturity Date shall be the next preceding Business Day. Except as otherwise set forth in the first proviso to this definition, references to the Maturity Date (including references to such term in the definitions of “Letter of Credit Expiration Date” and “Subordinated Indebtedness” and </w:t>
      </w:r>
      <w:r>
        <w:rPr>
          <w:rFonts w:ascii="Times New Roman;sans-serif" w:hAnsi="Times New Roman;sans-serif"/>
          <w:b w:val="false"/>
          <w:color w:val="000000"/>
          <w:sz w:val="22"/>
          <w:u w:val="single"/>
        </w:rPr>
        <w:t>Section 7.01(m)</w:t>
      </w:r>
      <w:r>
        <w:rPr>
          <w:rFonts w:ascii="Times New Roman;sans-serif" w:hAnsi="Times New Roman;sans-serif"/>
          <w:b w:val="false"/>
          <w:color w:val="000000"/>
          <w:sz w:val="22"/>
        </w:rPr>
        <w:t xml:space="preserve">) shall mean the latest date that any Lender has consented to as its Maturity Date pursuant to </w:t>
      </w:r>
      <w:r>
        <w:rPr>
          <w:rFonts w:ascii="Times New Roman;sans-serif" w:hAnsi="Times New Roman;sans-serif"/>
          <w:b w:val="false"/>
          <w:color w:val="000000"/>
          <w:sz w:val="22"/>
          <w:u w:val="single"/>
        </w:rPr>
        <w:t>Section 2.23</w:t>
      </w:r>
      <w:r>
        <w:rPr>
          <w:color w:val="000000"/>
        </w:rPr>
        <w:t xml:space="preserve"> </w:t>
      </w:r>
      <w:r>
        <w:rPr>
          <w:rFonts w:ascii="Times New Roman;sans-serif" w:hAnsi="Times New Roman;sans-serif"/>
          <w:b w:val="false"/>
          <w:color w:val="000000"/>
          <w:sz w:val="22"/>
        </w:rPr>
        <w:t>(or, if there has been no such extension, the original Maturity Date as in effect on the Closing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Moody’s</w:t>
      </w:r>
      <w:r>
        <w:rPr>
          <w:color w:val="000000"/>
        </w:rPr>
        <w:t xml:space="preserve">” </w:t>
      </w:r>
      <w:r>
        <w:rPr>
          <w:rFonts w:ascii="Times New Roman;sans-serif" w:hAnsi="Times New Roman;sans-serif"/>
          <w:b w:val="false"/>
          <w:color w:val="000000"/>
          <w:sz w:val="22"/>
        </w:rPr>
        <w:t>means Moody’s Investors Service, Inc. and any successor 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Multiemployer Plan</w:t>
      </w:r>
      <w:r>
        <w:rPr>
          <w:color w:val="000000"/>
        </w:rPr>
        <w:t xml:space="preserve">” </w:t>
      </w:r>
      <w:r>
        <w:rPr>
          <w:rFonts w:ascii="Times New Roman;sans-serif" w:hAnsi="Times New Roman;sans-serif"/>
          <w:b w:val="false"/>
          <w:color w:val="000000"/>
          <w:sz w:val="22"/>
        </w:rPr>
        <w:t>means any employee benefit plan of the type described in Section 4001(a)(3) of ERISA, to which the Company or any ERISA Affiliate makes or is obligated to make contributions, or during the preceding five plan years, has made or been obligated to make contributions.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Multiple Employer Plan</w:t>
      </w:r>
      <w:r>
        <w:rPr>
          <w:color w:val="000000"/>
        </w:rPr>
        <w:t xml:space="preserve">” </w:t>
      </w:r>
      <w:r>
        <w:rPr>
          <w:rFonts w:ascii="Times New Roman;sans-serif" w:hAnsi="Times New Roman;sans-serif"/>
          <w:b w:val="false"/>
          <w:color w:val="000000"/>
          <w:sz w:val="22"/>
        </w:rPr>
        <w:t>means a Plan which has two or more contributing sponsors (including the Company or any ERISA Affiliate) at least two of whom are not under common control, as such a plan is described in Section 4064 of ERISA.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Net Book Value</w:t>
      </w:r>
      <w:r>
        <w:rPr>
          <w:color w:val="000000"/>
        </w:rPr>
        <w:t xml:space="preserve">” </w:t>
      </w:r>
      <w:r>
        <w:rPr>
          <w:rFonts w:ascii="Times New Roman;sans-serif" w:hAnsi="Times New Roman;sans-serif"/>
          <w:b w:val="false"/>
          <w:color w:val="000000"/>
          <w:sz w:val="22"/>
        </w:rPr>
        <w:t xml:space="preserve">means, (i) for any Eligible Account, the gross amount of such Eligible Account less (to the extent not otherwise deducted in calculating such gross amount, and without duplication) sales, excise or similar taxes, and less returns, discounts, claims, credits, allowances, accrued rebates, offsets, deductions, bad debts, reserves, counterclaims, disputes and other defenses of any nature at any time issued, owing, granted, outstanding, available or claimed in respect of such Eligible Account, (ii) for any Eligible Parts and Accessories Inventory, the lower of cost or market, net of reserves, (iii) for any Eligible Equipment, the then-current net book value (after deducting all accumulated depreciation and amortization of such Eligible Equipment through the date of measurement) of such Eligible Equipment, (iv) for any Eligible Contract-in-Transit, the then-current net book value of such Eligible Contract-in-Transit, (v) for any Eligible New Vehicle Inventory, the then-current net book value of such Eligible New Vehicle Inventory, and (vi) for any Eligible Used Vehicle Inventory, (A) the then-current net book value of such Eligible Used Vehicle Inventory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(B) the then-current net book value of any associated Used Vehicle Liens payable (other than Liens created by the Loan Documents), in each case, as reflected (as of the date of determination) on the books of the Company and its Subsidiaries in accordance with GAAP.</w:t>
      </w:r>
    </w:p>
    <w:p>
      <w:pPr>
        <w:pStyle w:val="TextBody"/>
        <w:bidi w:val="0"/>
        <w:spacing w:lineRule="auto" w:line="288"/>
        <w:ind w:left="0" w:right="0" w:firstLine="720"/>
        <w:jc w:val="both"/>
        <w:rPr/>
      </w:pPr>
      <w:r>
        <w:rPr>
          <w:color w:val="000000"/>
        </w:rPr>
        <w:t>“</w:t>
      </w:r>
      <w:r>
        <w:rPr>
          <w:rFonts w:ascii="Times New Roman;sans-serif" w:hAnsi="Times New Roman;sans-serif"/>
          <w:b w:val="false"/>
          <w:color w:val="000000"/>
          <w:sz w:val="22"/>
          <w:u w:val="single"/>
        </w:rPr>
        <w:t>Net Cash Proceeds</w:t>
      </w:r>
      <w:r>
        <w:rPr>
          <w:color w:val="000000"/>
        </w:rPr>
        <w:t xml:space="preserve">” </w:t>
      </w:r>
      <w:r>
        <w:rPr>
          <w:rFonts w:ascii="Times New Roman;sans-serif" w:hAnsi="Times New Roman;sans-serif"/>
          <w:b w:val="false"/>
          <w:color w:val="000000"/>
          <w:sz w:val="22"/>
        </w:rPr>
        <w:t xml:space="preserve">means the aggregate cash or cash equivalents proceeds received by any Loan Party or any Subsidiary in respect of any Disposition, any issuance of Equity Interests, Investment, Acquisition, or the incurrence or repayment of Indebtedness, net of (a) direct costs incurred in connection therewith (including, without limitation, legal, accounting and investment banking fees, and sales commissions), (b) taxes paid or payable as a result thereof and (c) in the case of any Disposition, the amount necessary to retire any Indebtedness secured by a Permitted Lien (ranking senior to any Lien of the Administrative Agent) on the related property; it being understood that “Net Cash Proceeds” shall include, without limitation, any cash or cash equivalents received upon the sale or other disposition of any non-cash consideration received by any Loan Party or any Subsidiary in any Disposition, any issuance of Equity Interests, Investment, Acquisition, or the incurrence or repayment of Indebtedness.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367665"/>
                <wp:effectExtent l="0" t="0" r="0" b="0"/>
                <wp:wrapNone/>
                <wp:docPr id="214" name="Frame20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41</w:t>
                      </w:r>
                    </w:p>
                    <w:p>
                      <w:pPr>
                        <w:pStyle w:val="TextBody"/>
                        <w:bidi w:val="0"/>
                        <w:spacing w:before="0" w:after="0"/>
                        <w:jc w:val="center"/>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New Vehicle</w:t>
      </w:r>
      <w:r>
        <w:rPr>
          <w:color w:val="000000"/>
        </w:rPr>
        <w:t xml:space="preserve">” </w:t>
      </w:r>
      <w:r>
        <w:rPr>
          <w:rFonts w:ascii="Times New Roman;sans-serif" w:hAnsi="Times New Roman;sans-serif"/>
          <w:b w:val="false"/>
          <w:color w:val="000000"/>
          <w:sz w:val="22"/>
        </w:rPr>
        <w:t>means a Vehicle which has (x) never been owned except by a manufacturer, distributor or dealer and (y) except in the case of a Vehicle which otherwise qualifies as a Demonstrator, Rental Vehicle or other mileaged Vehicle, has never been registered.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New Vehicle Autoborrow Agreement</w:t>
      </w:r>
      <w:r>
        <w:rPr>
          <w:color w:val="000000"/>
        </w:rPr>
        <w:t xml:space="preserve">” </w:t>
      </w:r>
      <w:r>
        <w:rPr>
          <w:rFonts w:ascii="Times New Roman;sans-serif" w:hAnsi="Times New Roman;sans-serif"/>
          <w:b w:val="false"/>
          <w:color w:val="000000"/>
          <w:sz w:val="22"/>
        </w:rPr>
        <w:t xml:space="preserve">shall have the meaning specified in </w:t>
      </w:r>
      <w:r>
        <w:rPr>
          <w:rFonts w:ascii="Times New Roman;sans-serif" w:hAnsi="Times New Roman;sans-serif"/>
          <w:b w:val="false"/>
          <w:color w:val="000000"/>
          <w:sz w:val="22"/>
          <w:u w:val="single"/>
        </w:rPr>
        <w:t>Section 2.07(c)</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New Vehicle Borrower</w:t>
      </w:r>
      <w:r>
        <w:rPr>
          <w:color w:val="000000"/>
        </w:rPr>
        <w:t xml:space="preserve">” </w:t>
      </w:r>
      <w:r>
        <w:rPr>
          <w:rFonts w:ascii="Times New Roman;sans-serif" w:hAnsi="Times New Roman;sans-serif"/>
          <w:b w:val="false"/>
          <w:color w:val="000000"/>
          <w:sz w:val="22"/>
        </w:rPr>
        <w:t>has the meaning specified in the introductory paragraph 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New Vehicle Event of Default</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8.03</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New Vehicle Floorplan Borrowing</w:t>
      </w:r>
      <w:r>
        <w:rPr>
          <w:color w:val="000000"/>
        </w:rPr>
        <w:t xml:space="preserve">” </w:t>
      </w:r>
      <w:r>
        <w:rPr>
          <w:rFonts w:ascii="Times New Roman;sans-serif" w:hAnsi="Times New Roman;sans-serif"/>
          <w:b w:val="false"/>
          <w:color w:val="000000"/>
          <w:sz w:val="22"/>
        </w:rPr>
        <w:t>means a New Vehicle Floorplan Committed Borrowing or a New Vehicle Floorplan Swing Line Borrowing, as the context may require.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New Vehicle Floorplan Commitment</w:t>
      </w:r>
      <w:r>
        <w:rPr>
          <w:color w:val="000000"/>
        </w:rPr>
        <w:t xml:space="preserve">” </w:t>
      </w:r>
      <w:r>
        <w:rPr>
          <w:rFonts w:ascii="Times New Roman;sans-serif" w:hAnsi="Times New Roman;sans-serif"/>
          <w:b w:val="false"/>
          <w:color w:val="000000"/>
          <w:sz w:val="22"/>
        </w:rPr>
        <w:t xml:space="preserve">means, as to each Lender, its obligation to (a) make New Vehicle Floorplan Committed Loans to the New Vehicle Borrowers pursuant to </w:t>
      </w:r>
      <w:r>
        <w:rPr>
          <w:rFonts w:ascii="Times New Roman;sans-serif" w:hAnsi="Times New Roman;sans-serif"/>
          <w:b w:val="false"/>
          <w:color w:val="000000"/>
          <w:sz w:val="22"/>
          <w:u w:val="single"/>
        </w:rPr>
        <w:t>Section 2.06</w:t>
      </w:r>
      <w:r>
        <w:rPr>
          <w:rFonts w:ascii="Times New Roman;sans-serif" w:hAnsi="Times New Roman;sans-serif"/>
          <w:b w:val="false"/>
          <w:color w:val="000000"/>
          <w:sz w:val="22"/>
        </w:rPr>
        <w:t xml:space="preserve">, and (b) purchase participations in New Vehicle Floorplan Swing Line Loans, in an aggregate principal amount at any one time outstanding not to exceed the amount set forth opposite such Lender’s name on </w:t>
      </w:r>
      <w:r>
        <w:rPr>
          <w:rFonts w:ascii="Times New Roman;sans-serif" w:hAnsi="Times New Roman;sans-serif"/>
          <w:b w:val="false"/>
          <w:color w:val="000000"/>
          <w:sz w:val="22"/>
          <w:u w:val="single"/>
        </w:rPr>
        <w:t>Schedule 2.01</w:t>
      </w:r>
      <w:r>
        <w:rPr>
          <w:color w:val="000000"/>
        </w:rPr>
        <w:t xml:space="preserve"> </w:t>
      </w:r>
      <w:r>
        <w:rPr>
          <w:rFonts w:ascii="Times New Roman;sans-serif" w:hAnsi="Times New Roman;sans-serif"/>
          <w:b w:val="false"/>
          <w:color w:val="000000"/>
          <w:sz w:val="22"/>
        </w:rPr>
        <w:t>or in the Assignment and Assumption pursuant to which such Lender becomes a party hereto, as applicable, as such amount may be adjusted from time to time in accordance with this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New Vehicle Floorplan Committed Borrowing</w:t>
      </w:r>
      <w:r>
        <w:rPr>
          <w:color w:val="000000"/>
        </w:rPr>
        <w:t xml:space="preserve">” </w:t>
      </w:r>
      <w:r>
        <w:rPr>
          <w:rFonts w:ascii="Times New Roman;sans-serif" w:hAnsi="Times New Roman;sans-serif"/>
          <w:b w:val="false"/>
          <w:color w:val="000000"/>
          <w:sz w:val="22"/>
        </w:rPr>
        <w:t xml:space="preserve">means a borrowing consisting of simultaneous New Vehicle Floorplan Committed Loans of the same Type made by each of the New Vehicle Floorplan Lenders pursuant to </w:t>
      </w:r>
      <w:r>
        <w:rPr>
          <w:rFonts w:ascii="Times New Roman;sans-serif" w:hAnsi="Times New Roman;sans-serif"/>
          <w:b w:val="false"/>
          <w:color w:val="000000"/>
          <w:sz w:val="22"/>
          <w:u w:val="single"/>
        </w:rPr>
        <w:t>Section 2.06</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New Vehicle Floorplan Committed Loan</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2.05</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New Vehicle Floorplan Committed Loan Notice</w:t>
      </w:r>
      <w:r>
        <w:rPr>
          <w:color w:val="000000"/>
        </w:rPr>
        <w:t xml:space="preserve">” </w:t>
      </w:r>
      <w:r>
        <w:rPr>
          <w:rFonts w:ascii="Times New Roman;sans-serif" w:hAnsi="Times New Roman;sans-serif"/>
          <w:b w:val="false"/>
          <w:color w:val="000000"/>
          <w:sz w:val="22"/>
        </w:rPr>
        <w:t xml:space="preserve">means a notice of (a) a New Vehicle Floorplan Committed Borrowing, or (b) a conversion of New Vehicle Floorplan Committed Loans from one Type to the other, pursuant to </w:t>
      </w:r>
      <w:r>
        <w:rPr>
          <w:rFonts w:ascii="Times New Roman;sans-serif" w:hAnsi="Times New Roman;sans-serif"/>
          <w:b w:val="false"/>
          <w:color w:val="000000"/>
          <w:sz w:val="22"/>
          <w:u w:val="single"/>
        </w:rPr>
        <w:t>Section 2.07</w:t>
      </w:r>
      <w:r>
        <w:rPr>
          <w:rFonts w:ascii="Times New Roman;sans-serif" w:hAnsi="Times New Roman;sans-serif"/>
          <w:b w:val="false"/>
          <w:color w:val="000000"/>
          <w:sz w:val="22"/>
        </w:rPr>
        <w:t xml:space="preserve">, which shall be substantially in the form of </w:t>
      </w:r>
      <w:r>
        <w:rPr>
          <w:rFonts w:ascii="Times New Roman;sans-serif" w:hAnsi="Times New Roman;sans-serif"/>
          <w:b w:val="false"/>
          <w:color w:val="000000"/>
          <w:sz w:val="22"/>
          <w:u w:val="single"/>
        </w:rPr>
        <w:t>Exhibit A-1</w:t>
      </w:r>
      <w:r>
        <w:rPr>
          <w:color w:val="000000"/>
        </w:rPr>
        <w:t xml:space="preserve"> </w:t>
      </w:r>
      <w:r>
        <w:rPr>
          <w:rFonts w:ascii="Times New Roman;sans-serif" w:hAnsi="Times New Roman;sans-serif"/>
          <w:b w:val="false"/>
          <w:color w:val="000000"/>
          <w:sz w:val="22"/>
        </w:rPr>
        <w:t>or such other form as may be approved by the Administrative Agent (including any form on an electronic platform or electronic transmission system as shall be approved by the Administrative Agent), appropriately completed and signed by a Responsible Officer of the Company.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New Vehicle Floorplan Facility</w:t>
      </w:r>
      <w:r>
        <w:rPr>
          <w:color w:val="000000"/>
        </w:rPr>
        <w:t xml:space="preserve">” </w:t>
      </w:r>
      <w:r>
        <w:rPr>
          <w:rFonts w:ascii="Times New Roman;sans-serif" w:hAnsi="Times New Roman;sans-serif"/>
          <w:b w:val="false"/>
          <w:color w:val="000000"/>
          <w:sz w:val="22"/>
        </w:rPr>
        <w:t xml:space="preserve">means the New Vehicle floorplan facility described in </w:t>
      </w:r>
      <w:r>
        <w:rPr>
          <w:rFonts w:ascii="Times New Roman;sans-serif" w:hAnsi="Times New Roman;sans-serif"/>
          <w:b w:val="false"/>
          <w:color w:val="000000"/>
          <w:sz w:val="22"/>
          <w:u w:val="single"/>
        </w:rPr>
        <w:t>Sections 2.05</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2.09</w:t>
      </w:r>
      <w:r>
        <w:rPr>
          <w:color w:val="000000"/>
        </w:rPr>
        <w:t xml:space="preserve"> </w:t>
      </w:r>
      <w:r>
        <w:rPr>
          <w:rFonts w:ascii="Times New Roman;sans-serif" w:hAnsi="Times New Roman;sans-serif"/>
          <w:b w:val="false"/>
          <w:color w:val="000000"/>
          <w:sz w:val="22"/>
        </w:rPr>
        <w:t>providing for New Vehicle Floorplan Loans to the New Vehicle Borrowers by the New Vehicle Floorplan Lenders.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New Vehicle Floorplan Lender</w:t>
      </w:r>
      <w:r>
        <w:rPr>
          <w:color w:val="000000"/>
        </w:rPr>
        <w:t xml:space="preserve">” </w:t>
      </w:r>
      <w:r>
        <w:rPr>
          <w:rFonts w:ascii="Times New Roman;sans-serif" w:hAnsi="Times New Roman;sans-serif"/>
          <w:b w:val="false"/>
          <w:color w:val="000000"/>
          <w:sz w:val="22"/>
        </w:rPr>
        <w:t>means each Lender that has a New Vehicle Floorplan Commitment or, following termination of the New Vehicle Floorplan Commitments, has New Vehicle Floorplan Loans outstanding.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New Vehicle Floorplan Loan</w:t>
      </w:r>
      <w:r>
        <w:rPr>
          <w:color w:val="000000"/>
        </w:rPr>
        <w:t xml:space="preserve">” </w:t>
      </w:r>
      <w:r>
        <w:rPr>
          <w:rFonts w:ascii="Times New Roman;sans-serif" w:hAnsi="Times New Roman;sans-serif"/>
          <w:b w:val="false"/>
          <w:color w:val="000000"/>
          <w:sz w:val="22"/>
        </w:rPr>
        <w:t>means an extension of credit by a New Vehicle Floorplan Lender to a New Vehicle Borrower under Article II in the form of a New Vehicle Floorplan Committed Loan (including any New Vehicle Floorplan Offset Account Advance) or a New Vehicle Floorplan Swing Line Loan.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New Vehicle Floorplan Note</w:t>
      </w:r>
      <w:r>
        <w:rPr>
          <w:color w:val="000000"/>
        </w:rPr>
        <w:t xml:space="preserve">” </w:t>
      </w:r>
      <w:r>
        <w:rPr>
          <w:rFonts w:ascii="Times New Roman;sans-serif" w:hAnsi="Times New Roman;sans-serif"/>
          <w:b w:val="false"/>
          <w:color w:val="000000"/>
          <w:sz w:val="22"/>
        </w:rPr>
        <w:t xml:space="preserve">means a promissory note made by the New Vehicle Borrowers in favor of a Lender evidencing New Vehicle Floorplan Loans made by such Lender, substantially in the form of </w:t>
      </w:r>
      <w:r>
        <w:rPr>
          <w:rFonts w:ascii="Times New Roman;sans-serif" w:hAnsi="Times New Roman;sans-serif"/>
          <w:b w:val="false"/>
          <w:color w:val="000000"/>
          <w:sz w:val="22"/>
          <w:u w:val="single"/>
        </w:rPr>
        <w:t>Exhibit C-2</w:t>
      </w:r>
      <w:r>
        <w:rPr>
          <w:rFonts w:ascii="Times New Roman;sans-serif" w:hAnsi="Times New Roman;sans-serif"/>
          <w:b w:val="false"/>
          <w:color w:val="000000"/>
          <w:sz w:val="22"/>
        </w:rPr>
        <w:t>.</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367665"/>
                <wp:effectExtent l="0" t="0" r="0" b="0"/>
                <wp:wrapNone/>
                <wp:docPr id="215" name="Frame21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New Vehicle Floorplan Offset Account</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2.09(b)(i)</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New Vehicle Floorplan Offset Account Advances</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2.09(b)(ii)</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New Vehicle Floorplan Operations Group</w:t>
      </w:r>
      <w:r>
        <w:rPr>
          <w:color w:val="000000"/>
        </w:rPr>
        <w:t xml:space="preserve">” </w:t>
      </w:r>
      <w:r>
        <w:rPr>
          <w:rFonts w:ascii="Times New Roman;sans-serif" w:hAnsi="Times New Roman;sans-serif"/>
          <w:b w:val="false"/>
          <w:color w:val="000000"/>
          <w:sz w:val="22"/>
        </w:rPr>
        <w:t xml:space="preserve">means the group at Bank of America that operates and administers the New Vehicle Floorplan Facility.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New Vehicle Floorplan Overdraft</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2.08</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New Vehicle Floorplan Swing Line</w:t>
      </w:r>
      <w:r>
        <w:rPr>
          <w:color w:val="000000"/>
        </w:rPr>
        <w:t xml:space="preserve">” </w:t>
      </w:r>
      <w:r>
        <w:rPr>
          <w:rFonts w:ascii="Times New Roman;sans-serif" w:hAnsi="Times New Roman;sans-serif"/>
          <w:b w:val="false"/>
          <w:color w:val="000000"/>
          <w:sz w:val="22"/>
        </w:rPr>
        <w:t xml:space="preserve">means the revolving credit facility made available by the New Vehicle Floorplan Swing Line Lender pursuant to </w:t>
      </w:r>
      <w:r>
        <w:rPr>
          <w:rFonts w:ascii="Times New Roman;sans-serif" w:hAnsi="Times New Roman;sans-serif"/>
          <w:b w:val="false"/>
          <w:color w:val="000000"/>
          <w:sz w:val="22"/>
          <w:u w:val="single"/>
        </w:rPr>
        <w:t>Section 2.07</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New Vehicle Floorplan Swing Line Borrowing</w:t>
      </w:r>
      <w:r>
        <w:rPr>
          <w:color w:val="000000"/>
        </w:rPr>
        <w:t xml:space="preserve">” </w:t>
      </w:r>
      <w:r>
        <w:rPr>
          <w:rFonts w:ascii="Times New Roman;sans-serif" w:hAnsi="Times New Roman;sans-serif"/>
          <w:b w:val="false"/>
          <w:color w:val="000000"/>
          <w:sz w:val="22"/>
        </w:rPr>
        <w:t xml:space="preserve">means a borrowing of a New Vehicle Floorplan Swing Line Loan pursuant to </w:t>
      </w:r>
      <w:r>
        <w:rPr>
          <w:rFonts w:ascii="Times New Roman;sans-serif" w:hAnsi="Times New Roman;sans-serif"/>
          <w:b w:val="false"/>
          <w:color w:val="000000"/>
          <w:sz w:val="22"/>
          <w:u w:val="single"/>
        </w:rPr>
        <w:t>Section 2.07</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New Vehicle Floorplan Swing Line Lender</w:t>
      </w:r>
      <w:r>
        <w:rPr>
          <w:color w:val="000000"/>
        </w:rPr>
        <w:t xml:space="preserve">” </w:t>
      </w:r>
      <w:r>
        <w:rPr>
          <w:rFonts w:ascii="Times New Roman;sans-serif" w:hAnsi="Times New Roman;sans-serif"/>
          <w:b w:val="false"/>
          <w:color w:val="000000"/>
          <w:sz w:val="22"/>
        </w:rPr>
        <w:t>means Bank of America in its capacity as provider of New Vehicle Floorplan Swing Line Loans, or any successor New Vehicle Floorplan Swing Line Lender hereunder.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New Vehicle Floorplan Swing Line Loan</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2.07(a)</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New Vehicle Floorplan Swing Line Loan Notice</w:t>
      </w:r>
      <w:r>
        <w:rPr>
          <w:color w:val="000000"/>
        </w:rPr>
        <w:t xml:space="preserve">” </w:t>
      </w:r>
      <w:r>
        <w:rPr>
          <w:rFonts w:ascii="Times New Roman;sans-serif" w:hAnsi="Times New Roman;sans-serif"/>
          <w:b w:val="false"/>
          <w:color w:val="000000"/>
          <w:sz w:val="22"/>
        </w:rPr>
        <w:t xml:space="preserve">means a notice of conversion of a New Vehicle Floorplan Swing Line Loan from one Type to the other pursuant to </w:t>
      </w:r>
      <w:r>
        <w:rPr>
          <w:rFonts w:ascii="Times New Roman;sans-serif" w:hAnsi="Times New Roman;sans-serif"/>
          <w:b w:val="false"/>
          <w:color w:val="000000"/>
          <w:sz w:val="22"/>
          <w:u w:val="single"/>
        </w:rPr>
        <w:t>Section 2.07(b)</w:t>
      </w:r>
      <w:r>
        <w:rPr>
          <w:rFonts w:ascii="Times New Roman;sans-serif" w:hAnsi="Times New Roman;sans-serif"/>
          <w:b w:val="false"/>
          <w:color w:val="000000"/>
          <w:sz w:val="22"/>
        </w:rPr>
        <w:t xml:space="preserve">, which shall be substantially in the form of </w:t>
      </w:r>
      <w:r>
        <w:rPr>
          <w:rFonts w:ascii="Times New Roman;sans-serif" w:hAnsi="Times New Roman;sans-serif"/>
          <w:b w:val="false"/>
          <w:color w:val="000000"/>
          <w:sz w:val="22"/>
          <w:u w:val="single"/>
        </w:rPr>
        <w:t>Exhibit B-1</w:t>
      </w:r>
      <w:r>
        <w:rPr>
          <w:color w:val="000000"/>
        </w:rPr>
        <w:t xml:space="preserve"> </w:t>
      </w:r>
      <w:r>
        <w:rPr>
          <w:rFonts w:ascii="Times New Roman;sans-serif" w:hAnsi="Times New Roman;sans-serif"/>
          <w:b w:val="false"/>
          <w:color w:val="000000"/>
          <w:sz w:val="22"/>
        </w:rPr>
        <w:t>or such other form as approved by the Administrative Agent (including any form on an electronic platform or electronic transmission system as shall be approved by the Administrative Agent), appropriately completed and signed by a Responsible Officer of the Company.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New Vehicle Floorplan Swing Line Sublimit</w:t>
      </w:r>
      <w:r>
        <w:rPr>
          <w:color w:val="000000"/>
        </w:rPr>
        <w:t xml:space="preserve">” </w:t>
      </w:r>
      <w:r>
        <w:rPr>
          <w:rFonts w:ascii="Times New Roman;sans-serif" w:hAnsi="Times New Roman;sans-serif"/>
          <w:b w:val="false"/>
          <w:color w:val="000000"/>
          <w:sz w:val="22"/>
        </w:rPr>
        <w:t>means, at any time, an amount equal to the lesser of (a) $85,000,000 or (b) the Aggregate New Vehicle Floorplan Commitments. The New Vehicle Floorplan Swing Line Sublimit is part of, and not in addition to, the Aggregate New Vehicle Floorplan Commitments.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New Vehicle Non-Offset Floorplan Loan</w:t>
      </w:r>
      <w:r>
        <w:rPr>
          <w:color w:val="000000"/>
        </w:rPr>
        <w:t xml:space="preserve">” </w:t>
      </w:r>
      <w:r>
        <w:rPr>
          <w:rFonts w:ascii="Times New Roman;sans-serif" w:hAnsi="Times New Roman;sans-serif"/>
          <w:b w:val="false"/>
          <w:color w:val="000000"/>
          <w:sz w:val="22"/>
        </w:rPr>
        <w:t>means a New Vehicle Floorplan Loan other than a New Vehicle Floorplan Offset Account Advance.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Non-Consenting Lender</w:t>
      </w:r>
      <w:r>
        <w:rPr>
          <w:color w:val="000000"/>
        </w:rPr>
        <w:t xml:space="preserve">” </w:t>
      </w:r>
      <w:r>
        <w:rPr>
          <w:rFonts w:ascii="Times New Roman;sans-serif" w:hAnsi="Times New Roman;sans-serif"/>
          <w:b w:val="false"/>
          <w:color w:val="000000"/>
          <w:sz w:val="22"/>
        </w:rPr>
        <w:t xml:space="preserve">means any Lender that does not approve any consent, waiver or amendment that (i) requires the approval of all Lenders or all affected Lenders in accordance with the terms of </w:t>
      </w:r>
      <w:r>
        <w:rPr>
          <w:rFonts w:ascii="Times New Roman;sans-serif" w:hAnsi="Times New Roman;sans-serif"/>
          <w:b w:val="false"/>
          <w:color w:val="000000"/>
          <w:sz w:val="22"/>
          <w:u w:val="single"/>
        </w:rPr>
        <w:t>Section 10.01</w:t>
      </w:r>
      <w:r>
        <w:rPr>
          <w:color w:val="000000"/>
        </w:rPr>
        <w:t xml:space="preserve"> </w:t>
      </w:r>
      <w:r>
        <w:rPr>
          <w:rFonts w:ascii="Times New Roman;sans-serif" w:hAnsi="Times New Roman;sans-serif"/>
          <w:b w:val="false"/>
          <w:color w:val="000000"/>
          <w:sz w:val="22"/>
        </w:rPr>
        <w:t>and (ii) has been approved by the Required Lenders.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Non-Defaulting Lender</w:t>
      </w:r>
      <w:r>
        <w:rPr>
          <w:color w:val="000000"/>
        </w:rPr>
        <w:t xml:space="preserve">” </w:t>
      </w:r>
      <w:r>
        <w:rPr>
          <w:rFonts w:ascii="Times New Roman;sans-serif" w:hAnsi="Times New Roman;sans-serif"/>
          <w:b w:val="false"/>
          <w:color w:val="000000"/>
          <w:sz w:val="22"/>
        </w:rPr>
        <w:t>means, at any time, each Lender that is not a Defaulting Lender at such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Non-Extending Lender</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2.23(b)</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Note</w:t>
      </w:r>
      <w:r>
        <w:rPr>
          <w:color w:val="000000"/>
        </w:rPr>
        <w:t xml:space="preserve">” </w:t>
      </w:r>
      <w:r>
        <w:rPr>
          <w:rFonts w:ascii="Times New Roman;sans-serif" w:hAnsi="Times New Roman;sans-serif"/>
          <w:b w:val="false"/>
          <w:color w:val="000000"/>
          <w:sz w:val="22"/>
        </w:rPr>
        <w:t xml:space="preserve">means a Revolving Note, a New Vehicle Floorplan Note or a Used Vehicle Floorplan Note, as applicable. </w:t>
      </w:r>
    </w:p>
    <w:p>
      <w:pPr>
        <w:pStyle w:val="TextBody"/>
        <w:bidi w:val="0"/>
        <w:spacing w:lineRule="auto" w:line="288"/>
        <w:ind w:left="0" w:right="0" w:firstLine="720"/>
        <w:jc w:val="both"/>
        <w:rPr/>
      </w:pPr>
      <w:r>
        <w:rPr>
          <w:color w:val="000000"/>
        </w:rPr>
        <w:t>“</w:t>
      </w:r>
      <w:r>
        <w:rPr>
          <w:rFonts w:ascii="Times New Roman;sans-serif" w:hAnsi="Times New Roman;sans-serif"/>
          <w:b w:val="false"/>
          <w:color w:val="000000"/>
          <w:sz w:val="22"/>
          <w:u w:val="single"/>
        </w:rPr>
        <w:t>Notice of Loan Prepayment</w:t>
      </w:r>
      <w:r>
        <w:rPr>
          <w:color w:val="000000"/>
        </w:rPr>
        <w:t xml:space="preserve">” </w:t>
      </w:r>
      <w:r>
        <w:rPr>
          <w:rFonts w:ascii="Times New Roman;sans-serif" w:hAnsi="Times New Roman;sans-serif"/>
          <w:b w:val="false"/>
          <w:color w:val="000000"/>
          <w:sz w:val="22"/>
        </w:rPr>
        <w:t xml:space="preserve">means a notice of prepayment with respect to a Loan, which shall be substantially in the form of </w:t>
      </w:r>
      <w:r>
        <w:rPr>
          <w:rFonts w:ascii="Times New Roman;sans-serif" w:hAnsi="Times New Roman;sans-serif"/>
          <w:b w:val="false"/>
          <w:color w:val="000000"/>
          <w:sz w:val="22"/>
          <w:u w:val="single"/>
        </w:rPr>
        <w:t>Exhibit R</w:t>
      </w:r>
      <w:r>
        <w:rPr>
          <w:color w:val="000000"/>
        </w:rPr>
        <w:t xml:space="preserve"> </w:t>
      </w:r>
      <w:r>
        <w:rPr>
          <w:rFonts w:ascii="Times New Roman;sans-serif" w:hAnsi="Times New Roman;sans-serif"/>
          <w:b w:val="false"/>
          <w:color w:val="000000"/>
          <w:sz w:val="22"/>
        </w:rPr>
        <w:t xml:space="preserve">or such other form as may be approved by the Administrative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367665"/>
                <wp:effectExtent l="0" t="0" r="0" b="0"/>
                <wp:wrapNone/>
                <wp:docPr id="216" name="Frame21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Agent (including any form on an electronic platform or electronic transmission system as shall be approved by the Administrative Agent), appropriately completed and signed by a Responsible Officer.</w:t>
      </w:r>
    </w:p>
    <w:p>
      <w:pPr>
        <w:pStyle w:val="TextBody"/>
        <w:bidi w:val="0"/>
        <w:spacing w:before="0" w:after="0"/>
        <w:ind w:left="0" w:right="0" w:firstLine="720"/>
        <w:jc w:val="both"/>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2"/>
          <w:u w:val="single"/>
        </w:rPr>
        <w:t>Obligations</w:t>
      </w:r>
      <w:r>
        <w:rPr>
          <w:color w:val="000000"/>
        </w:rPr>
        <w:t xml:space="preserve">” </w:t>
      </w:r>
      <w:r>
        <w:rPr>
          <w:rFonts w:ascii="Times New Roman;sans-serif" w:hAnsi="Times New Roman;sans-serif"/>
          <w:b w:val="false"/>
          <w:color w:val="000000"/>
          <w:sz w:val="22"/>
        </w:rPr>
        <w:t xml:space="preserve">means all advances to, and debts, liabilities, obligations, covenants and duties of, any Loan Party arising under any Loan Document or otherwise with respect to any Loan, Letter of Credit, Secured Cash Management Agreement or Secured Hedge Agreement,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Obligations of a Loan Party shall exclude any Excluded Swap Obligation with respect to such Loan Party.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OFAC</w:t>
      </w:r>
      <w:r>
        <w:rPr>
          <w:color w:val="000000"/>
        </w:rPr>
        <w:t xml:space="preserve">” </w:t>
      </w:r>
      <w:r>
        <w:rPr>
          <w:rFonts w:ascii="Times New Roman;sans-serif" w:hAnsi="Times New Roman;sans-serif"/>
          <w:b w:val="false"/>
          <w:color w:val="000000"/>
          <w:sz w:val="22"/>
        </w:rPr>
        <w:t>means the Office of Foreign Assets Control of the United States Department of the Treasury.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Organization Documents</w:t>
      </w:r>
      <w:r>
        <w:rPr>
          <w:color w:val="000000"/>
        </w:rPr>
        <w:t xml:space="preserve">” </w:t>
      </w:r>
      <w:r>
        <w:rPr>
          <w:rFonts w:ascii="Times New Roman;sans-serif" w:hAnsi="Times New Roman;sans-serif"/>
          <w:b w:val="false"/>
          <w:color w:val="000000"/>
          <w:sz w:val="22"/>
        </w:rPr>
        <w:t>means, (a) with respect to any corporation, the charter or certificate or articles of incorporation and the bylaws (or equivalent or comparable constitutive documents with respect to any non-U.S. jurisdiction); (b) with respect to any limited liability company, the certificate or articles of formation or organization and operating or limited liability company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Other Connection Taxes</w:t>
      </w:r>
      <w:r>
        <w:rPr>
          <w:color w:val="000000"/>
        </w:rPr>
        <w:t xml:space="preserve">” </w:t>
      </w:r>
      <w:r>
        <w:rPr>
          <w:rFonts w:ascii="Times New Roman;sans-serif" w:hAnsi="Times New Roman;sans-serif"/>
          <w:b w:val="false"/>
          <w:color w:val="000000"/>
          <w:sz w:val="22"/>
        </w:rPr>
        <w:t>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Other Taxes</w:t>
      </w:r>
      <w:r>
        <w:rPr>
          <w:color w:val="000000"/>
        </w:rPr>
        <w:t xml:space="preserve">” </w:t>
      </w:r>
      <w:r>
        <w:rPr>
          <w:rFonts w:ascii="Times New Roman;sans-serif" w:hAnsi="Times New Roman;sans-serif"/>
          <w:b w:val="false"/>
          <w:color w:val="000000"/>
          <w:sz w:val="22"/>
        </w:rPr>
        <w:t xml:space="preserve">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sans-serif" w:hAnsi="Times New Roman;sans-serif"/>
          <w:b w:val="false"/>
          <w:color w:val="000000"/>
          <w:sz w:val="22"/>
          <w:u w:val="single"/>
        </w:rPr>
        <w:t>Section 3.05</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Out of Balance</w:t>
      </w:r>
      <w:r>
        <w:rPr>
          <w:color w:val="000000"/>
        </w:rPr>
        <w:t xml:space="preserve">” </w:t>
      </w:r>
      <w:r>
        <w:rPr>
          <w:rFonts w:ascii="Times New Roman;sans-serif" w:hAnsi="Times New Roman;sans-serif"/>
          <w:b w:val="false"/>
          <w:color w:val="000000"/>
          <w:sz w:val="22"/>
        </w:rPr>
        <w:t xml:space="preserve">means, with respect to a New Vehicle Floorplan Loan, the outstanding balance thereof has not been paid in accordance with </w:t>
      </w:r>
      <w:r>
        <w:rPr>
          <w:rFonts w:ascii="Times New Roman;sans-serif" w:hAnsi="Times New Roman;sans-serif"/>
          <w:b w:val="false"/>
          <w:color w:val="000000"/>
          <w:sz w:val="22"/>
          <w:u w:val="single"/>
        </w:rPr>
        <w:t>Section 2.15(b)(iii)</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Outstanding Amount</w:t>
      </w:r>
      <w:r>
        <w:rPr>
          <w:color w:val="000000"/>
        </w:rPr>
        <w:t xml:space="preserve">” </w:t>
      </w:r>
      <w:r>
        <w:rPr>
          <w:rFonts w:ascii="Times New Roman;sans-serif" w:hAnsi="Times New Roman;sans-serif"/>
          <w:b w:val="false"/>
          <w:color w:val="000000"/>
          <w:sz w:val="22"/>
        </w:rPr>
        <w:t xml:space="preserve">means (i) with respect to Revolving Committed Loans and Revolving Swing Line Loans on any date, the aggregate outstanding principal amount thereof after giving effect to any borrowings and prepayments or repayments of Revolving Committed Loans and Revolving Swing Line Loans, as the case may be, occurring on such date; (ii)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Company of Unreimbursed Amounts, (iii) with respect to New Vehicle Floorplan Committed Loans and New Vehicle Floorplan Swing Line Loans on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367665"/>
                <wp:effectExtent l="0" t="0" r="0" b="0"/>
                <wp:wrapNone/>
                <wp:docPr id="217" name="Frame21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any date, the aggregate outstanding principal amount thereof after giving effect to any borrowings and prepayments or repayments of New Vehicle Floorplan Commitment Loans and New Vehicle Floorplan Swing Line Loans, as the case may be, occurring on such date and (iv) with respect to Used Vehicle Floorplan Committed Loans and Used Vehicle Floorplan Swing Line Loans on any date, the aggregate outstanding principal amount thereof after giving effect to any borrowings and prepayments of repayments of Used Vehicle Floorplan Committed Loans and Used Vehicle Floorplan Swing Line Loans, as the case may be, occurring on such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Participant</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10.06(d)</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Participant Register</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10.06(d)</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Payment Commitment</w:t>
      </w:r>
      <w:r>
        <w:rPr>
          <w:color w:val="000000"/>
        </w:rPr>
        <w:t xml:space="preserve">” </w:t>
      </w:r>
      <w:r>
        <w:rPr>
          <w:rFonts w:ascii="Times New Roman;sans-serif" w:hAnsi="Times New Roman;sans-serif"/>
          <w:b w:val="false"/>
          <w:color w:val="000000"/>
          <w:sz w:val="22"/>
        </w:rPr>
        <w:t>means a written agreement entered into between the New Vehicle Floorplan Swing Line Lender and a vehicle manufacturer or distributor (and if required pursuant to the terms of the Payment Commitment, the applicable Borrower or the Company), providing for advances of the proceeds of New Vehicle Floorplan Swing Line Loans directly by the New Vehicle Floorplan Swing Line Lender to such manufacturer or distributor in payment for the purchase by the applicable New Vehicle Borrower of New Vehicles specified by vehicle identification number.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Payoff Letter Commitment</w:t>
      </w:r>
      <w:r>
        <w:rPr>
          <w:color w:val="000000"/>
        </w:rPr>
        <w:t xml:space="preserve">” </w:t>
      </w:r>
      <w:r>
        <w:rPr>
          <w:rFonts w:ascii="Times New Roman;sans-serif" w:hAnsi="Times New Roman;sans-serif"/>
          <w:b w:val="false"/>
          <w:color w:val="000000"/>
          <w:sz w:val="22"/>
        </w:rPr>
        <w:t>means a written agreement entered into between the New Vehicle Floorplan Swing Line Lender and a financial institution (and if required pursuant to the terms of the Payoff Letter Commitment, the applicable Borrower or the Company), which agreement is delivered in connection with the payoff of floorplan financing provided by such financial institution and provides for advances of the proceeds of New Vehicle Floorplan Swing Line Loans directly by the New Vehicle Floorplan Swing Line Lender to such financial institution in order to pay for or refinance the purchase by the applicable New Vehicle Borrower of New Vehicles specified by vehicle identification number.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PBGC</w:t>
      </w:r>
      <w:r>
        <w:rPr>
          <w:color w:val="000000"/>
        </w:rPr>
        <w:t xml:space="preserve">” </w:t>
      </w:r>
      <w:r>
        <w:rPr>
          <w:rFonts w:ascii="Times New Roman;sans-serif" w:hAnsi="Times New Roman;sans-serif"/>
          <w:b w:val="false"/>
          <w:color w:val="000000"/>
          <w:sz w:val="22"/>
        </w:rPr>
        <w:t>means the Pension Benefit Guaranty Corporation.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Pension Act</w:t>
      </w:r>
      <w:r>
        <w:rPr>
          <w:color w:val="000000"/>
        </w:rPr>
        <w:t xml:space="preserve">” </w:t>
      </w:r>
      <w:r>
        <w:rPr>
          <w:rFonts w:ascii="Times New Roman;sans-serif" w:hAnsi="Times New Roman;sans-serif"/>
          <w:b w:val="false"/>
          <w:color w:val="000000"/>
          <w:sz w:val="22"/>
        </w:rPr>
        <w:t>means the Pension Protection Act of 2006.</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Pension Funding Rules</w:t>
      </w:r>
      <w:r>
        <w:rPr>
          <w:color w:val="000000"/>
        </w:rPr>
        <w:t xml:space="preserve">” </w:t>
      </w:r>
      <w:r>
        <w:rPr>
          <w:rFonts w:ascii="Times New Roman;sans-serif" w:hAnsi="Times New Roman;sans-serif"/>
          <w:b w:val="false"/>
          <w:color w:val="000000"/>
          <w:sz w:val="22"/>
        </w:rPr>
        <w:t>means the rules of the Code and ERISA regarding minimum funding standards with respect to Pension Plans and set forth in Sections 412, 430, 431, 432 and 436 of the Code and Sections 302, 303, 304 and 305 of ERISA.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Pension Plan</w:t>
      </w:r>
      <w:r>
        <w:rPr>
          <w:color w:val="000000"/>
        </w:rPr>
        <w:t xml:space="preserve">” </w:t>
      </w:r>
      <w:r>
        <w:rPr>
          <w:rFonts w:ascii="Times New Roman;sans-serif" w:hAnsi="Times New Roman;sans-serif"/>
          <w:b w:val="false"/>
          <w:color w:val="000000"/>
          <w:sz w:val="22"/>
        </w:rPr>
        <w:t>means any employee pension benefit plan (including a Multiple Employer Plan or a Multiemployer Plan) that is maintained or is contributed to by the Company and any ERISA Affiliate or with respect to which the Company or any ERISA Affiliate has any liability and is either covered by Title IV of ERISA or is subject to the minimum funding standards under Section 412 of the Code.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Permitted Acquisition</w:t>
      </w:r>
      <w:r>
        <w:rPr>
          <w:color w:val="000000"/>
        </w:rPr>
        <w:t xml:space="preserve">” </w:t>
      </w:r>
      <w:r>
        <w:rPr>
          <w:rFonts w:ascii="Times New Roman;sans-serif" w:hAnsi="Times New Roman;sans-serif"/>
          <w:b w:val="false"/>
          <w:color w:val="000000"/>
          <w:sz w:val="22"/>
        </w:rPr>
        <w:t xml:space="preserve">means any Acquisition permitted by </w:t>
      </w:r>
      <w:r>
        <w:rPr>
          <w:rFonts w:ascii="Times New Roman;sans-serif" w:hAnsi="Times New Roman;sans-serif"/>
          <w:b w:val="false"/>
          <w:color w:val="000000"/>
          <w:sz w:val="22"/>
          <w:u w:val="single"/>
        </w:rPr>
        <w:t>Section 7.19</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Permitted Disposition</w:t>
      </w:r>
      <w:r>
        <w:rPr>
          <w:color w:val="000000"/>
        </w:rPr>
        <w:t xml:space="preserve">” </w:t>
      </w:r>
      <w:r>
        <w:rPr>
          <w:rFonts w:ascii="Times New Roman;sans-serif" w:hAnsi="Times New Roman;sans-serif"/>
          <w:b w:val="false"/>
          <w:color w:val="000000"/>
          <w:sz w:val="22"/>
        </w:rPr>
        <w:t xml:space="preserve">means any Disposition permitted by </w:t>
      </w:r>
      <w:r>
        <w:rPr>
          <w:rFonts w:ascii="Times New Roman;sans-serif" w:hAnsi="Times New Roman;sans-serif"/>
          <w:b w:val="false"/>
          <w:color w:val="000000"/>
          <w:sz w:val="22"/>
          <w:u w:val="single"/>
        </w:rPr>
        <w:t>Section 7.05</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Permitted Floorplan Indebtedness</w:t>
      </w:r>
      <w:r>
        <w:rPr>
          <w:color w:val="000000"/>
        </w:rPr>
        <w:t xml:space="preserve">” </w:t>
      </w:r>
      <w:r>
        <w:rPr>
          <w:rFonts w:ascii="Times New Roman;sans-serif" w:hAnsi="Times New Roman;sans-serif"/>
          <w:b w:val="false"/>
          <w:color w:val="000000"/>
          <w:sz w:val="22"/>
        </w:rPr>
        <w:t xml:space="preserve">means (i) Indebtedness under the New Vehicle Floorplan Facility or the Used Vehicle Floorplan Facility, and (ii) any other floorplan Indebtedness incurred by the Company or any Subsidiary to the extent such Indebtedness is permitted by this Agreement.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Permitted FMCC Floorplan Indebtedness</w:t>
      </w:r>
      <w:r>
        <w:rPr>
          <w:color w:val="000000"/>
        </w:rPr>
        <w:t xml:space="preserve">” </w:t>
      </w:r>
      <w:r>
        <w:rPr>
          <w:rFonts w:ascii="Times New Roman;sans-serif" w:hAnsi="Times New Roman;sans-serif"/>
          <w:b w:val="false"/>
          <w:color w:val="000000"/>
          <w:sz w:val="22"/>
        </w:rPr>
        <w:t xml:space="preserve">means New Vehicle floorplan Indebtedness that (a) is owed to FMCC by any Subsidiary that operates a Ford or Lincoln dealership, (b) finances only the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367665"/>
                <wp:effectExtent l="0" t="0" r="0" b="0"/>
                <wp:wrapNone/>
                <wp:docPr id="218" name="Frame21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acquisition of new Ford or Lincoln Vehicles by such Ford or Lincoln dealership, (c) is not guaranteed or owed by any Person other than (i) any Subsidiary that operates such a Ford or Lincoln dealership or (ii) the Company, (d) is not secured by any assets other than the FMCC Collateral (unless otherwise agreed to by the Administrative Agent) and (e) is subject to an FMCC Intercreditor Agreement.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Permitted Real Estate Debt</w:t>
      </w:r>
      <w:r>
        <w:rPr>
          <w:color w:val="000000"/>
        </w:rPr>
        <w:t xml:space="preserve">” </w:t>
      </w:r>
      <w:r>
        <w:rPr>
          <w:rFonts w:ascii="Times New Roman;sans-serif" w:hAnsi="Times New Roman;sans-serif"/>
          <w:b w:val="false"/>
          <w:color w:val="000000"/>
          <w:sz w:val="22"/>
        </w:rPr>
        <w:t xml:space="preserve">means that certain Indebtedness described on </w:t>
      </w:r>
      <w:r>
        <w:rPr>
          <w:rFonts w:ascii="Times New Roman;sans-serif" w:hAnsi="Times New Roman;sans-serif"/>
          <w:b w:val="false"/>
          <w:color w:val="000000"/>
          <w:sz w:val="22"/>
          <w:u w:val="single"/>
        </w:rPr>
        <w:t>Schedule 1.02(P)</w:t>
      </w:r>
      <w:r>
        <w:rPr>
          <w:rFonts w:ascii="Times New Roman;sans-serif" w:hAnsi="Times New Roman;sans-serif"/>
          <w:b w:val="false"/>
          <w:color w:val="000000"/>
          <w:sz w:val="22"/>
        </w:rPr>
        <w:t>, and any other Indebtedness (other than Swap Contracts) of a Loan Party (i) secured solely by real property, fixtures, related real property rights, related contracts and proceeds of the foregoing, owned by such Loan Party, and (ii) for which no Person other than the obligor of such Indebtedness, the Company or any Subsidiary which is a Loan Party has any liability with respect to such Indebtedness, in each case of clauses (i) and (ii), so long as (x) the aggregate amount of all Permitted Real Estate Debt outstanding at any time shall not exceed eighty-five percent (85%) of the value of the real property securing such Indebtedness, as evidenced by the respective appraisals of the real property ordered in connection with obtaining such Indebtedness, (y) the amount of any Permitted Real Estate Debt relating to a particular parcel of real property shall not exceed one hundred percent (100%) of the value of such parcel securing such Indebtedness, as evidenced by the respective appraisal of such parcel ordered in connection with obtaining such Indebtedness, and (z) upon the request of the Administrative Agent, the Company shall promptly deliver to the Administrative Agent a copy of any appraisal described in clause (x) or (y) above.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Permitted Service Loaner Indebtedness</w:t>
      </w:r>
      <w:r>
        <w:rPr>
          <w:color w:val="000000"/>
        </w:rPr>
        <w:t xml:space="preserve">” </w:t>
      </w:r>
      <w:r>
        <w:rPr>
          <w:rFonts w:ascii="Times New Roman;sans-serif" w:hAnsi="Times New Roman;sans-serif"/>
          <w:b w:val="false"/>
          <w:color w:val="000000"/>
          <w:sz w:val="22"/>
        </w:rPr>
        <w:t xml:space="preserve">means any Indebtedness that satisfies the requirements of </w:t>
      </w:r>
      <w:r>
        <w:rPr>
          <w:rFonts w:ascii="Times New Roman;sans-serif" w:hAnsi="Times New Roman;sans-serif"/>
          <w:b w:val="false"/>
          <w:color w:val="000000"/>
          <w:sz w:val="22"/>
          <w:u w:val="single"/>
        </w:rPr>
        <w:t>Section 7.01(q)</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Person</w:t>
      </w:r>
      <w:r>
        <w:rPr>
          <w:color w:val="000000"/>
        </w:rPr>
        <w:t xml:space="preserve">” </w:t>
      </w:r>
      <w:r>
        <w:rPr>
          <w:rFonts w:ascii="Times New Roman;sans-serif" w:hAnsi="Times New Roman;sans-serif"/>
          <w:b w:val="false"/>
          <w:color w:val="000000"/>
          <w:sz w:val="22"/>
        </w:rPr>
        <w:t>means any natural person, corporation, limited liability company, trust, joint venture, association, company, partnership, Governmental Authority or other entity.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Plan</w:t>
      </w:r>
      <w:r>
        <w:rPr>
          <w:color w:val="000000"/>
        </w:rPr>
        <w:t xml:space="preserve">” </w:t>
      </w:r>
      <w:r>
        <w:rPr>
          <w:rFonts w:ascii="Times New Roman;sans-serif" w:hAnsi="Times New Roman;sans-serif"/>
          <w:b w:val="false"/>
          <w:color w:val="000000"/>
          <w:sz w:val="22"/>
        </w:rPr>
        <w:t>means any employee benefit plan within the meaning of Section 3(3) of ERISA (including a Pension Plan), maintained for employees of the Company or any ERISA Affiliate or any such Plan to which the Company or any ERISA Affiliate is required to contribute on behalf of any of its employees.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Platform</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6.02</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Pledge Agreement</w:t>
      </w:r>
      <w:r>
        <w:rPr>
          <w:color w:val="000000"/>
        </w:rPr>
        <w:t xml:space="preserve">” </w:t>
      </w:r>
      <w:r>
        <w:rPr>
          <w:rFonts w:ascii="Times New Roman;sans-serif" w:hAnsi="Times New Roman;sans-serif"/>
          <w:b w:val="false"/>
          <w:color w:val="000000"/>
          <w:sz w:val="22"/>
        </w:rPr>
        <w:t xml:space="preserve">means that certain Fourth Amended and Restated Securities Pledge Agreement dated as of the Closing Date made by the Company and certain Loan Parties in favor of the Administrative Agent for the benefit of the Secured Parties, substantially in the form of </w:t>
      </w:r>
      <w:r>
        <w:rPr>
          <w:rFonts w:ascii="Times New Roman;sans-serif" w:hAnsi="Times New Roman;sans-serif"/>
          <w:b w:val="false"/>
          <w:color w:val="000000"/>
          <w:sz w:val="22"/>
          <w:u w:val="single"/>
        </w:rPr>
        <w:t>Exhibit N</w:t>
      </w:r>
      <w:r>
        <w:rPr>
          <w:color w:val="000000"/>
        </w:rPr>
        <w:t xml:space="preserve"> </w:t>
      </w:r>
      <w:r>
        <w:rPr>
          <w:rFonts w:ascii="Times New Roman;sans-serif" w:hAnsi="Times New Roman;sans-serif"/>
          <w:b w:val="false"/>
          <w:color w:val="000000"/>
          <w:sz w:val="22"/>
        </w:rPr>
        <w:t xml:space="preserve">attached hereto, as supplemented from time to time by the execution and delivery of Joinder Agreements pursuant to </w:t>
      </w:r>
      <w:r>
        <w:rPr>
          <w:rFonts w:ascii="Times New Roman;sans-serif" w:hAnsi="Times New Roman;sans-serif"/>
          <w:b w:val="false"/>
          <w:color w:val="000000"/>
          <w:sz w:val="22"/>
          <w:u w:val="single"/>
        </w:rPr>
        <w:t>Section 6.14</w:t>
      </w:r>
      <w:r>
        <w:rPr>
          <w:color w:val="000000"/>
        </w:rPr>
        <w:t xml:space="preserve"> </w:t>
      </w:r>
      <w:r>
        <w:rPr>
          <w:rFonts w:ascii="Times New Roman;sans-serif" w:hAnsi="Times New Roman;sans-serif"/>
          <w:b w:val="false"/>
          <w:color w:val="000000"/>
          <w:sz w:val="22"/>
        </w:rPr>
        <w:t xml:space="preserve">and as otherwise supplemented, amended or modified from time to time.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Prepayment Test Amount</w:t>
      </w:r>
      <w:r>
        <w:rPr>
          <w:color w:val="000000"/>
        </w:rPr>
        <w:t xml:space="preserve">” </w:t>
      </w:r>
      <w:r>
        <w:rPr>
          <w:rFonts w:ascii="Times New Roman;sans-serif" w:hAnsi="Times New Roman;sans-serif"/>
          <w:b w:val="false"/>
          <w:color w:val="000000"/>
          <w:sz w:val="22"/>
        </w:rPr>
        <w:t xml:space="preserve">means, as of any date of measurement thereof: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the sum of (without duplication) (i) cash, cash equivalents and short-term marketable securities reflected on the books of the Company and its Subsidiaries, in each case not subject to any Lien (other than Liens created under the Loan Documents), (ii) the Net Book Value of Contracts-in-Transit, in each case not subject to any Lien (other than Liens created under the Loan Documents), (iii) the Net Book Value of New Vehicles, (iv) 85% of the Net Book Value of Used Vehicles (net of Lien payoffs);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Rental Vehicles shall be excluded from the calculation of the items in this clause (a), </w:t>
      </w:r>
      <w:r>
        <w:rPr>
          <w:rFonts w:ascii="Times New Roman;sans-serif" w:hAnsi="Times New Roman;sans-serif"/>
          <w:b w:val="false"/>
          <w:color w:val="000000"/>
          <w:sz w:val="22"/>
          <w:u w:val="single"/>
        </w:rPr>
        <w:t>plus</w:t>
      </w:r>
      <w:r>
        <w:rPr>
          <w:color w:val="000000"/>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the Available Unused Revolving Commitments, </w:t>
      </w:r>
      <w:r>
        <w:rPr>
          <w:rFonts w:ascii="Times New Roman;sans-serif" w:hAnsi="Times New Roman;sans-serif"/>
          <w:b w:val="false"/>
          <w:color w:val="000000"/>
          <w:sz w:val="22"/>
          <w:u w:val="single"/>
        </w:rPr>
        <w:t>minus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the sum of (i) the Total New Vehicle Floorplan Outstandings, and (ii) the Total Used Vehicle Floorplan Outstandings, other than (in each case of clause (i) and (ii)) the portion of any such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367665"/>
                <wp:effectExtent l="0" t="0" r="0" b="0"/>
                <wp:wrapNone/>
                <wp:docPr id="219" name="Frame21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46</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Total New Vehicle Floorplan Outstandings or Total Used Vehicle Floorplan Outstandings arising from Loans that finance Rental Vehicles.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Prepayment Test Amount Certificate</w:t>
      </w:r>
      <w:r>
        <w:rPr>
          <w:color w:val="000000"/>
        </w:rPr>
        <w:t xml:space="preserve">” </w:t>
      </w:r>
      <w:r>
        <w:rPr>
          <w:rFonts w:ascii="Times New Roman;sans-serif" w:hAnsi="Times New Roman;sans-serif"/>
          <w:b w:val="false"/>
          <w:color w:val="000000"/>
          <w:sz w:val="22"/>
        </w:rPr>
        <w:t xml:space="preserve">means a certificate of a Responsible Officer of the Company substantially in the form of </w:t>
      </w:r>
      <w:r>
        <w:rPr>
          <w:rFonts w:ascii="Times New Roman;sans-serif" w:hAnsi="Times New Roman;sans-serif"/>
          <w:b w:val="false"/>
          <w:color w:val="000000"/>
          <w:sz w:val="22"/>
          <w:u w:val="single"/>
        </w:rPr>
        <w:t>Exhibit M</w:t>
      </w:r>
      <w:r>
        <w:rPr>
          <w:color w:val="000000"/>
        </w:rPr>
        <w:t xml:space="preserve"> </w:t>
      </w:r>
      <w:r>
        <w:rPr>
          <w:rFonts w:ascii="Times New Roman;sans-serif" w:hAnsi="Times New Roman;sans-serif"/>
          <w:b w:val="false"/>
          <w:color w:val="000000"/>
          <w:sz w:val="22"/>
        </w:rPr>
        <w:t>setting forth a calculation of the Prepayment Test Amount.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Prior Indenture</w:t>
      </w:r>
      <w:r>
        <w:rPr>
          <w:color w:val="000000"/>
        </w:rPr>
        <w:t xml:space="preserve">” </w:t>
      </w:r>
      <w:r>
        <w:rPr>
          <w:rFonts w:ascii="Times New Roman;sans-serif" w:hAnsi="Times New Roman;sans-serif"/>
          <w:b w:val="false"/>
          <w:color w:val="000000"/>
          <w:sz w:val="22"/>
        </w:rPr>
        <w:t>means that certain Indenture, dated as of December 4, 2014 (as amended, supplemented and otherwise modified prior to the date hereof, and as further amended, supplemented or otherwise modified from time to time to the extent permitted hereunder), governing the $600,000,000 aggregate principal amount of outstanding 6.0% Senior Subordinated Notes due 2024 of the Company.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Pro Forma Compliance</w:t>
      </w:r>
      <w:r>
        <w:rPr>
          <w:color w:val="000000"/>
        </w:rPr>
        <w:t xml:space="preserve">” </w:t>
      </w:r>
      <w:r>
        <w:rPr>
          <w:rFonts w:ascii="Times New Roman;sans-serif" w:hAnsi="Times New Roman;sans-serif"/>
          <w:b w:val="false"/>
          <w:color w:val="000000"/>
          <w:sz w:val="22"/>
        </w:rPr>
        <w:t xml:space="preserve">means,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(i)with respect to any event that requires Pro Forma Compliance under this Agreement (each, a “</w:t>
      </w:r>
      <w:r>
        <w:rPr>
          <w:rFonts w:ascii="Times New Roman;sans-serif" w:hAnsi="Times New Roman;sans-serif"/>
          <w:b w:val="false"/>
          <w:color w:val="000000"/>
          <w:sz w:val="22"/>
          <w:u w:val="single"/>
        </w:rPr>
        <w:t>Pro Forma Determination Event</w:t>
      </w:r>
      <w:r>
        <w:rPr>
          <w:color w:val="000000"/>
        </w:rPr>
        <w:t>”</w:t>
      </w:r>
      <w:r>
        <w:rPr>
          <w:rFonts w:ascii="Times New Roman;sans-serif" w:hAnsi="Times New Roman;sans-serif"/>
          <w:b w:val="false"/>
          <w:color w:val="000000"/>
          <w:sz w:val="22"/>
        </w:rPr>
        <w:t xml:space="preserve">) other than as set forth in clause (ii) or (iii) below, that: (A) the Company and its Subsidiaries are in pro forma compliance with the financial covenants set forth in </w:t>
      </w:r>
      <w:r>
        <w:rPr>
          <w:rFonts w:ascii="Times New Roman;sans-serif" w:hAnsi="Times New Roman;sans-serif"/>
          <w:b w:val="false"/>
          <w:color w:val="000000"/>
          <w:sz w:val="22"/>
          <w:u w:val="single"/>
        </w:rPr>
        <w:t>Section 7.11</w:t>
      </w:r>
      <w:r>
        <w:rPr>
          <w:color w:val="000000"/>
        </w:rPr>
        <w:t xml:space="preserve"> </w:t>
      </w:r>
      <w:r>
        <w:rPr>
          <w:rFonts w:ascii="Times New Roman;sans-serif" w:hAnsi="Times New Roman;sans-serif"/>
          <w:b w:val="false"/>
          <w:color w:val="000000"/>
          <w:sz w:val="22"/>
        </w:rPr>
        <w:t xml:space="preserve">(calculated as if such Pro Forma Determination Event had occurred on the first day of the four fiscal quarter period ending on the last day of the most recent fiscal quarter in respect of which financial statements have been delivered pursuant to </w:t>
      </w:r>
      <w:r>
        <w:rPr>
          <w:rFonts w:ascii="Times New Roman;sans-serif" w:hAnsi="Times New Roman;sans-serif"/>
          <w:b w:val="false"/>
          <w:color w:val="000000"/>
          <w:sz w:val="22"/>
          <w:u w:val="single"/>
        </w:rPr>
        <w:t>Section 6.01(a)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xml:space="preserve">), (B) the Total Revolving Outstandings will not exceed the lesser of the Aggregate Revolving Commitments and the Revolving Borrowing Base (such Total Revolving Outstandings and Revolving Borrowing Base being calculated on a pro forma basis as if such Pro Forma Determination Event had occurred on the date the most recent Revolving Borrowing Base Certificate has been delivered pursuant to </w:t>
      </w:r>
      <w:r>
        <w:rPr>
          <w:rFonts w:ascii="Times New Roman;sans-serif" w:hAnsi="Times New Roman;sans-serif"/>
          <w:b w:val="false"/>
          <w:color w:val="000000"/>
          <w:sz w:val="22"/>
          <w:u w:val="single"/>
        </w:rPr>
        <w:t>Section 6.02(a)(i)</w:t>
      </w:r>
      <w:r>
        <w:rPr>
          <w:rFonts w:ascii="Times New Roman;sans-serif" w:hAnsi="Times New Roman;sans-serif"/>
          <w:b w:val="false"/>
          <w:color w:val="000000"/>
          <w:sz w:val="22"/>
        </w:rPr>
        <w:t xml:space="preserve">), and (C) the Total Used Vehicle Floorplan Outstandings will not exceed the lesser of the Aggregate Used Vehicle Floorplan Commitments and the Used Vehicle Floorplan Borrowing Base (such Total Used Vehicle Floorplan Outstandings and Used Vehicle Floorplan Borrowing Base being calculated on a pro forma basis as if such Pro Forma Determination Event had occurred on the date the most recent Used Vehicle Floorplan Borrowing Base Certificate has been delivered pursuant to </w:t>
      </w:r>
      <w:r>
        <w:rPr>
          <w:rFonts w:ascii="Times New Roman;sans-serif" w:hAnsi="Times New Roman;sans-serif"/>
          <w:b w:val="false"/>
          <w:color w:val="000000"/>
          <w:sz w:val="22"/>
          <w:u w:val="single"/>
        </w:rPr>
        <w:t>Section 6.02(b)</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(ii)with respect to any Restricted Payment to be made on any date (any such date, an “</w:t>
      </w:r>
      <w:r>
        <w:rPr>
          <w:rFonts w:ascii="Times New Roman;sans-serif" w:hAnsi="Times New Roman;sans-serif"/>
          <w:b w:val="false"/>
          <w:color w:val="000000"/>
          <w:sz w:val="22"/>
          <w:u w:val="single"/>
        </w:rPr>
        <w:t>Applicable Restricted Payment Date</w:t>
      </w:r>
      <w:r>
        <w:rPr>
          <w:color w:val="000000"/>
        </w:rPr>
        <w:t>”</w:t>
      </w:r>
      <w:r>
        <w:rPr>
          <w:rFonts w:ascii="Times New Roman;sans-serif" w:hAnsi="Times New Roman;sans-serif"/>
          <w:b w:val="false"/>
          <w:color w:val="000000"/>
          <w:sz w:val="22"/>
        </w:rPr>
        <w:t xml:space="preserve">) as contemplated by </w:t>
      </w:r>
      <w:r>
        <w:rPr>
          <w:rFonts w:ascii="Times New Roman;sans-serif" w:hAnsi="Times New Roman;sans-serif"/>
          <w:b w:val="false"/>
          <w:color w:val="000000"/>
          <w:sz w:val="22"/>
          <w:u w:val="single"/>
        </w:rPr>
        <w:t>Section 7.10</w:t>
      </w:r>
      <w:r>
        <w:rPr>
          <w:rFonts w:ascii="Times New Roman;sans-serif" w:hAnsi="Times New Roman;sans-serif"/>
          <w:b w:val="false"/>
          <w:color w:val="000000"/>
          <w:sz w:val="22"/>
        </w:rPr>
        <w:t xml:space="preserve">, that the Company and its Subsidiaries will be in pro forma compliance with the financial covenants set forth in </w:t>
      </w:r>
      <w:r>
        <w:rPr>
          <w:rFonts w:ascii="Times New Roman;sans-serif" w:hAnsi="Times New Roman;sans-serif"/>
          <w:b w:val="false"/>
          <w:color w:val="000000"/>
          <w:sz w:val="22"/>
          <w:u w:val="single"/>
        </w:rPr>
        <w:t>Section 7.11</w:t>
      </w:r>
      <w:r>
        <w:rPr>
          <w:color w:val="000000"/>
        </w:rPr>
        <w:t xml:space="preserve"> </w:t>
      </w:r>
      <w:r>
        <w:rPr>
          <w:rFonts w:ascii="Times New Roman;sans-serif" w:hAnsi="Times New Roman;sans-serif"/>
          <w:b w:val="false"/>
          <w:color w:val="000000"/>
          <w:sz w:val="22"/>
        </w:rPr>
        <w:t xml:space="preserve">as of the last day of the most recent fiscal quarter in respect of which financial statements have been delivered pursuant to </w:t>
      </w:r>
      <w:r>
        <w:rPr>
          <w:rFonts w:ascii="Times New Roman;sans-serif" w:hAnsi="Times New Roman;sans-serif"/>
          <w:b w:val="false"/>
          <w:color w:val="000000"/>
          <w:sz w:val="22"/>
          <w:u w:val="single"/>
        </w:rPr>
        <w:t>Section 6.01(a)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such financial covenants being calculated on a pro forma basis as if such Restricted Payment (and any other Restricted Payment made on the Applicable Restricted Payment Date or at any time since the last day of such fiscal quarter) had been made on the last day of such fiscal quarter,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(iii)with respect to any prepayment of Indebtedness to be made on any date (any such date, an “</w:t>
      </w:r>
      <w:r>
        <w:rPr>
          <w:rFonts w:ascii="Times New Roman;sans-serif" w:hAnsi="Times New Roman;sans-serif"/>
          <w:b w:val="false"/>
          <w:color w:val="000000"/>
          <w:sz w:val="22"/>
          <w:u w:val="single"/>
        </w:rPr>
        <w:t>Applicable Prepayment Date</w:t>
      </w:r>
      <w:r>
        <w:rPr>
          <w:color w:val="000000"/>
        </w:rPr>
        <w:t>”</w:t>
      </w:r>
      <w:r>
        <w:rPr>
          <w:rFonts w:ascii="Times New Roman;sans-serif" w:hAnsi="Times New Roman;sans-serif"/>
          <w:b w:val="false"/>
          <w:color w:val="000000"/>
          <w:sz w:val="22"/>
        </w:rPr>
        <w:t xml:space="preserve">) as contemplated by </w:t>
      </w:r>
      <w:r>
        <w:rPr>
          <w:rFonts w:ascii="Times New Roman;sans-serif" w:hAnsi="Times New Roman;sans-serif"/>
          <w:b w:val="false"/>
          <w:color w:val="000000"/>
          <w:sz w:val="22"/>
          <w:u w:val="single"/>
        </w:rPr>
        <w:t>Section 7.16</w:t>
      </w:r>
      <w:r>
        <w:rPr>
          <w:rFonts w:ascii="Times New Roman;sans-serif" w:hAnsi="Times New Roman;sans-serif"/>
          <w:b w:val="false"/>
          <w:color w:val="000000"/>
          <w:sz w:val="22"/>
        </w:rPr>
        <w:t xml:space="preserve">, that the Company and its Subsidiaries will be in pro forma compliance with the financial covenants set forth in </w:t>
      </w:r>
      <w:r>
        <w:rPr>
          <w:rFonts w:ascii="Times New Roman;sans-serif" w:hAnsi="Times New Roman;sans-serif"/>
          <w:b w:val="false"/>
          <w:color w:val="000000"/>
          <w:sz w:val="22"/>
          <w:u w:val="single"/>
        </w:rPr>
        <w:t>Section 7.11</w:t>
      </w:r>
      <w:r>
        <w:rPr>
          <w:color w:val="000000"/>
        </w:rPr>
        <w:t xml:space="preserve"> </w:t>
      </w:r>
      <w:r>
        <w:rPr>
          <w:rFonts w:ascii="Times New Roman;sans-serif" w:hAnsi="Times New Roman;sans-serif"/>
          <w:b w:val="false"/>
          <w:color w:val="000000"/>
          <w:sz w:val="22"/>
        </w:rPr>
        <w:t xml:space="preserve">as of the last day of the fiscal quarter which includes the Applicable Prepayment Date as well as the last day of each of the three fiscal quarters succeeding the fiscal quarter containing the Applicable Prepayment Date, in each case (x) calculated as if such prepayment had occurred on the first day of the fiscal quarter which includes the Applicable Prepayment Date and (y) based on projected financial statements delivered to the Administrative Agent which do not reflect material and adverse changes in growth or turnover assumptions of trading assets or accounts payable as compared to the most recent financial statements delivered pursuant to </w:t>
      </w:r>
      <w:r>
        <w:rPr>
          <w:rFonts w:ascii="Times New Roman;sans-serif" w:hAnsi="Times New Roman;sans-serif"/>
          <w:b w:val="false"/>
          <w:color w:val="000000"/>
          <w:sz w:val="22"/>
          <w:u w:val="single"/>
        </w:rPr>
        <w:t>Sections 6.01(a)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xml:space="preserve">. Pro forma calculations made pursuant to this definition that require calculations of Consolidated EBITDAR on a pro forma basis will be made in accordance with </w:t>
      </w:r>
      <w:r>
        <w:rPr>
          <w:rFonts w:ascii="Times New Roman;sans-serif" w:hAnsi="Times New Roman;sans-serif"/>
          <w:b w:val="false"/>
          <w:color w:val="000000"/>
          <w:sz w:val="22"/>
          <w:u w:val="single"/>
        </w:rPr>
        <w:t>Section 1.04(d)</w:t>
      </w:r>
      <w:r>
        <w:rPr>
          <w:rFonts w:ascii="Times New Roman;sans-serif" w:hAnsi="Times New Roman;sans-serif"/>
          <w:b w:val="false"/>
          <w:color w:val="000000"/>
          <w:sz w:val="22"/>
        </w:rPr>
        <w:t>.</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367665"/>
                <wp:effectExtent l="0" t="0" r="0" b="0"/>
                <wp:wrapNone/>
                <wp:docPr id="220" name="Frame21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Pro Forma Compliance Certificate</w:t>
      </w:r>
      <w:r>
        <w:rPr>
          <w:color w:val="000000"/>
        </w:rPr>
        <w:t xml:space="preserve">” </w:t>
      </w:r>
      <w:r>
        <w:rPr>
          <w:rFonts w:ascii="Times New Roman;sans-serif" w:hAnsi="Times New Roman;sans-serif"/>
          <w:b w:val="false"/>
          <w:color w:val="000000"/>
          <w:sz w:val="22"/>
        </w:rPr>
        <w:t>means, with respect to any event, a duly completed Compliance Certificate demonstrating the pro forma calculations of the items set forth in the Compliance Certificate on a pro forma basis in accordance with the definition of “Pro Forma Compliance.”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Pro Forma Prepayment Test Amount</w:t>
      </w:r>
      <w:r>
        <w:rPr>
          <w:color w:val="000000"/>
        </w:rPr>
        <w:t xml:space="preserve">” </w:t>
      </w:r>
      <w:r>
        <w:rPr>
          <w:rFonts w:ascii="Times New Roman;sans-serif" w:hAnsi="Times New Roman;sans-serif"/>
          <w:b w:val="false"/>
          <w:color w:val="000000"/>
          <w:sz w:val="22"/>
        </w:rPr>
        <w:t xml:space="preserve">means the Prepayment Test Amount calculated on a pro forma basis as of the last day of the fiscal quarter which includes the Applicable Prepayment Date as well as the last day of each of the three fiscal quarters succeeding the fiscal quarter containing the Applicable Prepayment Date, (a) calculated as if such prepayment had occurred on the first day of the fiscal quarter which includes the Applicable Prepayment Date and (b) based on projected financial statements delivered to the Administrative Agent which do not reflect material and adverse changes in growth or turnover assumptions of trading assets or accounts payable as compared to the most recent financial statements delivered pursuant to </w:t>
      </w:r>
      <w:r>
        <w:rPr>
          <w:rFonts w:ascii="Times New Roman;sans-serif" w:hAnsi="Times New Roman;sans-serif"/>
          <w:b w:val="false"/>
          <w:color w:val="000000"/>
          <w:sz w:val="22"/>
          <w:u w:val="single"/>
        </w:rPr>
        <w:t>Section 6.01(a)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Pro Forma Revolving Borrowing Base Certificate</w:t>
      </w:r>
      <w:r>
        <w:rPr>
          <w:color w:val="000000"/>
        </w:rPr>
        <w:t xml:space="preserve">” </w:t>
      </w:r>
      <w:r>
        <w:rPr>
          <w:rFonts w:ascii="Times New Roman;sans-serif" w:hAnsi="Times New Roman;sans-serif"/>
          <w:b w:val="false"/>
          <w:color w:val="000000"/>
          <w:sz w:val="22"/>
        </w:rPr>
        <w:t>means, with respect to any event, a duly completed Revolving Borrowing Base Certificate demonstrating the calculations of the Revolving Borrowing Base on a pro forma basis in accordance with the definition of “Pro Forma Compliance.”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Pro Forma Used Vehicle Floorplan Borrowing Base Certificate</w:t>
      </w:r>
      <w:r>
        <w:rPr>
          <w:color w:val="000000"/>
        </w:rPr>
        <w:t xml:space="preserve">” </w:t>
      </w:r>
      <w:r>
        <w:rPr>
          <w:rFonts w:ascii="Times New Roman;sans-serif" w:hAnsi="Times New Roman;sans-serif"/>
          <w:b w:val="false"/>
          <w:color w:val="000000"/>
          <w:sz w:val="22"/>
        </w:rPr>
        <w:t>means, with respect to any event, a duly completed Used Vehicle Floorplan Borrowing Base Certificate demonstrating pro forma calculations of the Used Vehicle Floorplan Borrowing Base on a pro forma basis in accordance with the definition of “Pro Forma Compliance.”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PTE</w:t>
      </w:r>
      <w:r>
        <w:rPr>
          <w:color w:val="000000"/>
        </w:rPr>
        <w:t xml:space="preserve">” </w:t>
      </w:r>
      <w:r>
        <w:rPr>
          <w:rFonts w:ascii="Times New Roman;sans-serif" w:hAnsi="Times New Roman;sans-serif"/>
          <w:b w:val="false"/>
          <w:color w:val="000000"/>
          <w:sz w:val="22"/>
        </w:rPr>
        <w:t>means a prohibited transaction class exemption issued by the U.S. Department of Labor, as any such exemption may be amended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Public Lender</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6.02</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Qualified Cash</w:t>
      </w:r>
      <w:r>
        <w:rPr>
          <w:color w:val="000000"/>
        </w:rPr>
        <w:t xml:space="preserve">” </w:t>
      </w:r>
      <w:r>
        <w:rPr>
          <w:rFonts w:ascii="Times New Roman;sans-serif" w:hAnsi="Times New Roman;sans-serif"/>
          <w:b w:val="false"/>
          <w:color w:val="000000"/>
          <w:sz w:val="22"/>
        </w:rPr>
        <w:t>means, as of any date of determination, means the sum of (i) the amount of unrestricted (as defined below) cash and Cash Equivalents of the Company and its Restricted Subsidiaries at such time, to the extent held in deposit accounts or securities accounts (agreed to between the Company or such Restricted Subsidiary, as applicable, and the Administrative Agent) in each case which is a segregated account subject to a Blocked Account Agreement</w:t>
      </w:r>
      <w:r>
        <w:rPr>
          <w:color w:val="000000"/>
        </w:rPr>
        <w:t xml:space="preserve"> </w:t>
      </w:r>
      <w:r>
        <w:rPr>
          <w:rFonts w:ascii="Times New Roman;sans-serif" w:hAnsi="Times New Roman;sans-serif"/>
          <w:b w:val="false"/>
          <w:color w:val="000000"/>
          <w:sz w:val="22"/>
        </w:rPr>
        <w:t xml:space="preserve">or in deposit accounts maintained with Bank of America which ensures that the Administrative Agent has a first priority, perfected Lien in such account;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 if requested by the Administrative Agent, the applicable account bank (if not the Administrative Agent) shall provide daily reports to the Administrative Agent setting forth the balances in such accounts and such information as the Administrative Agent may reasonably request, and (b) Qualified Cash shall not include any funds or accounts that constitute the Floorplan Offset Amount. For purposes of this definition “unrestricted” means, with respect to any cash or Cash Equivalent, that the use thereof for application to payment of Indebtedness is not prohibited by law or any contract to which the Company or its Restricted Subsidiaries is a party.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Qualified ECP Guarantor</w:t>
      </w:r>
      <w:r>
        <w:rPr>
          <w:color w:val="000000"/>
        </w:rPr>
        <w:t xml:space="preserve">” </w:t>
      </w:r>
      <w:r>
        <w:rPr>
          <w:rFonts w:ascii="Times New Roman;sans-serif" w:hAnsi="Times New Roman;sans-serif"/>
          <w:b w:val="false"/>
          <w:color w:val="000000"/>
          <w:sz w:val="22"/>
        </w:rPr>
        <w:t xml:space="preserve">means, at any time, each Loan Party with total assets exceeding $10,000,000 or that qualifies at such time as an “eligible contract participant” under the Commodity Exchange Act and can cause another Person to qualify as an “eligible contract participant” at such time under Section 1a(18)(A)(v)(II) of the Commodity Exchange Act.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Qualified Sale/Leaseback Transaction</w:t>
      </w:r>
      <w:r>
        <w:rPr>
          <w:color w:val="000000"/>
        </w:rPr>
        <w:t xml:space="preserve">” </w:t>
      </w:r>
      <w:r>
        <w:rPr>
          <w:rFonts w:ascii="Times New Roman;sans-serif" w:hAnsi="Times New Roman;sans-serif"/>
          <w:b w:val="false"/>
          <w:color w:val="000000"/>
          <w:sz w:val="22"/>
        </w:rPr>
        <w:t xml:space="preserve">means a sale by any of the Loan Parties or any of their Subsidiaries of personal property or real property and related fixtures and accessories used in the ordinary course of business, which property does not include any Collateral and which property is, in a concurrent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367665"/>
                <wp:effectExtent l="0" t="0" r="0" b="0"/>
                <wp:wrapNone/>
                <wp:docPr id="221" name="Frame21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transaction, leased by such Person from the purchaser thereof under a lease agreement, the terms of which, as of the date of such transaction, based upon the immediately preceding four fiscal quarters of the Company, would not cause the Company to be in Default under any of the provisions of this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Qualified Service Loaner Program</w:t>
      </w:r>
      <w:r>
        <w:rPr>
          <w:color w:val="000000"/>
        </w:rPr>
        <w:t xml:space="preserve">” </w:t>
      </w:r>
      <w:r>
        <w:rPr>
          <w:rFonts w:ascii="Times New Roman;sans-serif" w:hAnsi="Times New Roman;sans-serif"/>
          <w:b w:val="false"/>
          <w:color w:val="000000"/>
          <w:sz w:val="22"/>
        </w:rPr>
        <w:t>means any program with any Manufacturer, or the financial affiliate of such a Manufacturer, pursuant to which the Company or any Subsidiary (i) finances New Vehicles under such program, which New Vehicles are used by the Company or such Subsidiary as Rental Vehicles and (ii) is subject to an intercreditor agreement (in form and substance satisfactory to the Administrative Agent) between the creditor under such Indebtedness and the Administrative Agent (a “</w:t>
      </w:r>
      <w:r>
        <w:rPr>
          <w:rFonts w:ascii="Times New Roman;sans-serif" w:hAnsi="Times New Roman;sans-serif"/>
          <w:b w:val="false"/>
          <w:color w:val="000000"/>
          <w:sz w:val="22"/>
          <w:u w:val="single"/>
        </w:rPr>
        <w:t>Service Loaner Intercreditor Agreement</w:t>
      </w:r>
      <w:r>
        <w:rPr>
          <w:color w:val="000000"/>
        </w:rPr>
        <w:t>”</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Recipient</w:t>
      </w:r>
      <w:r>
        <w:rPr>
          <w:color w:val="000000"/>
        </w:rPr>
        <w:t xml:space="preserve">” </w:t>
      </w:r>
      <w:r>
        <w:rPr>
          <w:rFonts w:ascii="Times New Roman;sans-serif" w:hAnsi="Times New Roman;sans-serif"/>
          <w:b w:val="false"/>
          <w:color w:val="000000"/>
          <w:sz w:val="22"/>
        </w:rPr>
        <w:t xml:space="preserve">means the Administrative Agent, any Lender, any L/C Issuer or any other recipient of any payment to be made by or on account of any obligation of any Loan Party hereunder.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Register</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10.06(c)</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Regulation U</w:t>
      </w:r>
      <w:r>
        <w:rPr>
          <w:color w:val="000000"/>
        </w:rPr>
        <w:t xml:space="preserve">” </w:t>
      </w:r>
      <w:r>
        <w:rPr>
          <w:rFonts w:ascii="Times New Roman;sans-serif" w:hAnsi="Times New Roman;sans-serif"/>
          <w:b w:val="false"/>
          <w:color w:val="000000"/>
          <w:sz w:val="22"/>
        </w:rPr>
        <w:t>means Regulation U of the FRB, as in effect from time to time and all official rulings and interpretations thereunder or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Related Parties</w:t>
      </w:r>
      <w:r>
        <w:rPr>
          <w:color w:val="000000"/>
        </w:rPr>
        <w:t xml:space="preserve">” </w:t>
      </w:r>
      <w:r>
        <w:rPr>
          <w:rFonts w:ascii="Times New Roman;sans-serif" w:hAnsi="Times New Roman;sans-serif"/>
          <w:b w:val="false"/>
          <w:color w:val="000000"/>
          <w:sz w:val="22"/>
        </w:rPr>
        <w:t>means, with respect to any Person, such Person’s Affiliates and the partners, directors, officers, employees, agents, trustees, administrators, managers, advisors, consultants, service providers and representatives of such Person and of such Person’s Affiliates.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Rental Vehicle</w:t>
      </w:r>
      <w:r>
        <w:rPr>
          <w:color w:val="000000"/>
        </w:rPr>
        <w:t xml:space="preserve">” </w:t>
      </w:r>
      <w:r>
        <w:rPr>
          <w:rFonts w:ascii="Times New Roman;sans-serif" w:hAnsi="Times New Roman;sans-serif"/>
          <w:b w:val="false"/>
          <w:color w:val="000000"/>
          <w:sz w:val="22"/>
        </w:rPr>
        <w:t>means a New Vehicle less than two years old owned by a New Vehicle Borrower and purchased directly from a manufacturer as a New Vehicle and that is used as a service or daily loaner vehicle or is periodically subject to a rental contract with customers of the New Vehicle Borrower for loaner or rental periods of up to sixty (60) consecutive days or is used by dealership personnel in connection with parts and service operations. Rental Vehicles may be registered with applicable Governmental Authorities in the ordinary course of business.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Reportable Event</w:t>
      </w:r>
      <w:r>
        <w:rPr>
          <w:color w:val="000000"/>
        </w:rPr>
        <w:t xml:space="preserve">” </w:t>
      </w:r>
      <w:r>
        <w:rPr>
          <w:rFonts w:ascii="Times New Roman;sans-serif" w:hAnsi="Times New Roman;sans-serif"/>
          <w:b w:val="false"/>
          <w:color w:val="000000"/>
          <w:sz w:val="22"/>
        </w:rPr>
        <w:t>means any of the events set forth in Section 4043(c) of ERISA, other than events for which the 30 day notice period has been waived.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Request for Credit Extension</w:t>
      </w:r>
      <w:r>
        <w:rPr>
          <w:color w:val="000000"/>
        </w:rPr>
        <w:t xml:space="preserve">” </w:t>
      </w:r>
      <w:r>
        <w:rPr>
          <w:rFonts w:ascii="Times New Roman;sans-serif" w:hAnsi="Times New Roman;sans-serif"/>
          <w:b w:val="false"/>
          <w:color w:val="000000"/>
          <w:sz w:val="22"/>
        </w:rPr>
        <w:t>means (a) with respect to a Revolving Committed Borrowing or conversion of Revolving Committed Loans, a Revolving Committed Loan Notice, (b) with respect to an L/C Credit Extension, a Letter of Credit Application, (c) with respect to a Revolving Swing Line Loan, or conversion of Revolving Swing Line Loans, a Revolving Swing Line Loan Notice, (d) with respect to a New Vehicle Floorplan Committed Borrowing, or conversion of New Vehicle Floorplan Committed Loan, a New Vehicle Floorplan Committed Loan Notice, (e) with respect to a conversion of New Vehicle Floorplan Swing Line Loans, a New Vehicle Floorplan Swing Line Loan Notice, (f) with respect to a Used Vehicle Floorplan Committed Borrowing, or conversion of Used Vehicle Floorplan Committed Loans, a Used Vehicle Floorplan Committed Loan Notice, and (g) with respect to a Used Vehicle Floorplan Swing Line Loan, or conversion of Used Vehicle Floorplan Swing Line Loans, a Used Vehicle Floorplan Swing Line Loan Notice.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Required Lenders</w:t>
      </w:r>
      <w:r>
        <w:rPr>
          <w:color w:val="000000"/>
        </w:rPr>
        <w:t xml:space="preserve">” </w:t>
      </w:r>
      <w:r>
        <w:rPr>
          <w:rFonts w:ascii="Times New Roman;sans-serif" w:hAnsi="Times New Roman;sans-serif"/>
          <w:b w:val="false"/>
          <w:color w:val="000000"/>
          <w:sz w:val="22"/>
        </w:rPr>
        <w:t xml:space="preserve">means, as of any date of determination, Lenders whose Commitments aggregate more than 50% of the Aggregate Commitments,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the Commitment of each Lender under an Applicable Facility to make Loans and, if applicable, the obligation of each L/C Issuer to make L/C Credit Extensions have been terminated pursuant to </w:t>
      </w:r>
      <w:r>
        <w:rPr>
          <w:rFonts w:ascii="Times New Roman;sans-serif" w:hAnsi="Times New Roman;sans-serif"/>
          <w:b w:val="false"/>
          <w:color w:val="000000"/>
          <w:sz w:val="22"/>
          <w:u w:val="single"/>
        </w:rPr>
        <w:t>Section 8.02</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8.04</w:t>
      </w:r>
      <w:r>
        <w:rPr>
          <w:rFonts w:ascii="Times New Roman;sans-serif" w:hAnsi="Times New Roman;sans-serif"/>
          <w:b w:val="false"/>
          <w:color w:val="000000"/>
          <w:sz w:val="22"/>
        </w:rPr>
        <w:t xml:space="preserve">, the Commitments under such Facility shall be calculated based on the Total Revolving Outstandings, Total New Vehicle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367665"/>
                <wp:effectExtent l="0" t="0" r="0" b="0"/>
                <wp:wrapNone/>
                <wp:docPr id="222" name="Frame21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Floorplan Outstandings, or Total Used Vehicle Floorplan Outstandings (as the case may be) with respect to such Facility (with the aggregate amount of each Lender’s risk participation and funded participation in L/C Obligations, Revolving Swing Line Loans, New Vehicle Floorplan Swing Line Loans and Used Vehicle Floorplan Swing Line Loans, as applicable, being deemed “held” by such Lender for purposes of this definition);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the Commitment of, and the portion of the Total Outstandings held or deemed held by, any Defaulting Lender shall be excluded for purposes of making a determination of Required Lenders and (ii) in the event that at the time of such determination any New Vehicle Floorplan Overdraft is outstanding, each of (x) the Aggregate Commitments and the Total New Vehicle Floorplan Outstandings, and (y) the Commitment of or Total New Vehicle Floorplan Outstandings held by the New Vehicle Floorplan Swing Line Lender (as the case may be), shall be deemed for purposes of this determination to be increased in the amount of such outstanding New Vehicle Floorplan Overdraft.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Rescindable Amount</w:t>
      </w:r>
      <w:r>
        <w:rPr>
          <w:color w:val="000000"/>
        </w:rPr>
        <w:t xml:space="preserve">” </w:t>
      </w:r>
      <w:r>
        <w:rPr>
          <w:rFonts w:ascii="Times New Roman;sans-serif" w:hAnsi="Times New Roman;sans-serif"/>
          <w:b w:val="false"/>
          <w:color w:val="000000"/>
          <w:sz w:val="22"/>
        </w:rPr>
        <w:t xml:space="preserve">has the meaning as defined in </w:t>
      </w:r>
      <w:r>
        <w:rPr>
          <w:rFonts w:ascii="Times New Roman;sans-serif" w:hAnsi="Times New Roman;sans-serif"/>
          <w:b w:val="false"/>
          <w:color w:val="000000"/>
          <w:sz w:val="22"/>
          <w:u w:val="single"/>
        </w:rPr>
        <w:t>Section 2.20(b)(ii)</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Resolution Authority</w:t>
      </w:r>
      <w:r>
        <w:rPr>
          <w:color w:val="000000"/>
        </w:rPr>
        <w:t xml:space="preserve">” </w:t>
      </w:r>
      <w:r>
        <w:rPr>
          <w:rFonts w:ascii="Times New Roman;sans-serif" w:hAnsi="Times New Roman;sans-serif"/>
          <w:b w:val="false"/>
          <w:color w:val="000000"/>
          <w:sz w:val="22"/>
        </w:rPr>
        <w:t>means an EEA Resolution Authority or, with respect to any UK Financial Institution, a UK Resolution Authority.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Responsible Officer</w:t>
      </w:r>
      <w:r>
        <w:rPr>
          <w:color w:val="000000"/>
        </w:rPr>
        <w:t xml:space="preserve">” </w:t>
      </w:r>
      <w:r>
        <w:rPr>
          <w:rFonts w:ascii="Times New Roman;sans-serif" w:hAnsi="Times New Roman;sans-serif"/>
          <w:b w:val="false"/>
          <w:color w:val="000000"/>
          <w:sz w:val="22"/>
        </w:rPr>
        <w:t xml:space="preserve">means the chief executive officer, president, chief financial officer, treasurer, assistant treasurer or controller of a Loan Party and solely for purposes of the delivery of incumbency certificates pursuant to </w:t>
      </w:r>
      <w:r>
        <w:rPr>
          <w:rFonts w:ascii="Times New Roman;sans-serif" w:hAnsi="Times New Roman;sans-serif"/>
          <w:b w:val="false"/>
          <w:color w:val="000000"/>
          <w:sz w:val="22"/>
          <w:u w:val="single"/>
        </w:rPr>
        <w:t>Section 4.01</w:t>
      </w:r>
      <w:r>
        <w:rPr>
          <w:rFonts w:ascii="Times New Roman;sans-serif" w:hAnsi="Times New Roman;sans-serif"/>
          <w:b w:val="false"/>
          <w:color w:val="000000"/>
          <w:sz w:val="22"/>
        </w:rPr>
        <w:t xml:space="preserve">, the secretary or any assistant secretary of a Loan Party and, solely for purposes of notices given pursuant to </w:t>
      </w:r>
      <w:r>
        <w:rPr>
          <w:rFonts w:ascii="Times New Roman;sans-serif" w:hAnsi="Times New Roman;sans-serif"/>
          <w:b w:val="false"/>
          <w:color w:val="000000"/>
          <w:sz w:val="22"/>
          <w:u w:val="single"/>
        </w:rPr>
        <w:t>Article II</w:t>
      </w:r>
      <w:r>
        <w:rPr>
          <w:rFonts w:ascii="Times New Roman;sans-serif" w:hAnsi="Times New Roman;sans-serif"/>
          <w:b w:val="false"/>
          <w:color w:val="000000"/>
          <w:sz w:val="22"/>
        </w:rPr>
        <w:t>,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To the extent requested by the Administrative Agent, each Responsible Officer will provide an incumbency certificate and to the extent requested by the Administrative Agent, appropriate authorization documentation, in form and substance satisfactory to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Restricted Payment</w:t>
      </w:r>
      <w:r>
        <w:rPr>
          <w:color w:val="000000"/>
        </w:rPr>
        <w:t xml:space="preserve">” </w:t>
      </w:r>
      <w:r>
        <w:rPr>
          <w:rFonts w:ascii="Times New Roman;sans-serif" w:hAnsi="Times New Roman;sans-serif"/>
          <w:b w:val="false"/>
          <w:color w:val="000000"/>
          <w:sz w:val="22"/>
        </w:rPr>
        <w:t>means any dividend or other distribution (whether in cash, securities or other property) with respect to any capital stock or other Equity Interest of the Company or any Subsidiary, or any payment (whether in cash, securities or other property), including any sinking fund or similar deposit, on account of the purchase, redemption, retirement, acquisition, cancellation or termination of any such capital stock or other Equity Interest, or on account of any return of capital to the Company’s or any Subsidiary’s stockholders, partners or members (or the equivalent Person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Restricted Subsidiary</w:t>
      </w:r>
      <w:r>
        <w:rPr>
          <w:color w:val="000000"/>
        </w:rPr>
        <w:t xml:space="preserve">” </w:t>
      </w:r>
      <w:r>
        <w:rPr>
          <w:rFonts w:ascii="Times New Roman;sans-serif" w:hAnsi="Times New Roman;sans-serif"/>
          <w:b w:val="false"/>
          <w:color w:val="000000"/>
          <w:sz w:val="22"/>
        </w:rPr>
        <w:t>means each direct or indirect Subsidiary of the Company that (i) is not an Immaterial Subsidiary, is not a Captive Insurance Company, is not a Specified Insurance Subsidiary and is not a Designated Escrow Subsidiary, (ii) owns or operates a dealership or (iii) owns any real estate used in the operation of a dealership.</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Revolving Autoborrow Advance</w:t>
      </w:r>
      <w:r>
        <w:rPr>
          <w:color w:val="000000"/>
        </w:rPr>
        <w:t xml:space="preserve">” </w:t>
      </w:r>
      <w:r>
        <w:rPr>
          <w:rFonts w:ascii="Times New Roman;sans-serif" w:hAnsi="Times New Roman;sans-serif"/>
          <w:b w:val="false"/>
          <w:color w:val="000000"/>
          <w:sz w:val="22"/>
        </w:rPr>
        <w:t xml:space="preserve">shall have the meaning specified in </w:t>
      </w:r>
      <w:r>
        <w:rPr>
          <w:rFonts w:ascii="Times New Roman;sans-serif" w:hAnsi="Times New Roman;sans-serif"/>
          <w:b w:val="false"/>
          <w:color w:val="000000"/>
          <w:sz w:val="22"/>
          <w:u w:val="single"/>
        </w:rPr>
        <w:t>Section 2.04(b)</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Revolving Autoborrow Agreement</w:t>
      </w:r>
      <w:r>
        <w:rPr>
          <w:color w:val="000000"/>
        </w:rPr>
        <w:t xml:space="preserve">” </w:t>
      </w:r>
      <w:r>
        <w:rPr>
          <w:rFonts w:ascii="Times New Roman;sans-serif" w:hAnsi="Times New Roman;sans-serif"/>
          <w:b w:val="false"/>
          <w:color w:val="000000"/>
          <w:sz w:val="22"/>
        </w:rPr>
        <w:t xml:space="preserve">shall have the meaning specified in </w:t>
      </w:r>
      <w:r>
        <w:rPr>
          <w:rFonts w:ascii="Times New Roman;sans-serif" w:hAnsi="Times New Roman;sans-serif"/>
          <w:b w:val="false"/>
          <w:color w:val="000000"/>
          <w:sz w:val="22"/>
          <w:u w:val="single"/>
        </w:rPr>
        <w:t>Section 2.04(b)</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Revolving Borrowing</w:t>
      </w:r>
      <w:r>
        <w:rPr>
          <w:color w:val="000000"/>
        </w:rPr>
        <w:t xml:space="preserve">” </w:t>
      </w:r>
      <w:r>
        <w:rPr>
          <w:rFonts w:ascii="Times New Roman;sans-serif" w:hAnsi="Times New Roman;sans-serif"/>
          <w:b w:val="false"/>
          <w:color w:val="000000"/>
          <w:sz w:val="22"/>
        </w:rPr>
        <w:t>means a Revolving Committed Borrowing or a Revolving Swing Line Borrowing, as the context may require.</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367665"/>
                <wp:effectExtent l="0" t="0" r="0" b="0"/>
                <wp:wrapNone/>
                <wp:docPr id="223" name="Frame21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Revolving Borrowing Base</w:t>
      </w:r>
      <w:r>
        <w:rPr>
          <w:color w:val="000000"/>
        </w:rPr>
        <w:t xml:space="preserve">” </w:t>
      </w:r>
      <w:r>
        <w:rPr>
          <w:rFonts w:ascii="Times New Roman;sans-serif" w:hAnsi="Times New Roman;sans-serif"/>
          <w:b w:val="false"/>
          <w:color w:val="000000"/>
          <w:sz w:val="22"/>
        </w:rPr>
        <w:t>means as of any date of calculation, the lesser of (1) Aggregate Revolving Commitments or (2) the sum of:</w:t>
      </w:r>
    </w:p>
    <w:p>
      <w:pPr>
        <w:pStyle w:val="TextBody"/>
        <w:bidi w:val="0"/>
        <w:spacing w:lineRule="auto" w:line="288" w:before="0" w:after="240"/>
        <w:jc w:val="both"/>
        <w:rPr/>
      </w:pPr>
      <w:r>
        <w:rPr>
          <w:rFonts w:ascii="Times New Roman;sans-serif" w:hAnsi="Times New Roman;sans-serif"/>
          <w:b w:val="false"/>
          <w:color w:val="000000"/>
          <w:sz w:val="22"/>
        </w:rPr>
        <w:t xml:space="preserve">(A) the sum of (i) the Net Book Value of Eligible Contracts-in-Transit, (ii) 80% of the Net Book Value of Eligible Accounts, including Eligible Accounts that are factory receivables, (iii) the Net Book Value of Eligible New Vehicle Inventory, (iv) 85% of the Net Book Value of Eligible Used Vehicle Inventory, (v) 65% of the Net Book Value of Eligible Parts and Accessories Inventory, (vi) 50% of Qualified Cash, and (vii) 40% of the Net Book Value of Eligible Equipment;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Rental Vehicles will be excluded from the calculation of the items in this clause (A); </w:t>
      </w:r>
    </w:p>
    <w:p>
      <w:pPr>
        <w:pStyle w:val="TextBody"/>
        <w:bidi w:val="0"/>
        <w:spacing w:lineRule="auto" w:line="288" w:before="0" w:after="240"/>
        <w:jc w:val="both"/>
        <w:rPr/>
      </w:pP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(B) 75% of the appraised or tax assessed value, as applicable, of the Eligible Borrowing Base Real Estate (which such value will be determined on the most recent FIRREA-conforming appraisal or tax assessed value, as the case may be, received by the Administrative Agent);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amounts added to the Revolving Borrowing Base pursuant to this clause (B) shall not at any time exceed 40% of the Aggregate Revolving Commitments; and</w:t>
      </w:r>
    </w:p>
    <w:p>
      <w:pPr>
        <w:pStyle w:val="TextBody"/>
        <w:bidi w:val="0"/>
        <w:spacing w:lineRule="auto" w:line="288" w:before="0" w:after="240"/>
        <w:jc w:val="both"/>
        <w:rPr/>
      </w:pP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(C) the sum of (i) the Total New Vehicle Floorplan Outstandings (without giving effect to any Loan Repayments From Offset or the New Vehicle Floorplan Offset Account) plus (ii) the Total Used Vehicle Floorplan Outstandings, minus (iii) the Floorplan Offset Amount, other than (in the case of each of clauses (i) and (ii)) the portion of such Total New Vehicle Floorplan Outstandings or Total Used Vehicle Floorplan Outstandings arising from Loans that financed Rental Vehicles.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Revolving Borrowing Base Certificate</w:t>
      </w:r>
      <w:r>
        <w:rPr>
          <w:color w:val="000000"/>
        </w:rPr>
        <w:t xml:space="preserve">” </w:t>
      </w:r>
      <w:r>
        <w:rPr>
          <w:rFonts w:ascii="Times New Roman;sans-serif" w:hAnsi="Times New Roman;sans-serif"/>
          <w:b w:val="false"/>
          <w:color w:val="000000"/>
          <w:sz w:val="22"/>
        </w:rPr>
        <w:t xml:space="preserve">means a certificate by a Responsible Officer of the Company, substantially in the form of </w:t>
      </w:r>
      <w:r>
        <w:rPr>
          <w:rFonts w:ascii="Times New Roman;sans-serif" w:hAnsi="Times New Roman;sans-serif"/>
          <w:b w:val="false"/>
          <w:color w:val="000000"/>
          <w:sz w:val="22"/>
          <w:u w:val="single"/>
        </w:rPr>
        <w:t>Exhibit J-1</w:t>
      </w:r>
      <w:r>
        <w:rPr>
          <w:color w:val="000000"/>
        </w:rPr>
        <w:t xml:space="preserve"> </w:t>
      </w:r>
      <w:r>
        <w:rPr>
          <w:rFonts w:ascii="Times New Roman;sans-serif" w:hAnsi="Times New Roman;sans-serif"/>
          <w:b w:val="false"/>
          <w:color w:val="000000"/>
          <w:sz w:val="22"/>
        </w:rPr>
        <w:t>(or another form acceptable to the Administrative Agent) setting forth the calculation of the Revolving Borrowing Base, including a calculation of each component thereof, all in such detail as shall be reasonably satisfactory to the Administrative Agent (and which will include a designation of those assets and liabilities of Subsidiaries which operate Ford or Lincoln Franchises and other classifications which do not qualify for inclusion in the Revolving Borrowing Base because such assets are not subject to the first priority perfected Lien of the Administrative Agent or any other reason for disqualification thereof). All calculations of the Revolving Borrowing Base in connection with the preparation of any Revolving Borrowing Base Certificate shall originally be made by the Company and certified to the Administrative Agent. Notwithstanding the foregoing, if the Administrative Agent has reasonable grounds to believe that the calculation of the Revolving Borrowing Base set forth in any Revolving Borrowing Base Certificate is not in accordance with this Agreement, the Administrative Agent shall inform the Company of the grounds for such belief and shall request confirmation by the Company of the calculation. Prior to confirmation, the Revolving Borrowing Base may be adjusted by the Administrative Agent so the calculation thereof is in accordance with this Agreement (in the Administrative Agent’s reasonable determination).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Revolving Commitment</w:t>
      </w:r>
      <w:r>
        <w:rPr>
          <w:color w:val="000000"/>
        </w:rPr>
        <w:t xml:space="preserve">” </w:t>
      </w:r>
      <w:r>
        <w:rPr>
          <w:rFonts w:ascii="Times New Roman;sans-serif" w:hAnsi="Times New Roman;sans-serif"/>
          <w:b w:val="false"/>
          <w:color w:val="000000"/>
          <w:sz w:val="22"/>
        </w:rPr>
        <w:t xml:space="preserve">means, as to each Lender, its obligation to (a) make Revolving Committed Loans to the Company pursuant to </w:t>
      </w:r>
      <w:r>
        <w:rPr>
          <w:rFonts w:ascii="Times New Roman;sans-serif" w:hAnsi="Times New Roman;sans-serif"/>
          <w:b w:val="false"/>
          <w:color w:val="000000"/>
          <w:sz w:val="22"/>
          <w:u w:val="single"/>
        </w:rPr>
        <w:t>Section 2.01</w:t>
      </w:r>
      <w:r>
        <w:rPr>
          <w:rFonts w:ascii="Times New Roman;sans-serif" w:hAnsi="Times New Roman;sans-serif"/>
          <w:b w:val="false"/>
          <w:color w:val="000000"/>
          <w:sz w:val="22"/>
        </w:rPr>
        <w:t xml:space="preserve">, (b) purchase participations in L/C Obligations, and (c) purchase participations in Revolving Swing Line Loans, in an aggregate principal amount at any one time outstanding not to exceed the amount set forth opposite such Lender’s name on </w:t>
      </w:r>
      <w:r>
        <w:rPr>
          <w:rFonts w:ascii="Times New Roman;sans-serif" w:hAnsi="Times New Roman;sans-serif"/>
          <w:b w:val="false"/>
          <w:color w:val="000000"/>
          <w:sz w:val="22"/>
          <w:u w:val="single"/>
        </w:rPr>
        <w:t>Schedule 2.01</w:t>
      </w:r>
      <w:r>
        <w:rPr>
          <w:color w:val="000000"/>
        </w:rPr>
        <w:t xml:space="preserve"> </w:t>
      </w:r>
      <w:r>
        <w:rPr>
          <w:rFonts w:ascii="Times New Roman;sans-serif" w:hAnsi="Times New Roman;sans-serif"/>
          <w:b w:val="false"/>
          <w:color w:val="000000"/>
          <w:sz w:val="22"/>
        </w:rPr>
        <w:t>or in the Assignment and Assumption pursuant to which such Lender becomes a party hereto, as applicable, as such amount may be adjusted from time to time in accordance with this Agreement.</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367665"/>
                <wp:effectExtent l="0" t="0" r="0" b="0"/>
                <wp:wrapNone/>
                <wp:docPr id="224" name="Frame21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Revolving Committed Borrowing</w:t>
      </w:r>
      <w:r>
        <w:rPr>
          <w:color w:val="000000"/>
        </w:rPr>
        <w:t xml:space="preserve">” </w:t>
      </w:r>
      <w:r>
        <w:rPr>
          <w:rFonts w:ascii="Times New Roman;sans-serif" w:hAnsi="Times New Roman;sans-serif"/>
          <w:b w:val="false"/>
          <w:color w:val="000000"/>
          <w:sz w:val="22"/>
        </w:rPr>
        <w:t xml:space="preserve">means a borrowing consisting of simultaneous Revolving Committed Loans of the same Type made by each of the Revolving Lenders pursuant to </w:t>
      </w:r>
      <w:r>
        <w:rPr>
          <w:rFonts w:ascii="Times New Roman;sans-serif" w:hAnsi="Times New Roman;sans-serif"/>
          <w:b w:val="false"/>
          <w:color w:val="000000"/>
          <w:sz w:val="22"/>
          <w:u w:val="single"/>
        </w:rPr>
        <w:t>Section 2.01</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Revolving Committed Loan</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2.01</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Revolving Committed Loan Notice</w:t>
      </w:r>
      <w:r>
        <w:rPr>
          <w:color w:val="000000"/>
        </w:rPr>
        <w:t xml:space="preserve">” </w:t>
      </w:r>
      <w:r>
        <w:rPr>
          <w:rFonts w:ascii="Times New Roman;sans-serif" w:hAnsi="Times New Roman;sans-serif"/>
          <w:b w:val="false"/>
          <w:color w:val="000000"/>
          <w:sz w:val="22"/>
        </w:rPr>
        <w:t xml:space="preserve">means a notice of (a) a Revolving Borrowing or (b) a conversion of Revolving Committed Loans from one Type to the other, pursuant to </w:t>
      </w:r>
      <w:r>
        <w:rPr>
          <w:rFonts w:ascii="Times New Roman;sans-serif" w:hAnsi="Times New Roman;sans-serif"/>
          <w:b w:val="false"/>
          <w:color w:val="000000"/>
          <w:sz w:val="22"/>
          <w:u w:val="single"/>
        </w:rPr>
        <w:t>Section 2.02(a)</w:t>
      </w:r>
      <w:r>
        <w:rPr>
          <w:rFonts w:ascii="Times New Roman;sans-serif" w:hAnsi="Times New Roman;sans-serif"/>
          <w:b w:val="false"/>
          <w:color w:val="000000"/>
          <w:sz w:val="22"/>
        </w:rPr>
        <w:t xml:space="preserve">, which shall be substantially in the form of </w:t>
      </w:r>
      <w:r>
        <w:rPr>
          <w:rFonts w:ascii="Times New Roman;sans-serif" w:hAnsi="Times New Roman;sans-serif"/>
          <w:b w:val="false"/>
          <w:color w:val="000000"/>
          <w:sz w:val="22"/>
          <w:u w:val="single"/>
        </w:rPr>
        <w:t>Exhibit A-2</w:t>
      </w:r>
      <w:r>
        <w:rPr>
          <w:color w:val="000000"/>
        </w:rPr>
        <w:t xml:space="preserve"> </w:t>
      </w:r>
      <w:r>
        <w:rPr>
          <w:rFonts w:ascii="Times New Roman;sans-serif" w:hAnsi="Times New Roman;sans-serif"/>
          <w:b w:val="false"/>
          <w:color w:val="000000"/>
          <w:sz w:val="22"/>
        </w:rPr>
        <w:t>or such other form as may be approved by the Administrative Agent (including any form on an electronic platform or electronic transmission system as shall be approved by the Administrative Agent), appropriately completed and signed by a Responsible Officer of the Company.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Revolving Credit Facility</w:t>
      </w:r>
      <w:r>
        <w:rPr>
          <w:color w:val="000000"/>
        </w:rPr>
        <w:t xml:space="preserve">” </w:t>
      </w:r>
      <w:r>
        <w:rPr>
          <w:rFonts w:ascii="Times New Roman;sans-serif" w:hAnsi="Times New Roman;sans-serif"/>
          <w:b w:val="false"/>
          <w:color w:val="000000"/>
          <w:sz w:val="22"/>
        </w:rPr>
        <w:t xml:space="preserve">means the revolving credit facility described in </w:t>
      </w:r>
      <w:r>
        <w:rPr>
          <w:rFonts w:ascii="Times New Roman;sans-serif" w:hAnsi="Times New Roman;sans-serif"/>
          <w:b w:val="false"/>
          <w:color w:val="000000"/>
          <w:sz w:val="22"/>
          <w:u w:val="single"/>
        </w:rPr>
        <w:t>Sections 2.01</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2.05</w:t>
      </w:r>
      <w:r>
        <w:rPr>
          <w:color w:val="000000"/>
        </w:rPr>
        <w:t xml:space="preserve"> </w:t>
      </w:r>
      <w:r>
        <w:rPr>
          <w:rFonts w:ascii="Times New Roman;sans-serif" w:hAnsi="Times New Roman;sans-serif"/>
          <w:b w:val="false"/>
          <w:color w:val="000000"/>
          <w:sz w:val="22"/>
        </w:rPr>
        <w:t>providing for Revolving Loans to the Company by the Revolving Lenders and L/C Credit Extensions by the L/C Issuers.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Revolving Lender</w:t>
      </w:r>
      <w:r>
        <w:rPr>
          <w:color w:val="000000"/>
        </w:rPr>
        <w:t xml:space="preserve">” </w:t>
      </w:r>
      <w:r>
        <w:rPr>
          <w:rFonts w:ascii="Times New Roman;sans-serif" w:hAnsi="Times New Roman;sans-serif"/>
          <w:b w:val="false"/>
          <w:color w:val="000000"/>
          <w:sz w:val="22"/>
        </w:rPr>
        <w:t>means each Lender that has a Revolving Commitment or, following termination of the Revolving Commitments, has Revolving Loans outstanding.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Revolving Loan</w:t>
      </w:r>
      <w:r>
        <w:rPr>
          <w:color w:val="000000"/>
        </w:rPr>
        <w:t xml:space="preserve">” </w:t>
      </w:r>
      <w:r>
        <w:rPr>
          <w:rFonts w:ascii="Times New Roman;sans-serif" w:hAnsi="Times New Roman;sans-serif"/>
          <w:b w:val="false"/>
          <w:color w:val="000000"/>
          <w:sz w:val="22"/>
        </w:rPr>
        <w:t xml:space="preserve">means an extension of credit by a Revolving Lender to the Company under </w:t>
      </w:r>
      <w:r>
        <w:rPr>
          <w:rFonts w:ascii="Times New Roman;sans-serif" w:hAnsi="Times New Roman;sans-serif"/>
          <w:b w:val="false"/>
          <w:color w:val="000000"/>
          <w:sz w:val="22"/>
          <w:u w:val="single"/>
        </w:rPr>
        <w:t>Article II</w:t>
      </w:r>
      <w:r>
        <w:rPr>
          <w:color w:val="000000"/>
        </w:rPr>
        <w:t xml:space="preserve"> </w:t>
      </w:r>
      <w:r>
        <w:rPr>
          <w:rFonts w:ascii="Times New Roman;sans-serif" w:hAnsi="Times New Roman;sans-serif"/>
          <w:b w:val="false"/>
          <w:color w:val="000000"/>
          <w:sz w:val="22"/>
        </w:rPr>
        <w:t>in the form of a Revolving Committed Loan or a Revolving Swing Line Loan.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Revolving Note</w:t>
      </w:r>
      <w:r>
        <w:rPr>
          <w:color w:val="000000"/>
        </w:rPr>
        <w:t xml:space="preserve">” </w:t>
      </w:r>
      <w:r>
        <w:rPr>
          <w:rFonts w:ascii="Times New Roman;sans-serif" w:hAnsi="Times New Roman;sans-serif"/>
          <w:b w:val="false"/>
          <w:color w:val="000000"/>
          <w:sz w:val="22"/>
        </w:rPr>
        <w:t xml:space="preserve">means a promissory note made by the Company in favor of a Lender evidencing Revolving Loans made by such Lender, substantially in the form of </w:t>
      </w:r>
      <w:r>
        <w:rPr>
          <w:rFonts w:ascii="Times New Roman;sans-serif" w:hAnsi="Times New Roman;sans-serif"/>
          <w:b w:val="false"/>
          <w:color w:val="000000"/>
          <w:sz w:val="22"/>
          <w:u w:val="single"/>
        </w:rPr>
        <w:t>Exhibit C-1</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Revolving Swing Line</w:t>
      </w:r>
      <w:r>
        <w:rPr>
          <w:color w:val="000000"/>
        </w:rPr>
        <w:t xml:space="preserve">” </w:t>
      </w:r>
      <w:r>
        <w:rPr>
          <w:rFonts w:ascii="Times New Roman;sans-serif" w:hAnsi="Times New Roman;sans-serif"/>
          <w:b w:val="false"/>
          <w:color w:val="000000"/>
          <w:sz w:val="22"/>
        </w:rPr>
        <w:t xml:space="preserve">means the revolving credit facility made available by the Revolving Swing Line Lender pursuant to </w:t>
      </w:r>
      <w:r>
        <w:rPr>
          <w:rFonts w:ascii="Times New Roman;sans-serif" w:hAnsi="Times New Roman;sans-serif"/>
          <w:b w:val="false"/>
          <w:color w:val="000000"/>
          <w:sz w:val="22"/>
          <w:u w:val="single"/>
        </w:rPr>
        <w:t>Section 2.04</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Revolving Swing Line Borrowing</w:t>
      </w:r>
      <w:r>
        <w:rPr>
          <w:color w:val="000000"/>
        </w:rPr>
        <w:t xml:space="preserve">” </w:t>
      </w:r>
      <w:r>
        <w:rPr>
          <w:rFonts w:ascii="Times New Roman;sans-serif" w:hAnsi="Times New Roman;sans-serif"/>
          <w:b w:val="false"/>
          <w:color w:val="000000"/>
          <w:sz w:val="22"/>
        </w:rPr>
        <w:t xml:space="preserve">means a borrowing of a Revolving Swing Line Loan pursuant to </w:t>
      </w:r>
      <w:r>
        <w:rPr>
          <w:rFonts w:ascii="Times New Roman;sans-serif" w:hAnsi="Times New Roman;sans-serif"/>
          <w:b w:val="false"/>
          <w:color w:val="000000"/>
          <w:sz w:val="22"/>
          <w:u w:val="single"/>
        </w:rPr>
        <w:t>Section 2.04</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Revolving Swing Line Lender</w:t>
      </w:r>
      <w:r>
        <w:rPr>
          <w:color w:val="000000"/>
        </w:rPr>
        <w:t xml:space="preserve">” </w:t>
      </w:r>
      <w:r>
        <w:rPr>
          <w:rFonts w:ascii="Times New Roman;sans-serif" w:hAnsi="Times New Roman;sans-serif"/>
          <w:b w:val="false"/>
          <w:color w:val="000000"/>
          <w:sz w:val="22"/>
        </w:rPr>
        <w:t>means Bank of America in its capacity as provider of Revolving Swing Line Loans, or any successor revolving swing line lender hereunder.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Revolving Swing Line Loan</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2.04(a)</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Revolving Swing Line Loan Notice</w:t>
      </w:r>
      <w:r>
        <w:rPr>
          <w:color w:val="000000"/>
        </w:rPr>
        <w:t xml:space="preserve">” </w:t>
      </w:r>
      <w:r>
        <w:rPr>
          <w:rFonts w:ascii="Times New Roman;sans-serif" w:hAnsi="Times New Roman;sans-serif"/>
          <w:b w:val="false"/>
          <w:color w:val="000000"/>
          <w:sz w:val="22"/>
        </w:rPr>
        <w:t xml:space="preserve">means a notice of a Revolving Swing Line Borrowing pursuant to </w:t>
      </w:r>
      <w:r>
        <w:rPr>
          <w:rFonts w:ascii="Times New Roman;sans-serif" w:hAnsi="Times New Roman;sans-serif"/>
          <w:b w:val="false"/>
          <w:color w:val="000000"/>
          <w:sz w:val="22"/>
          <w:u w:val="single"/>
        </w:rPr>
        <w:t>Section 2.04(b)</w:t>
      </w:r>
      <w:r>
        <w:rPr>
          <w:color w:val="000000"/>
        </w:rPr>
        <w:t xml:space="preserve"> </w:t>
      </w:r>
      <w:r>
        <w:rPr>
          <w:rFonts w:ascii="Times New Roman;sans-serif" w:hAnsi="Times New Roman;sans-serif"/>
          <w:b w:val="false"/>
          <w:color w:val="000000"/>
          <w:sz w:val="22"/>
        </w:rPr>
        <w:t xml:space="preserve">which shall be substantially in the form of </w:t>
      </w:r>
      <w:r>
        <w:rPr>
          <w:rFonts w:ascii="Times New Roman;sans-serif" w:hAnsi="Times New Roman;sans-serif"/>
          <w:b w:val="false"/>
          <w:color w:val="000000"/>
          <w:sz w:val="22"/>
          <w:u w:val="single"/>
        </w:rPr>
        <w:t>Exhibit B-2</w:t>
      </w:r>
      <w:r>
        <w:rPr>
          <w:color w:val="000000"/>
        </w:rPr>
        <w:t xml:space="preserve"> </w:t>
      </w:r>
      <w:r>
        <w:rPr>
          <w:rFonts w:ascii="Times New Roman;sans-serif" w:hAnsi="Times New Roman;sans-serif"/>
          <w:b w:val="false"/>
          <w:color w:val="000000"/>
          <w:sz w:val="22"/>
        </w:rPr>
        <w:t>or such other form as approved by the Administrative Agent (including any form on an electronic platform or electronic transmission system as shall be approved by the Administrative Agent), appropriately completed and signed by a Responsible Officer of the Company.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Revolving Swing Line Sublimit</w:t>
      </w:r>
      <w:r>
        <w:rPr>
          <w:color w:val="000000"/>
        </w:rPr>
        <w:t xml:space="preserve">” </w:t>
      </w:r>
      <w:r>
        <w:rPr>
          <w:rFonts w:ascii="Times New Roman;sans-serif" w:hAnsi="Times New Roman;sans-serif"/>
          <w:b w:val="false"/>
          <w:color w:val="000000"/>
          <w:sz w:val="22"/>
        </w:rPr>
        <w:t>means an amount equal to the lesser of (a) $15,000,000 or (b) the Aggregate Revolving Commitments. The Revolving Swing Line Sublimit is part of, and not in addition to, the Aggregate Revolving Commitments.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Revolving/Used Vehicle Event of Default</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8.01</w:t>
      </w:r>
      <w:r>
        <w:rPr>
          <w:rFonts w:ascii="Times New Roman;sans-serif" w:hAnsi="Times New Roman;sans-serif"/>
          <w:b w:val="false"/>
          <w:color w:val="000000"/>
          <w:sz w:val="22"/>
        </w:rPr>
        <w:t>.</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367665"/>
                <wp:effectExtent l="0" t="0" r="0" b="0"/>
                <wp:wrapNone/>
                <wp:docPr id="225" name="Frame22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Sanction(s)</w:t>
      </w:r>
      <w:r>
        <w:rPr>
          <w:color w:val="000000"/>
        </w:rPr>
        <w:t xml:space="preserve">” </w:t>
      </w:r>
      <w:r>
        <w:rPr>
          <w:rFonts w:ascii="Times New Roman;sans-serif" w:hAnsi="Times New Roman;sans-serif"/>
          <w:b w:val="false"/>
          <w:color w:val="000000"/>
          <w:sz w:val="22"/>
        </w:rPr>
        <w:t>means any international economic sanction administered or enforced by the United States Government (including without limitation, OFAC), the United Nations Security Council, the European Union, His Majesty’s Treasury or other relevant sanctions authority.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S&amp;P</w:t>
      </w:r>
      <w:r>
        <w:rPr>
          <w:color w:val="000000"/>
        </w:rPr>
        <w:t xml:space="preserve">” </w:t>
      </w:r>
      <w:r>
        <w:rPr>
          <w:rFonts w:ascii="Times New Roman;sans-serif" w:hAnsi="Times New Roman;sans-serif"/>
          <w:b w:val="false"/>
          <w:color w:val="000000"/>
          <w:sz w:val="22"/>
        </w:rPr>
        <w:t xml:space="preserve">means Standard &amp; Poor’s Financial Services LLC, a subsidiary of The McGraw-Hill Companies, Inc. and any successor thereto. </w:t>
      </w:r>
    </w:p>
    <w:p>
      <w:pPr>
        <w:pStyle w:val="TextBody"/>
        <w:bidi w:val="0"/>
        <w:spacing w:lineRule="auto" w:line="288" w:before="0" w:after="120"/>
        <w:ind w:left="0" w:right="0" w:firstLine="720"/>
        <w:jc w:val="both"/>
        <w:rPr/>
      </w:pPr>
      <w:r>
        <w:rPr>
          <w:color w:val="000000"/>
        </w:rPr>
        <w:t>“</w:t>
      </w:r>
      <w:r>
        <w:rPr>
          <w:rFonts w:ascii="Times New Roman;sans-serif" w:hAnsi="Times New Roman;sans-serif"/>
          <w:b w:val="false"/>
          <w:color w:val="000000"/>
          <w:sz w:val="22"/>
          <w:u w:val="single"/>
        </w:rPr>
        <w:t>Scheduled Unavailability Date</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3.03(b)</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SEC</w:t>
      </w:r>
      <w:r>
        <w:rPr>
          <w:color w:val="000000"/>
        </w:rPr>
        <w:t xml:space="preserve">” </w:t>
      </w:r>
      <w:r>
        <w:rPr>
          <w:rFonts w:ascii="Times New Roman;sans-serif" w:hAnsi="Times New Roman;sans-serif"/>
          <w:b w:val="false"/>
          <w:color w:val="000000"/>
          <w:sz w:val="22"/>
        </w:rPr>
        <w:t>means the Securities and Exchange Commission, or any Governmental Authority succeeding to any of its principal functions.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Secured Cash Management Agreement</w:t>
      </w:r>
      <w:r>
        <w:rPr>
          <w:color w:val="000000"/>
        </w:rPr>
        <w:t xml:space="preserve">” </w:t>
      </w:r>
      <w:r>
        <w:rPr>
          <w:rFonts w:ascii="Times New Roman;sans-serif" w:hAnsi="Times New Roman;sans-serif"/>
          <w:b w:val="false"/>
          <w:color w:val="000000"/>
          <w:sz w:val="22"/>
        </w:rPr>
        <w:t>means any Cash Management Agreement that is entered into by and between any Loan Party and any Cash Management Bank.</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Secured Hedge Agreement</w:t>
      </w:r>
      <w:r>
        <w:rPr>
          <w:color w:val="000000"/>
        </w:rPr>
        <w:t xml:space="preserve">” </w:t>
      </w:r>
      <w:r>
        <w:rPr>
          <w:rFonts w:ascii="Times New Roman;sans-serif" w:hAnsi="Times New Roman;sans-serif"/>
          <w:b w:val="false"/>
          <w:color w:val="000000"/>
          <w:sz w:val="22"/>
        </w:rPr>
        <w:t xml:space="preserve">means any Swap Contract permitted under </w:t>
      </w:r>
      <w:r>
        <w:rPr>
          <w:rFonts w:ascii="Times New Roman;sans-serif" w:hAnsi="Times New Roman;sans-serif"/>
          <w:b w:val="false"/>
          <w:color w:val="000000"/>
          <w:sz w:val="22"/>
          <w:u w:val="single"/>
        </w:rPr>
        <w:t>Article VII</w:t>
      </w:r>
      <w:r>
        <w:rPr>
          <w:color w:val="000000"/>
        </w:rPr>
        <w:t xml:space="preserve"> </w:t>
      </w:r>
      <w:r>
        <w:rPr>
          <w:rFonts w:ascii="Times New Roman;sans-serif" w:hAnsi="Times New Roman;sans-serif"/>
          <w:b w:val="false"/>
          <w:color w:val="000000"/>
          <w:sz w:val="22"/>
        </w:rPr>
        <w:t>that is entered into by and between any Loan Party and any Hedge Bank.</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Secured Parties</w:t>
      </w:r>
      <w:r>
        <w:rPr>
          <w:color w:val="000000"/>
        </w:rPr>
        <w:t xml:space="preserve">” </w:t>
      </w:r>
      <w:r>
        <w:rPr>
          <w:rFonts w:ascii="Times New Roman;sans-serif" w:hAnsi="Times New Roman;sans-serif"/>
          <w:b w:val="false"/>
          <w:color w:val="000000"/>
          <w:sz w:val="22"/>
        </w:rPr>
        <w:t xml:space="preserve">means, collectively, the Administrative Agent, the Lenders, the L/C Issuers, the Hedge Banks, the Cash Management Banks, each co-agent or sub-agent appointed by the Administrative Agent from time to time pursuant to </w:t>
      </w:r>
      <w:r>
        <w:rPr>
          <w:rFonts w:ascii="Times New Roman;sans-serif" w:hAnsi="Times New Roman;sans-serif"/>
          <w:b w:val="false"/>
          <w:color w:val="000000"/>
          <w:sz w:val="22"/>
          <w:u w:val="single"/>
        </w:rPr>
        <w:t>Section 9.05</w:t>
      </w:r>
      <w:r>
        <w:rPr>
          <w:rFonts w:ascii="Times New Roman;sans-serif" w:hAnsi="Times New Roman;sans-serif"/>
          <w:b w:val="false"/>
          <w:color w:val="000000"/>
          <w:sz w:val="22"/>
        </w:rPr>
        <w:t>, and the other Persons the Obligations owing to which are or are purported to be secured by the Collateral under the terms of the Security Instruments.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Security Agreement</w:t>
      </w:r>
      <w:r>
        <w:rPr>
          <w:color w:val="000000"/>
        </w:rPr>
        <w:t xml:space="preserve">” </w:t>
      </w:r>
      <w:r>
        <w:rPr>
          <w:rFonts w:ascii="Times New Roman;sans-serif" w:hAnsi="Times New Roman;sans-serif"/>
          <w:b w:val="false"/>
          <w:color w:val="000000"/>
          <w:sz w:val="22"/>
        </w:rPr>
        <w:t xml:space="preserve">means that certain Fourth Amended and Restated Security Agreement dated as of the Closing Date made by the Company and each other Loan Party in favor of the Administrative Agent for the benefit of the Secured Parties, substantially in the form of </w:t>
      </w:r>
      <w:r>
        <w:rPr>
          <w:rFonts w:ascii="Times New Roman;sans-serif" w:hAnsi="Times New Roman;sans-serif"/>
          <w:b w:val="false"/>
          <w:color w:val="000000"/>
          <w:sz w:val="22"/>
          <w:u w:val="single"/>
        </w:rPr>
        <w:t>Exhibit K</w:t>
      </w:r>
      <w:r>
        <w:rPr>
          <w:color w:val="000000"/>
        </w:rPr>
        <w:t xml:space="preserve"> </w:t>
      </w:r>
      <w:r>
        <w:rPr>
          <w:rFonts w:ascii="Times New Roman;sans-serif" w:hAnsi="Times New Roman;sans-serif"/>
          <w:b w:val="false"/>
          <w:color w:val="000000"/>
          <w:sz w:val="22"/>
        </w:rPr>
        <w:t xml:space="preserve">attached hereto, as supplemented from time to time by the execution and delivery of Joinder Agreements pursuant to </w:t>
      </w:r>
      <w:r>
        <w:rPr>
          <w:rFonts w:ascii="Times New Roman;sans-serif" w:hAnsi="Times New Roman;sans-serif"/>
          <w:b w:val="false"/>
          <w:color w:val="000000"/>
          <w:sz w:val="22"/>
          <w:u w:val="single"/>
        </w:rPr>
        <w:t>Section 6.14</w:t>
      </w:r>
      <w:r>
        <w:rPr>
          <w:rFonts w:ascii="Times New Roman;sans-serif" w:hAnsi="Times New Roman;sans-serif"/>
          <w:b w:val="false"/>
          <w:color w:val="000000"/>
          <w:sz w:val="22"/>
        </w:rPr>
        <w:t>, and as otherwise supplemented, amended, or modified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Security Instruments</w:t>
      </w:r>
      <w:r>
        <w:rPr>
          <w:color w:val="000000"/>
        </w:rPr>
        <w:t xml:space="preserve">” </w:t>
      </w:r>
      <w:r>
        <w:rPr>
          <w:rFonts w:ascii="Times New Roman;sans-serif" w:hAnsi="Times New Roman;sans-serif"/>
          <w:b w:val="false"/>
          <w:color w:val="000000"/>
          <w:sz w:val="22"/>
        </w:rPr>
        <w:t>means, collectively or individually as the context may indicate, the Security Agreement, the Pledge Agreement, the Escrow and Security Agreement, any Joinder Agreement, and all other agreements, instruments and other documents, whether now existing or hereafter in effect, pursuant to which any Borrower, any other Loan Party, or any other Person shall grant or convey to the Administrative Agent, for the benefit of the Secured Parties a Lien in, or any other Person shall acknowledge any such Lien in, property as security for all or any portion of the Obligations and any other obligation under any Loan Document.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Service Loaner Intercreditor Agreement</w:t>
      </w:r>
      <w:r>
        <w:rPr>
          <w:color w:val="000000"/>
        </w:rPr>
        <w:t xml:space="preserve">” </w:t>
      </w:r>
      <w:r>
        <w:rPr>
          <w:rFonts w:ascii="Times New Roman;sans-serif" w:hAnsi="Times New Roman;sans-serif"/>
          <w:b w:val="false"/>
          <w:color w:val="000000"/>
          <w:sz w:val="22"/>
        </w:rPr>
        <w:t>has the meaning specified in the definition of “Qualified Service Loaner Program.”</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SOFR Adjustment</w:t>
      </w:r>
      <w:r>
        <w:rPr>
          <w:color w:val="000000"/>
        </w:rPr>
        <w:t xml:space="preserve">” </w:t>
      </w:r>
      <w:r>
        <w:rPr>
          <w:rFonts w:ascii="Times New Roman;sans-serif" w:hAnsi="Times New Roman;sans-serif"/>
          <w:b w:val="false"/>
          <w:color w:val="000000"/>
          <w:sz w:val="22"/>
        </w:rPr>
        <w:t>with respect to Daily Simple SOFR means 0.10% (10 basis points).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SOFR Administrator</w:t>
      </w:r>
      <w:r>
        <w:rPr>
          <w:color w:val="000000"/>
        </w:rPr>
        <w:t xml:space="preserve">” </w:t>
      </w:r>
      <w:r>
        <w:rPr>
          <w:rFonts w:ascii="Times New Roman;sans-serif" w:hAnsi="Times New Roman;sans-serif"/>
          <w:b w:val="false"/>
          <w:color w:val="000000"/>
          <w:sz w:val="22"/>
        </w:rPr>
        <w:t>means the Federal Reserve Bank of New York, as the administrator of the Daily Simple SOFR Published Rate, or any successor administrator of the Daily Simple SOFR Published Rate designated by the Federal Reserve Bank of New York or other Person acting as the SOFR Administrator at such time that is satisfactory to the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Specified Event of Default</w:t>
      </w:r>
      <w:r>
        <w:rPr>
          <w:color w:val="000000"/>
        </w:rPr>
        <w:t xml:space="preserve">” </w:t>
      </w:r>
      <w:r>
        <w:rPr>
          <w:rFonts w:ascii="Times New Roman;sans-serif" w:hAnsi="Times New Roman;sans-serif"/>
          <w:b w:val="false"/>
          <w:color w:val="000000"/>
          <w:sz w:val="22"/>
        </w:rPr>
        <w:t xml:space="preserve">means an Event of Default arising under any or all of </w:t>
      </w:r>
      <w:r>
        <w:rPr>
          <w:rFonts w:ascii="Times New Roman;sans-serif" w:hAnsi="Times New Roman;sans-serif"/>
          <w:b w:val="false"/>
          <w:color w:val="000000"/>
          <w:sz w:val="22"/>
          <w:u w:val="single"/>
        </w:rPr>
        <w:t>Sections 8.01(a)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8.01(f)</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8.01(g)</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8.03(a)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8.03(g)</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8.03(h)</w:t>
      </w:r>
      <w:r>
        <w:rPr>
          <w:rFonts w:ascii="Times New Roman;sans-serif" w:hAnsi="Times New Roman;sans-serif"/>
          <w:b w:val="false"/>
          <w:color w:val="000000"/>
          <w:sz w:val="22"/>
        </w:rPr>
        <w:t>.</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367665"/>
                <wp:effectExtent l="0" t="0" r="0" b="0"/>
                <wp:wrapNone/>
                <wp:docPr id="226" name="Frame22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Specified Insurance Subsidiary</w:t>
      </w:r>
      <w:r>
        <w:rPr>
          <w:color w:val="000000"/>
        </w:rPr>
        <w:t xml:space="preserve">” </w:t>
      </w:r>
      <w:r>
        <w:rPr>
          <w:rFonts w:ascii="Times New Roman;sans-serif" w:hAnsi="Times New Roman;sans-serif"/>
          <w:b w:val="false"/>
          <w:color w:val="000000"/>
          <w:sz w:val="22"/>
        </w:rPr>
        <w:t>means (a) each of Landcar Casualty Company, Landcar Agency, Inc., and Landcar Administration Company, or (b) any insurance company organized under the laws of a state of the United States which company is either (i) formed by the Company or any of its Subsidiaries or i) acquired by the Company or any of its Subsidiaries or Affiliates in connection with any Permitted Acquisition, in each case of clauses (a), (b)(i) and (b)(ii) so long such entity is and remains a regulated entity and the sole purpose of such entity is providing extended service contracts and other consumer protection products to customers of the Vehicle Borrowers.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Specified Koons Acquisition Agreement Representations</w:t>
      </w:r>
      <w:r>
        <w:rPr>
          <w:color w:val="000000"/>
        </w:rPr>
        <w:t xml:space="preserve">” </w:t>
      </w:r>
      <w:r>
        <w:rPr>
          <w:rFonts w:ascii="Times New Roman;sans-serif" w:hAnsi="Times New Roman;sans-serif"/>
          <w:b w:val="false"/>
          <w:color w:val="000000"/>
          <w:sz w:val="22"/>
        </w:rPr>
        <w:t xml:space="preserve">means, with respect to the date of any Credit Extension, the representations made by the Koons Sellers or their subsidiaries in the Koons Acquisition Documents that are material to the interests of the Administrative Agent or the Lenders, but only to the extent that the Company or any of the Company’s affiliates have the right to terminate the Company’s or such affiliate’s obligations under the Koons Acquisition Documents or to decline to consummate the acquisition of the business to be financed by a Credit Extension on such date as a result of a breach of such representations in the Koons Acquisition Documents without liability to the Company or such affiliate.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Specified Loan Party</w:t>
      </w:r>
      <w:r>
        <w:rPr>
          <w:color w:val="000000"/>
        </w:rPr>
        <w:t xml:space="preserve">” </w:t>
      </w:r>
      <w:r>
        <w:rPr>
          <w:rFonts w:ascii="Times New Roman;sans-serif" w:hAnsi="Times New Roman;sans-serif"/>
          <w:b w:val="false"/>
          <w:color w:val="000000"/>
          <w:sz w:val="22"/>
        </w:rPr>
        <w:t xml:space="preserve">means any Loan Party that is not then an “eligible contract participant” under the Commodity Exchange Act (determined prior to giving effect to </w:t>
      </w:r>
      <w:r>
        <w:rPr>
          <w:rFonts w:ascii="Times New Roman;sans-serif" w:hAnsi="Times New Roman;sans-serif"/>
          <w:b w:val="false"/>
          <w:color w:val="000000"/>
          <w:sz w:val="22"/>
          <w:u w:val="single"/>
        </w:rPr>
        <w:t>Section 10.20</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Specified Representations</w:t>
      </w:r>
      <w:r>
        <w:rPr>
          <w:color w:val="000000"/>
        </w:rPr>
        <w:t xml:space="preserve">” </w:t>
      </w:r>
      <w:r>
        <w:rPr>
          <w:rFonts w:ascii="Times New Roman;sans-serif" w:hAnsi="Times New Roman;sans-serif"/>
          <w:b w:val="false"/>
          <w:color w:val="000000"/>
          <w:sz w:val="22"/>
        </w:rPr>
        <w:t xml:space="preserve">means the representations and warranties (including to the extent incorporated by reference in other Loan Documents) set forth in </w:t>
      </w:r>
      <w:r>
        <w:rPr>
          <w:rFonts w:ascii="Times New Roman;sans-serif" w:hAnsi="Times New Roman;sans-serif"/>
          <w:b w:val="false"/>
          <w:color w:val="000000"/>
          <w:sz w:val="22"/>
          <w:u w:val="single"/>
        </w:rPr>
        <w:t>Section 5.01(a)</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Section 5.01(b)(ii)</w:t>
      </w:r>
      <w:r>
        <w:rPr>
          <w:color w:val="000000"/>
        </w:rPr>
        <w:t xml:space="preserve"> </w:t>
      </w:r>
      <w:r>
        <w:rPr>
          <w:rFonts w:ascii="Times New Roman;sans-serif" w:hAnsi="Times New Roman;sans-serif"/>
          <w:b w:val="false"/>
          <w:color w:val="000000"/>
          <w:sz w:val="22"/>
        </w:rPr>
        <w:t xml:space="preserve">(solely with respect to corporate, limited liability company or partnership power and authority), </w:t>
      </w:r>
      <w:r>
        <w:rPr>
          <w:rFonts w:ascii="Times New Roman;sans-serif" w:hAnsi="Times New Roman;sans-serif"/>
          <w:b w:val="false"/>
          <w:color w:val="000000"/>
          <w:sz w:val="22"/>
          <w:u w:val="single"/>
        </w:rPr>
        <w:t>Section 5.02</w:t>
      </w:r>
      <w:r>
        <w:rPr>
          <w:color w:val="000000"/>
        </w:rPr>
        <w:t xml:space="preserve"> </w:t>
      </w:r>
      <w:r>
        <w:rPr>
          <w:rFonts w:ascii="Times New Roman;sans-serif" w:hAnsi="Times New Roman;sans-serif"/>
          <w:b w:val="false"/>
          <w:color w:val="000000"/>
          <w:sz w:val="22"/>
        </w:rPr>
        <w:t xml:space="preserve">(solely with respect to authorization of execution, delivery and performance of the Loan Documents by corporate or other organizational action), </w:t>
      </w:r>
      <w:r>
        <w:rPr>
          <w:rFonts w:ascii="Times New Roman;sans-serif" w:hAnsi="Times New Roman;sans-serif"/>
          <w:b w:val="false"/>
          <w:color w:val="000000"/>
          <w:sz w:val="22"/>
          <w:u w:val="single"/>
        </w:rPr>
        <w:t>Section 5.02(a)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5.02(b)(i)</w:t>
      </w:r>
      <w:r>
        <w:rPr>
          <w:color w:val="000000"/>
        </w:rPr>
        <w:t xml:space="preserve"> </w:t>
      </w:r>
      <w:r>
        <w:rPr>
          <w:rFonts w:ascii="Times New Roman;sans-serif" w:hAnsi="Times New Roman;sans-serif"/>
          <w:b w:val="false"/>
          <w:color w:val="000000"/>
          <w:sz w:val="22"/>
        </w:rPr>
        <w:t xml:space="preserve">(solely with respect to material Franchise Agreements or Framework Agreements, material lease agreements and other material agreements with manufacturers or distributors of Vehicles), </w:t>
      </w:r>
      <w:r>
        <w:rPr>
          <w:rFonts w:ascii="Times New Roman;sans-serif" w:hAnsi="Times New Roman;sans-serif"/>
          <w:b w:val="false"/>
          <w:color w:val="000000"/>
          <w:sz w:val="22"/>
          <w:u w:val="single"/>
        </w:rPr>
        <w:t>Section 5.02(c)</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5.04</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5.14</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5.21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5.22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5.25</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5.26</w:t>
      </w:r>
      <w:r>
        <w:rPr>
          <w:rFonts w:ascii="Times New Roman;sans-serif" w:hAnsi="Times New Roman;sans-serif"/>
          <w:b w:val="false"/>
          <w:color w:val="000000"/>
          <w:sz w:val="22"/>
        </w:rPr>
        <w:t xml:space="preserve">, and </w:t>
      </w:r>
      <w:r>
        <w:rPr>
          <w:rFonts w:ascii="Times New Roman;sans-serif" w:hAnsi="Times New Roman;sans-serif"/>
          <w:b w:val="false"/>
          <w:color w:val="000000"/>
          <w:sz w:val="22"/>
          <w:u w:val="single"/>
        </w:rPr>
        <w:t>Section 5.27</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Specified Subsidiary</w:t>
      </w:r>
      <w:r>
        <w:rPr>
          <w:color w:val="000000"/>
        </w:rPr>
        <w:t xml:space="preserve">” </w:t>
      </w:r>
      <w:r>
        <w:rPr>
          <w:rFonts w:ascii="Times New Roman;sans-serif" w:hAnsi="Times New Roman;sans-serif"/>
          <w:b w:val="false"/>
          <w:color w:val="000000"/>
          <w:sz w:val="22"/>
        </w:rPr>
        <w:t xml:space="preserve">means (a) any Restricted Subsidiary of the Company that does not own or operate a Ford or Lincoln dealership, or (b) at any time after the FMCC Indebtedness Termination has occurred, any Restricted Subsidiary.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Subordinated Indebtedness</w:t>
      </w:r>
      <w:r>
        <w:rPr>
          <w:color w:val="000000"/>
        </w:rPr>
        <w:t xml:space="preserve">” </w:t>
      </w:r>
      <w:r>
        <w:rPr>
          <w:rFonts w:ascii="Times New Roman;sans-serif" w:hAnsi="Times New Roman;sans-serif"/>
          <w:b w:val="false"/>
          <w:color w:val="000000"/>
          <w:sz w:val="22"/>
        </w:rPr>
        <w:t xml:space="preserve">means all Indebtedness of the Company or its Subsidiaries which (a) is subordinated to the Obligations contained herein in a manner reasonably acceptable to the Administrative Agent or has subordination terms substantially similar to those in the Prior Indenture, (b) without limitation of any other provision herein (including </w:t>
      </w:r>
      <w:r>
        <w:rPr>
          <w:rFonts w:ascii="Times New Roman;sans-serif" w:hAnsi="Times New Roman;sans-serif"/>
          <w:b w:val="false"/>
          <w:color w:val="000000"/>
          <w:sz w:val="22"/>
          <w:u w:val="single"/>
        </w:rPr>
        <w:t>Section 7.16</w:t>
      </w:r>
      <w:r>
        <w:rPr>
          <w:rFonts w:ascii="Times New Roman;sans-serif" w:hAnsi="Times New Roman;sans-serif"/>
          <w:b w:val="false"/>
          <w:color w:val="000000"/>
          <w:sz w:val="22"/>
        </w:rPr>
        <w:t xml:space="preserve">), does not require any payment of principal (or give the holder thereof any rights to require repurchase of such Indebtedness through put rights or otherwise) prior to the date that is 30 days after the Maturity Date (other than reasonable and customary prepayment, redemption, repurchase or defeasance obligations in connection with (i) sales of assets (so long as the terms relating thereto are not materially less favorable to the Loan Parties than the comparable terms set forth in the Prior Indenture), (ii) a change in control and (iii) the exercise of remedies in connection with the occurrence of an event of default), (c) such other Indebtedness has interest rates and fees that are not in excess of the rates and fees standard in the market at the time such Indebtedness is incurred as determined by the Company in good faith, (d) has, or the Administrative Agent (in its reasonable discretion after Reasonable Review (defined below)) has determined that such Indebtedness has, standstill and blockage provisions with regard to payments and enforcement actions that are no more adverse to the Lenders than those in the Prior Indenture (as such standstill and blockage provisions relate to the Existing Credit Agreement lenders and lenders that provide Vehicle floorplan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367665"/>
                <wp:effectExtent l="0" t="0" r="0" b="0"/>
                <wp:wrapNone/>
                <wp:docPr id="227" name="Frame22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financing to the Company or any of its Subsidiaries), and (e) the terms relating to amortization, maturity, collateral (if any), and other material terms of such Indebtedness and of any agreement entered into and of any instrument issued in connection therewith, taken as a whole, are not materially less favorable to the Loan Parties than the terms of the Prior Indenture, in each case as determined by the Company in good faith. For the purposes of clause (d) above, “</w:t>
      </w:r>
      <w:r>
        <w:rPr>
          <w:rFonts w:ascii="Times New Roman;sans-serif" w:hAnsi="Times New Roman;sans-serif"/>
          <w:b w:val="false"/>
          <w:color w:val="000000"/>
          <w:sz w:val="22"/>
          <w:u w:val="single"/>
        </w:rPr>
        <w:t>Reasonable Review</w:t>
      </w:r>
      <w:r>
        <w:rPr>
          <w:color w:val="000000"/>
        </w:rPr>
        <w:t xml:space="preserve">” </w:t>
      </w:r>
      <w:r>
        <w:rPr>
          <w:rFonts w:ascii="Times New Roman;sans-serif" w:hAnsi="Times New Roman;sans-serif"/>
          <w:b w:val="false"/>
          <w:color w:val="000000"/>
          <w:sz w:val="22"/>
        </w:rPr>
        <w:t xml:space="preserve">means that the Administrative Agent has had the opportunity and reasonable time to review copies of the definitive documentation for such Indebtedness, which copies have been provided to the Administrative Agent by the Company or its Subsidiaries.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Subsidiary</w:t>
      </w:r>
      <w:r>
        <w:rPr>
          <w:color w:val="000000"/>
        </w:rPr>
        <w:t xml:space="preserve">” </w:t>
      </w:r>
      <w:r>
        <w:rPr>
          <w:rFonts w:ascii="Times New Roman;sans-serif" w:hAnsi="Times New Roman;sans-serif"/>
          <w:b w:val="false"/>
          <w:color w:val="000000"/>
          <w:sz w:val="22"/>
        </w:rPr>
        <w:t>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Company and shall include, without limitation, the Unrestricted Subsidiaries.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Subsidiary Guarantors</w:t>
      </w:r>
      <w:r>
        <w:rPr>
          <w:color w:val="000000"/>
        </w:rPr>
        <w:t xml:space="preserve">” </w:t>
      </w:r>
      <w:r>
        <w:rPr>
          <w:rFonts w:ascii="Times New Roman;sans-serif" w:hAnsi="Times New Roman;sans-serif"/>
          <w:b w:val="false"/>
          <w:color w:val="000000"/>
          <w:sz w:val="22"/>
        </w:rPr>
        <w:t>means, collectively, all Subsidiaries executing a Subsidiary Guaranty on the Closing Date and all other Subsidiaries that enter into a Joinder Agreement; provided, for the avoidance of doubt, that no Foreign Subsidiary shall be a Subsidiary Guarantor.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Subsidiary Guaranty</w:t>
      </w:r>
      <w:r>
        <w:rPr>
          <w:color w:val="000000"/>
        </w:rPr>
        <w:t xml:space="preserve">” </w:t>
      </w:r>
      <w:r>
        <w:rPr>
          <w:rFonts w:ascii="Times New Roman;sans-serif" w:hAnsi="Times New Roman;sans-serif"/>
          <w:b w:val="false"/>
          <w:color w:val="000000"/>
          <w:sz w:val="22"/>
        </w:rPr>
        <w:t xml:space="preserve">means the Fourth Amended and Restated Subsidiary Guaranty Agreement made by the Subsidiary Guarantors in favor of the Administrative Agent and the Lenders, substantially in the form of </w:t>
      </w:r>
      <w:r>
        <w:rPr>
          <w:rFonts w:ascii="Times New Roman;sans-serif" w:hAnsi="Times New Roman;sans-serif"/>
          <w:b w:val="false"/>
          <w:color w:val="000000"/>
          <w:sz w:val="22"/>
          <w:u w:val="single"/>
        </w:rPr>
        <w:t>Exhibit F</w:t>
      </w:r>
      <w:r>
        <w:rPr>
          <w:color w:val="000000"/>
        </w:rPr>
        <w:t xml:space="preserve"> </w:t>
      </w:r>
      <w:r>
        <w:rPr>
          <w:rFonts w:ascii="Times New Roman;sans-serif" w:hAnsi="Times New Roman;sans-serif"/>
          <w:b w:val="false"/>
          <w:color w:val="000000"/>
          <w:sz w:val="22"/>
        </w:rPr>
        <w:t xml:space="preserve">as supplemented from time to time by execution and delivery of Joinder Agreements pursuant to </w:t>
      </w:r>
      <w:r>
        <w:rPr>
          <w:rFonts w:ascii="Times New Roman;sans-serif" w:hAnsi="Times New Roman;sans-serif"/>
          <w:b w:val="false"/>
          <w:color w:val="000000"/>
          <w:sz w:val="22"/>
          <w:u w:val="single"/>
        </w:rPr>
        <w:t>Section 6.14</w:t>
      </w:r>
      <w:r>
        <w:rPr>
          <w:color w:val="000000"/>
        </w:rPr>
        <w:t xml:space="preserve"> </w:t>
      </w:r>
      <w:r>
        <w:rPr>
          <w:rFonts w:ascii="Times New Roman;sans-serif" w:hAnsi="Times New Roman;sans-serif"/>
          <w:b w:val="false"/>
          <w:color w:val="000000"/>
          <w:sz w:val="22"/>
        </w:rPr>
        <w:t>and as otherwise supplemented, amended, or modified from time to time.</w:t>
      </w:r>
    </w:p>
    <w:p>
      <w:pPr>
        <w:pStyle w:val="TextBody"/>
        <w:bidi w:val="0"/>
        <w:spacing w:lineRule="auto" w:line="288" w:before="0" w:after="120"/>
        <w:ind w:left="0" w:right="0" w:firstLine="720"/>
        <w:jc w:val="both"/>
        <w:rPr/>
      </w:pPr>
      <w:r>
        <w:rPr>
          <w:color w:val="000000"/>
        </w:rPr>
        <w:t>“</w:t>
      </w:r>
      <w:r>
        <w:rPr>
          <w:rFonts w:ascii="Times New Roman;sans-serif" w:hAnsi="Times New Roman;sans-serif"/>
          <w:b w:val="false"/>
          <w:color w:val="000000"/>
          <w:sz w:val="22"/>
          <w:u w:val="single"/>
        </w:rPr>
        <w:t>Successor Rate</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3.03(b)</w:t>
      </w:r>
      <w:r>
        <w:rPr>
          <w:rFonts w:ascii="Times New Roman;sans-serif" w:hAnsi="Times New Roman;sans-serif"/>
          <w:b w:val="false"/>
          <w:color w:val="000000"/>
          <w:sz w:val="22"/>
        </w:rPr>
        <w:t>.</w:t>
      </w:r>
    </w:p>
    <w:p>
      <w:pPr>
        <w:pStyle w:val="TextBody"/>
        <w:bidi w:val="0"/>
        <w:spacing w:lineRule="auto" w:line="288" w:before="0" w:after="0"/>
        <w:ind w:left="0" w:right="0" w:firstLine="720"/>
        <w:jc w:val="both"/>
        <w:rPr/>
      </w:pPr>
      <w:r>
        <w:rPr>
          <w:color w:val="000000"/>
        </w:rPr>
        <w:t>“</w:t>
      </w:r>
      <w:r>
        <w:rPr>
          <w:rFonts w:ascii="Times New Roman;sans-serif" w:hAnsi="Times New Roman;sans-serif"/>
          <w:b w:val="false"/>
          <w:color w:val="000000"/>
          <w:sz w:val="22"/>
          <w:u w:val="single"/>
        </w:rPr>
        <w:t>Swap Contract</w:t>
      </w:r>
      <w:r>
        <w:rPr>
          <w:color w:val="000000"/>
        </w:rPr>
        <w:t xml:space="preserve">” </w:t>
      </w:r>
      <w:r>
        <w:rPr>
          <w:rFonts w:ascii="Times New Roman;sans-serif" w:hAnsi="Times New Roman;sans-serif"/>
          <w:b w:val="false"/>
          <w:color w:val="000000"/>
          <w:sz w:val="22"/>
        </w:rPr>
        <w:t>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“Master Agreement”), including any such obligations or liabilities under any Master Agreement.</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Swap Obligations</w:t>
      </w:r>
      <w:r>
        <w:rPr>
          <w:color w:val="000000"/>
        </w:rPr>
        <w:t xml:space="preserve">” </w:t>
      </w:r>
      <w:r>
        <w:rPr>
          <w:rFonts w:ascii="Times New Roman;sans-serif" w:hAnsi="Times New Roman;sans-serif"/>
          <w:b w:val="false"/>
          <w:color w:val="000000"/>
          <w:sz w:val="22"/>
        </w:rPr>
        <w:t>means with respect to any Guarantor any obligation to pay or perform under any agreement, contract or transaction that constitutes a “swap” within the meaning of Section 1a(47) of the Commodity Exchange Act.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Swap Termination Value</w:t>
      </w:r>
      <w:r>
        <w:rPr>
          <w:color w:val="000000"/>
        </w:rPr>
        <w:t xml:space="preserve">” </w:t>
      </w:r>
      <w:r>
        <w:rPr>
          <w:rFonts w:ascii="Times New Roman;sans-serif" w:hAnsi="Times New Roman;sans-serif"/>
          <w:b w:val="false"/>
          <w:color w:val="000000"/>
          <w:sz w:val="22"/>
        </w:rPr>
        <w:t xml:space="preserve">means, in respect of any one or more Swap Contracts, after taking into account the effect of any legally enforceable netting agreement relating to such Swap Contracts, (a)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367665"/>
                <wp:effectExtent l="0" t="0" r="0" b="0"/>
                <wp:wrapNone/>
                <wp:docPr id="228" name="Frame22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Swing Line Borrowings</w:t>
      </w:r>
      <w:r>
        <w:rPr>
          <w:color w:val="000000"/>
        </w:rPr>
        <w:t xml:space="preserve">” </w:t>
      </w:r>
      <w:r>
        <w:rPr>
          <w:rFonts w:ascii="Times New Roman;sans-serif" w:hAnsi="Times New Roman;sans-serif"/>
          <w:b w:val="false"/>
          <w:color w:val="000000"/>
          <w:sz w:val="22"/>
        </w:rPr>
        <w:t>means, collectively, Revolving Swing Line Borrowings, New Vehicle Floorplan Swing Line Borrowings and Used Vehicle Floorplan Swing Line Borrowings.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Swing Line Lenders</w:t>
      </w:r>
      <w:r>
        <w:rPr>
          <w:color w:val="000000"/>
        </w:rPr>
        <w:t xml:space="preserve">” </w:t>
      </w:r>
      <w:r>
        <w:rPr>
          <w:rFonts w:ascii="Times New Roman;sans-serif" w:hAnsi="Times New Roman;sans-serif"/>
          <w:b w:val="false"/>
          <w:color w:val="000000"/>
          <w:sz w:val="22"/>
        </w:rPr>
        <w:t xml:space="preserve">means, collectively, the Revolving Swing Line Lender, the New Vehicle Floorplan Swing Line Lender and the Used Vehicle Floorplan Swing Line Lender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Swing Line Loans</w:t>
      </w:r>
      <w:r>
        <w:rPr>
          <w:color w:val="000000"/>
        </w:rPr>
        <w:t xml:space="preserve">” </w:t>
      </w:r>
      <w:r>
        <w:rPr>
          <w:rFonts w:ascii="Times New Roman;sans-serif" w:hAnsi="Times New Roman;sans-serif"/>
          <w:b w:val="false"/>
          <w:color w:val="000000"/>
          <w:sz w:val="22"/>
        </w:rPr>
        <w:t>means, collectively, Revolving Swing Line Loans, New Vehicle Floorplan Swing Line Loans and Used Vehicle Floorplan Swing Line Loans.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Synthetic Lease Obligation</w:t>
      </w:r>
      <w:r>
        <w:rPr>
          <w:color w:val="000000"/>
        </w:rPr>
        <w:t xml:space="preserve">” </w:t>
      </w:r>
      <w:r>
        <w:rPr>
          <w:rFonts w:ascii="Times New Roman;sans-serif" w:hAnsi="Times New Roman;sans-serif"/>
          <w:b w:val="false"/>
          <w:color w:val="000000"/>
          <w:sz w:val="22"/>
        </w:rPr>
        <w:t>means the monetary obligation of a Person under (a) a so-called synthetic, off-balance sheet or tax retention lease, or (b) 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Taxes</w:t>
      </w:r>
      <w:r>
        <w:rPr>
          <w:color w:val="000000"/>
        </w:rPr>
        <w:t xml:space="preserve">” </w:t>
      </w:r>
      <w:r>
        <w:rPr>
          <w:rFonts w:ascii="Times New Roman;sans-serif" w:hAnsi="Times New Roman;sans-serif"/>
          <w:b w:val="false"/>
          <w:color w:val="000000"/>
          <w:sz w:val="22"/>
        </w:rPr>
        <w:t>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Threshold Amount</w:t>
      </w:r>
      <w:r>
        <w:rPr>
          <w:color w:val="000000"/>
        </w:rPr>
        <w:t xml:space="preserve">” </w:t>
      </w:r>
      <w:r>
        <w:rPr>
          <w:rFonts w:ascii="Times New Roman;sans-serif" w:hAnsi="Times New Roman;sans-serif"/>
          <w:b w:val="false"/>
          <w:color w:val="000000"/>
          <w:sz w:val="22"/>
        </w:rPr>
        <w:t>means $75,000,000.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Total Credit Exposure</w:t>
      </w:r>
      <w:r>
        <w:rPr>
          <w:color w:val="000000"/>
        </w:rPr>
        <w:t xml:space="preserve">” </w:t>
      </w:r>
      <w:r>
        <w:rPr>
          <w:rFonts w:ascii="Times New Roman;sans-serif" w:hAnsi="Times New Roman;sans-serif"/>
          <w:b w:val="false"/>
          <w:color w:val="000000"/>
          <w:sz w:val="22"/>
        </w:rPr>
        <w:t xml:space="preserve">means, as to any Lender at any time, the sum of the unused Commitments of such Lender at such time, plus the aggregate principal amount at such time of such Lender’s outstanding Loans and such Lender’s participation in L/C Obligations at such time.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Total New Vehicle Floorplan Outstandings</w:t>
      </w:r>
      <w:r>
        <w:rPr>
          <w:color w:val="000000"/>
        </w:rPr>
        <w:t xml:space="preserve">” </w:t>
      </w:r>
      <w:r>
        <w:rPr>
          <w:rFonts w:ascii="Times New Roman;sans-serif" w:hAnsi="Times New Roman;sans-serif"/>
          <w:b w:val="false"/>
          <w:color w:val="000000"/>
          <w:sz w:val="22"/>
        </w:rPr>
        <w:t>means the aggregate Outstanding Amount of all New Vehicle Floorplan Loans.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Total Outstandings</w:t>
      </w:r>
      <w:r>
        <w:rPr>
          <w:color w:val="000000"/>
        </w:rPr>
        <w:t xml:space="preserve">” </w:t>
      </w:r>
      <w:r>
        <w:rPr>
          <w:rFonts w:ascii="Times New Roman;sans-serif" w:hAnsi="Times New Roman;sans-serif"/>
          <w:b w:val="false"/>
          <w:color w:val="000000"/>
          <w:sz w:val="22"/>
        </w:rPr>
        <w:t>means the aggregate of the Total Revolving Outstandings, Total New Vehicle Floorplan Outstandings and Total Used Vehicle Floorplan Outstandings.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Total Revolving Outstandings</w:t>
      </w:r>
      <w:r>
        <w:rPr>
          <w:color w:val="000000"/>
        </w:rPr>
        <w:t xml:space="preserve">” </w:t>
      </w:r>
      <w:r>
        <w:rPr>
          <w:rFonts w:ascii="Times New Roman;sans-serif" w:hAnsi="Times New Roman;sans-serif"/>
          <w:b w:val="false"/>
          <w:color w:val="000000"/>
          <w:sz w:val="22"/>
        </w:rPr>
        <w:t>means the aggregate Outstanding Amount of all Revolving Loans and all L/C Obligations.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Total Used Vehicle Floorplan Outstandings</w:t>
      </w:r>
      <w:r>
        <w:rPr>
          <w:color w:val="000000"/>
        </w:rPr>
        <w:t xml:space="preserve">” </w:t>
      </w:r>
      <w:r>
        <w:rPr>
          <w:rFonts w:ascii="Times New Roman;sans-serif" w:hAnsi="Times New Roman;sans-serif"/>
          <w:b w:val="false"/>
          <w:color w:val="000000"/>
          <w:sz w:val="22"/>
        </w:rPr>
        <w:t>means the aggregate Outstanding Amount of all Used Vehicle Floorplan Loans.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Type</w:t>
      </w:r>
      <w:r>
        <w:rPr>
          <w:color w:val="000000"/>
        </w:rPr>
        <w:t xml:space="preserve">” </w:t>
      </w:r>
      <w:r>
        <w:rPr>
          <w:rFonts w:ascii="Times New Roman;sans-serif" w:hAnsi="Times New Roman;sans-serif"/>
          <w:b w:val="false"/>
          <w:color w:val="000000"/>
          <w:sz w:val="22"/>
        </w:rPr>
        <w:t>means with respect to a Loan, its character as a Base Rate Loan or a Daily Simple SOFR Loan.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UCC</w:t>
      </w:r>
      <w:r>
        <w:rPr>
          <w:color w:val="000000"/>
        </w:rPr>
        <w:t xml:space="preserve">” </w:t>
      </w:r>
      <w:r>
        <w:rPr>
          <w:rFonts w:ascii="Times New Roman;sans-serif" w:hAnsi="Times New Roman;sans-serif"/>
          <w:b w:val="false"/>
          <w:color w:val="000000"/>
          <w:sz w:val="22"/>
        </w:rPr>
        <w:t xml:space="preserve">means the Uniform Commercial Code as in effect in the State of New York;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perfection or the effect of perfection or non-perfection or the priority of any security interest in any Collateral is governed by the Uniform Commercial Code as in effect in a jurisdiction other than the State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367665"/>
                <wp:effectExtent l="0" t="0" r="0" b="0"/>
                <wp:wrapNone/>
                <wp:docPr id="229" name="Frame22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of New York, “UCC” means the Uniform Commercial Code as in effect from time to time in such other jurisdiction for purposes of the provisions hereof relating to such perfection, effect of perfection or non-perfection or priority.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UCP</w:t>
      </w:r>
      <w:r>
        <w:rPr>
          <w:color w:val="000000"/>
        </w:rPr>
        <w:t xml:space="preserve">” </w:t>
      </w:r>
      <w:r>
        <w:rPr>
          <w:rFonts w:ascii="Times New Roman;sans-serif" w:hAnsi="Times New Roman;sans-serif"/>
          <w:b w:val="false"/>
          <w:color w:val="000000"/>
          <w:sz w:val="22"/>
        </w:rPr>
        <w:t xml:space="preserve">means the Uniform Customs and Practice for Documentary Credits, International Chamber of Commerce Publication No. 600 (or such later version thereof as may be in effect at the applicable time).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UK Financial Institution</w:t>
      </w:r>
      <w:r>
        <w:rPr>
          <w:color w:val="000000"/>
        </w:rPr>
        <w:t xml:space="preserve">” </w:t>
      </w:r>
      <w:r>
        <w:rPr>
          <w:rFonts w:ascii="Times New Roman;sans-serif" w:hAnsi="Times New Roman;sans-serif"/>
          <w:b w:val="false"/>
          <w:color w:val="000000"/>
          <w:sz w:val="22"/>
        </w:rPr>
        <w:t>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UK Resolution Authority</w:t>
      </w:r>
      <w:r>
        <w:rPr>
          <w:color w:val="000000"/>
        </w:rPr>
        <w:t xml:space="preserve">” </w:t>
      </w:r>
      <w:r>
        <w:rPr>
          <w:rFonts w:ascii="Times New Roman;sans-serif" w:hAnsi="Times New Roman;sans-serif"/>
          <w:b w:val="false"/>
          <w:color w:val="000000"/>
          <w:sz w:val="22"/>
        </w:rPr>
        <w:t>means the Bank of England or any other public administrative authority having responsibility for the resolution of any UK Financial Institution.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United States</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U.S.</w:t>
      </w:r>
      <w:r>
        <w:rPr>
          <w:color w:val="000000"/>
        </w:rPr>
        <w:t xml:space="preserve">” </w:t>
      </w:r>
      <w:r>
        <w:rPr>
          <w:rFonts w:ascii="Times New Roman;sans-serif" w:hAnsi="Times New Roman;sans-serif"/>
          <w:b w:val="false"/>
          <w:color w:val="000000"/>
          <w:sz w:val="22"/>
        </w:rPr>
        <w:t>mean the United States of America.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Unreimbursed Amount</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2.03(c)(i)</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Unrestricted Subsidiaries</w:t>
      </w:r>
      <w:r>
        <w:rPr>
          <w:color w:val="000000"/>
        </w:rPr>
        <w:t xml:space="preserve">” </w:t>
      </w:r>
      <w:r>
        <w:rPr>
          <w:rFonts w:ascii="Times New Roman;sans-serif" w:hAnsi="Times New Roman;sans-serif"/>
          <w:b w:val="false"/>
          <w:color w:val="000000"/>
          <w:sz w:val="22"/>
        </w:rPr>
        <w:t>means all Subsidiaries of the Company other than the Restricted Subsidiaries.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U.S. Government Securities Business Day</w:t>
      </w:r>
      <w:r>
        <w:rPr>
          <w:color w:val="000000"/>
        </w:rPr>
        <w:t xml:space="preserve">” </w:t>
      </w:r>
      <w:r>
        <w:rPr>
          <w:rFonts w:ascii="Times New Roman;sans-serif" w:hAnsi="Times New Roman;sans-serif"/>
          <w:b w:val="false"/>
          <w:color w:val="000000"/>
          <w:sz w:val="22"/>
        </w:rPr>
        <w:t xml:space="preserve">means any day except for (a) a Saturday, (b) a Sunday or (c) a day on which the Securities Industry and Financial Markets Association recommends that the fixed income departments of its members be closed for the entire day for purposes of trading in United States government securities.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U.S. Person</w:t>
      </w:r>
      <w:r>
        <w:rPr>
          <w:color w:val="000000"/>
        </w:rPr>
        <w:t xml:space="preserve">” </w:t>
      </w:r>
      <w:r>
        <w:rPr>
          <w:rFonts w:ascii="Times New Roman;sans-serif" w:hAnsi="Times New Roman;sans-serif"/>
          <w:b w:val="false"/>
          <w:color w:val="000000"/>
          <w:sz w:val="22"/>
        </w:rPr>
        <w:t>means any Person that is a “United States Person” as defined in Section 7701(a)(30) of the Code.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U.S. Tax Compliance Certificate</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3.01(e)(ii)(B)(III)</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Used Vehicle</w:t>
      </w:r>
      <w:r>
        <w:rPr>
          <w:color w:val="000000"/>
        </w:rPr>
        <w:t xml:space="preserve">” </w:t>
      </w:r>
      <w:r>
        <w:rPr>
          <w:rFonts w:ascii="Times New Roman;sans-serif" w:hAnsi="Times New Roman;sans-serif"/>
          <w:b w:val="false"/>
          <w:color w:val="000000"/>
          <w:sz w:val="22"/>
        </w:rPr>
        <w:t>means a Vehicle other than a New Vehicle.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Used Vehicle Autoborrow Advance</w:t>
      </w:r>
      <w:r>
        <w:rPr>
          <w:color w:val="000000"/>
        </w:rPr>
        <w:t xml:space="preserve">” </w:t>
      </w:r>
      <w:r>
        <w:rPr>
          <w:rFonts w:ascii="Times New Roman;sans-serif" w:hAnsi="Times New Roman;sans-serif"/>
          <w:b w:val="false"/>
          <w:color w:val="000000"/>
          <w:sz w:val="22"/>
        </w:rPr>
        <w:t xml:space="preserve">shall have the meaning specified in </w:t>
      </w:r>
      <w:r>
        <w:rPr>
          <w:rFonts w:ascii="Times New Roman;sans-serif" w:hAnsi="Times New Roman;sans-serif"/>
          <w:b w:val="false"/>
          <w:color w:val="000000"/>
          <w:sz w:val="22"/>
          <w:u w:val="single"/>
        </w:rPr>
        <w:t>Section 2.12(b)</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Used Vehicle Autoborrow Agreement</w:t>
      </w:r>
      <w:r>
        <w:rPr>
          <w:color w:val="000000"/>
        </w:rPr>
        <w:t xml:space="preserve">” </w:t>
      </w:r>
      <w:r>
        <w:rPr>
          <w:rFonts w:ascii="Times New Roman;sans-serif" w:hAnsi="Times New Roman;sans-serif"/>
          <w:b w:val="false"/>
          <w:color w:val="000000"/>
          <w:sz w:val="22"/>
        </w:rPr>
        <w:t xml:space="preserve">shall have the meaning specified in </w:t>
      </w:r>
      <w:r>
        <w:rPr>
          <w:rFonts w:ascii="Times New Roman;sans-serif" w:hAnsi="Times New Roman;sans-serif"/>
          <w:b w:val="false"/>
          <w:color w:val="000000"/>
          <w:sz w:val="22"/>
          <w:u w:val="single"/>
        </w:rPr>
        <w:t>Section 2.12(b)</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Used Vehicle Borrower</w:t>
      </w:r>
      <w:r>
        <w:rPr>
          <w:color w:val="000000"/>
        </w:rPr>
        <w:t xml:space="preserve">” </w:t>
      </w:r>
      <w:r>
        <w:rPr>
          <w:rFonts w:ascii="Times New Roman;sans-serif" w:hAnsi="Times New Roman;sans-serif"/>
          <w:b w:val="false"/>
          <w:color w:val="000000"/>
          <w:sz w:val="22"/>
        </w:rPr>
        <w:t>has the meaning specified in the introductory paragraph 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Used Vehicle Floorplan Borrowing</w:t>
      </w:r>
      <w:r>
        <w:rPr>
          <w:color w:val="000000"/>
        </w:rPr>
        <w:t xml:space="preserve">” </w:t>
      </w:r>
      <w:r>
        <w:rPr>
          <w:rFonts w:ascii="Times New Roman;sans-serif" w:hAnsi="Times New Roman;sans-serif"/>
          <w:b w:val="false"/>
          <w:color w:val="000000"/>
          <w:sz w:val="22"/>
        </w:rPr>
        <w:t>means a Used Vehicle Floorplan Committed Borrowing or a Used Vehicle Floorplan Swing Line Borrowing, as the context may require.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Used Vehicle Floorplan Borrowing Base</w:t>
      </w:r>
      <w:r>
        <w:rPr>
          <w:color w:val="000000"/>
        </w:rPr>
        <w:t xml:space="preserve">” </w:t>
      </w:r>
      <w:r>
        <w:rPr>
          <w:rFonts w:ascii="Times New Roman;sans-serif" w:hAnsi="Times New Roman;sans-serif"/>
          <w:b w:val="false"/>
          <w:color w:val="000000"/>
          <w:sz w:val="22"/>
        </w:rPr>
        <w:t>means, as of any date of calculation, 85% of the Net Book Value of Eligible Used Vehicle Inventory.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Used Vehicle Floorplan Borrowing Base Certificate</w:t>
      </w:r>
      <w:r>
        <w:rPr>
          <w:color w:val="000000"/>
        </w:rPr>
        <w:t xml:space="preserve">” </w:t>
      </w:r>
      <w:r>
        <w:rPr>
          <w:rFonts w:ascii="Times New Roman;sans-serif" w:hAnsi="Times New Roman;sans-serif"/>
          <w:b w:val="false"/>
          <w:color w:val="000000"/>
          <w:sz w:val="22"/>
        </w:rPr>
        <w:t xml:space="preserve">means a certificate by a Responsible Officer of the Company, substantially in the form of </w:t>
      </w:r>
      <w:r>
        <w:rPr>
          <w:rFonts w:ascii="Times New Roman;sans-serif" w:hAnsi="Times New Roman;sans-serif"/>
          <w:b w:val="false"/>
          <w:color w:val="000000"/>
          <w:sz w:val="22"/>
          <w:u w:val="single"/>
        </w:rPr>
        <w:t>Exhibit J-2</w:t>
      </w:r>
      <w:r>
        <w:rPr>
          <w:color w:val="000000"/>
        </w:rPr>
        <w:t xml:space="preserve"> </w:t>
      </w:r>
      <w:r>
        <w:rPr>
          <w:rFonts w:ascii="Times New Roman;sans-serif" w:hAnsi="Times New Roman;sans-serif"/>
          <w:b w:val="false"/>
          <w:color w:val="000000"/>
          <w:sz w:val="22"/>
        </w:rPr>
        <w:t xml:space="preserve">(or another form acceptable to the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367665"/>
                <wp:effectExtent l="0" t="0" r="0" b="0"/>
                <wp:wrapNone/>
                <wp:docPr id="230" name="Frame22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Administrative Agent) setting forth the calculation of the Used Vehicle Floorplan Borrowing Base, including a calculation of each component thereof, all in such detail as shall be reasonably satisfactory to the Administrative Agent (and which will include a designation of those assets of Subsidiaries which operate Ford or Lincoln Franchises and other classifications which do not qualify for inclusion in the Used Vehicle Floorplan Borrowing Base because such assets are not subject to the first priority perfected Lien of the Administrative Agent or any other reason for disqualification thereof). All calculations of the Used Vehicle Floorplan Borrowing Base in connection with the preparation of any Used Vehicle Floorplan Borrowing Base Certificate shall originally be made by the Company and certified to the Administrative Agent. Notwithstanding the foregoing, if the Administrative Agent has reasonable grounds to believe that the calculation of the Used Vehicle Floorplan Borrowing Base set forth in any Used Vehicle Floorplan Borrowing Base Certificate is not in accordance with this Agreement, the Administrative Agent shall inform the Company of the grounds for such belief and shall request confirmation by the Company of the calculation. Prior to confirmation, the Used Vehicle Floorplan Borrowing Base may be adjusted by the Administrative Agent so the calculation thereof is in accordance with this Agreement (in the Administrative Agent’s reasonable determination).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Used Vehicle Floorplan Commitment</w:t>
      </w:r>
      <w:r>
        <w:rPr>
          <w:color w:val="000000"/>
        </w:rPr>
        <w:t xml:space="preserve">” </w:t>
      </w:r>
      <w:r>
        <w:rPr>
          <w:rFonts w:ascii="Times New Roman;sans-serif" w:hAnsi="Times New Roman;sans-serif"/>
          <w:b w:val="false"/>
          <w:color w:val="000000"/>
          <w:sz w:val="22"/>
        </w:rPr>
        <w:t xml:space="preserve">means, as to each Lender, its obligation to (a) make Used Vehicle Floorplan Committed Loans to the Used Vehicle Borrowers pursuant to </w:t>
      </w:r>
      <w:r>
        <w:rPr>
          <w:rFonts w:ascii="Times New Roman;sans-serif" w:hAnsi="Times New Roman;sans-serif"/>
          <w:b w:val="false"/>
          <w:color w:val="000000"/>
          <w:sz w:val="22"/>
          <w:u w:val="single"/>
        </w:rPr>
        <w:t>Section 2.11</w:t>
      </w:r>
      <w:r>
        <w:rPr>
          <w:rFonts w:ascii="Times New Roman;sans-serif" w:hAnsi="Times New Roman;sans-serif"/>
          <w:b w:val="false"/>
          <w:color w:val="000000"/>
          <w:sz w:val="22"/>
        </w:rPr>
        <w:t xml:space="preserve">, and (b) purchase participations in Used Vehicle Floorplan Swing Line Loans, in an aggregate principal amount at any one time outstanding not to exceed the amount set forth opposite such Lender’s name on </w:t>
      </w:r>
      <w:r>
        <w:rPr>
          <w:rFonts w:ascii="Times New Roman;sans-serif" w:hAnsi="Times New Roman;sans-serif"/>
          <w:b w:val="false"/>
          <w:color w:val="000000"/>
          <w:sz w:val="22"/>
          <w:u w:val="single"/>
        </w:rPr>
        <w:t>Schedule 2.01</w:t>
      </w:r>
      <w:r>
        <w:rPr>
          <w:color w:val="000000"/>
        </w:rPr>
        <w:t xml:space="preserve"> </w:t>
      </w:r>
      <w:r>
        <w:rPr>
          <w:rFonts w:ascii="Times New Roman;sans-serif" w:hAnsi="Times New Roman;sans-serif"/>
          <w:b w:val="false"/>
          <w:color w:val="000000"/>
          <w:sz w:val="22"/>
        </w:rPr>
        <w:t>or in the Assignment and Assumption pursuant to which such Lender becomes a party hereto, as applicable, as such amount may be adjusted from time to time in accordance with this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Used Vehicle Floorplan Committed Borrowing</w:t>
      </w:r>
      <w:r>
        <w:rPr>
          <w:color w:val="000000"/>
        </w:rPr>
        <w:t xml:space="preserve">” </w:t>
      </w:r>
      <w:r>
        <w:rPr>
          <w:rFonts w:ascii="Times New Roman;sans-serif" w:hAnsi="Times New Roman;sans-serif"/>
          <w:b w:val="false"/>
          <w:color w:val="000000"/>
          <w:sz w:val="22"/>
        </w:rPr>
        <w:t xml:space="preserve">means a borrowing consisting of simultaneous Used Vehicle Floorplan Committed Loans of the same Type made by each of the Used Vehicle Floorplan Lenders pursuant to </w:t>
      </w:r>
      <w:r>
        <w:rPr>
          <w:rFonts w:ascii="Times New Roman;sans-serif" w:hAnsi="Times New Roman;sans-serif"/>
          <w:b w:val="false"/>
          <w:color w:val="000000"/>
          <w:sz w:val="22"/>
          <w:u w:val="single"/>
        </w:rPr>
        <w:t>Section 2.11</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Used Vehicle Floorplan Committed Loan</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2.10</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Used Vehicle Floorplan Committed Loan Notice</w:t>
      </w:r>
      <w:r>
        <w:rPr>
          <w:color w:val="000000"/>
        </w:rPr>
        <w:t xml:space="preserve">” </w:t>
      </w:r>
      <w:r>
        <w:rPr>
          <w:rFonts w:ascii="Times New Roman;sans-serif" w:hAnsi="Times New Roman;sans-serif"/>
          <w:b w:val="false"/>
          <w:color w:val="000000"/>
          <w:sz w:val="22"/>
        </w:rPr>
        <w:t xml:space="preserve">means a notice of (a) a Used Vehicle Floorplan Committed Borrowing, or (b) a conversion of Used Vehicle Floorplan Committed Loans from one Type to the other, pursuant to </w:t>
      </w:r>
      <w:r>
        <w:rPr>
          <w:rFonts w:ascii="Times New Roman;sans-serif" w:hAnsi="Times New Roman;sans-serif"/>
          <w:b w:val="false"/>
          <w:color w:val="000000"/>
          <w:sz w:val="22"/>
          <w:u w:val="single"/>
        </w:rPr>
        <w:t>Section 2.11(a)</w:t>
      </w:r>
      <w:r>
        <w:rPr>
          <w:rFonts w:ascii="Times New Roman;sans-serif" w:hAnsi="Times New Roman;sans-serif"/>
          <w:b w:val="false"/>
          <w:color w:val="000000"/>
          <w:sz w:val="22"/>
        </w:rPr>
        <w:t xml:space="preserve">, which shall be substantially in the form of </w:t>
      </w:r>
      <w:r>
        <w:rPr>
          <w:rFonts w:ascii="Times New Roman;sans-serif" w:hAnsi="Times New Roman;sans-serif"/>
          <w:b w:val="false"/>
          <w:color w:val="000000"/>
          <w:sz w:val="22"/>
          <w:u w:val="single"/>
        </w:rPr>
        <w:t>Exhibit A-3</w:t>
      </w:r>
      <w:r>
        <w:rPr>
          <w:color w:val="000000"/>
        </w:rPr>
        <w:t xml:space="preserve"> </w:t>
      </w:r>
      <w:r>
        <w:rPr>
          <w:rFonts w:ascii="Times New Roman;sans-serif" w:hAnsi="Times New Roman;sans-serif"/>
          <w:b w:val="false"/>
          <w:color w:val="000000"/>
          <w:sz w:val="22"/>
        </w:rPr>
        <w:t>or such other form as may be approved by the Administrative Agent (including any form on an electronic platform or electronic transmission system as shall be approved by the Administrative Agent), appropriately completed and signed by a Responsible Officer of the Company</w:t>
      </w:r>
      <w:r>
        <w:rPr>
          <w:rFonts w:ascii="Times New Roman;sans-serif" w:hAnsi="Times New Roman;sans-serif"/>
          <w:b w:val="false"/>
          <w:color w:val="000000"/>
          <w:sz w:val="22"/>
          <w:u w:val="single"/>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Used Vehicle Floorplan Facility</w:t>
      </w:r>
      <w:r>
        <w:rPr>
          <w:color w:val="000000"/>
        </w:rPr>
        <w:t xml:space="preserve">” </w:t>
      </w:r>
      <w:r>
        <w:rPr>
          <w:rFonts w:ascii="Times New Roman;sans-serif" w:hAnsi="Times New Roman;sans-serif"/>
          <w:b w:val="false"/>
          <w:color w:val="000000"/>
          <w:sz w:val="22"/>
        </w:rPr>
        <w:t xml:space="preserve">means the Used Vehicle floorplan facility described in </w:t>
      </w:r>
      <w:r>
        <w:rPr>
          <w:rFonts w:ascii="Times New Roman;sans-serif" w:hAnsi="Times New Roman;sans-serif"/>
          <w:b w:val="false"/>
          <w:color w:val="000000"/>
          <w:sz w:val="22"/>
          <w:u w:val="single"/>
        </w:rPr>
        <w:t>Sections 2.10</w:t>
      </w:r>
      <w:r>
        <w:rPr>
          <w:color w:val="000000"/>
        </w:rPr>
        <w:t xml:space="preserve"> </w:t>
      </w:r>
      <w:r>
        <w:rPr>
          <w:rFonts w:ascii="Times New Roman;sans-serif" w:hAnsi="Times New Roman;sans-serif"/>
          <w:b w:val="false"/>
          <w:color w:val="000000"/>
          <w:sz w:val="22"/>
        </w:rPr>
        <w:t xml:space="preserve">through </w:t>
      </w:r>
      <w:r>
        <w:rPr>
          <w:rFonts w:ascii="Times New Roman;sans-serif" w:hAnsi="Times New Roman;sans-serif"/>
          <w:b w:val="false"/>
          <w:color w:val="000000"/>
          <w:sz w:val="22"/>
          <w:u w:val="single"/>
        </w:rPr>
        <w:t>2.12</w:t>
      </w:r>
      <w:r>
        <w:rPr>
          <w:color w:val="000000"/>
        </w:rPr>
        <w:t xml:space="preserve"> </w:t>
      </w:r>
      <w:r>
        <w:rPr>
          <w:rFonts w:ascii="Times New Roman;sans-serif" w:hAnsi="Times New Roman;sans-serif"/>
          <w:b w:val="false"/>
          <w:color w:val="000000"/>
          <w:sz w:val="22"/>
        </w:rPr>
        <w:t>providing for Used Vehicle Floorplan Loans to the Used Vehicle Borrowers by the Used Vehicle Floorplan Lenders.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Used Vehicle Floorplan Lender</w:t>
      </w:r>
      <w:r>
        <w:rPr>
          <w:color w:val="000000"/>
        </w:rPr>
        <w:t xml:space="preserve">” </w:t>
      </w:r>
      <w:r>
        <w:rPr>
          <w:rFonts w:ascii="Times New Roman;sans-serif" w:hAnsi="Times New Roman;sans-serif"/>
          <w:b w:val="false"/>
          <w:color w:val="000000"/>
          <w:sz w:val="22"/>
        </w:rPr>
        <w:t>means each Lender that has a Used Vehicle Floorplan Commitment or, following termination of the Used Vehicle Floorplan Commitments, has Used Vehicle Floorplan Loans outstanding.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Used Vehicle Floorplan Loan</w:t>
      </w:r>
      <w:r>
        <w:rPr>
          <w:color w:val="000000"/>
        </w:rPr>
        <w:t xml:space="preserve">” </w:t>
      </w:r>
      <w:r>
        <w:rPr>
          <w:rFonts w:ascii="Times New Roman;sans-serif" w:hAnsi="Times New Roman;sans-serif"/>
          <w:b w:val="false"/>
          <w:color w:val="000000"/>
          <w:sz w:val="22"/>
        </w:rPr>
        <w:t xml:space="preserve">means an extension of credit by a Used Vehicle Floorplan Lender to a Used Vehicle Borrower under </w:t>
      </w:r>
      <w:r>
        <w:rPr>
          <w:rFonts w:ascii="Times New Roman;sans-serif" w:hAnsi="Times New Roman;sans-serif"/>
          <w:b w:val="false"/>
          <w:color w:val="000000"/>
          <w:sz w:val="22"/>
          <w:u w:val="single"/>
        </w:rPr>
        <w:t>Article II</w:t>
      </w:r>
      <w:r>
        <w:rPr>
          <w:color w:val="000000"/>
        </w:rPr>
        <w:t xml:space="preserve"> </w:t>
      </w:r>
      <w:r>
        <w:rPr>
          <w:rFonts w:ascii="Times New Roman;sans-serif" w:hAnsi="Times New Roman;sans-serif"/>
          <w:b w:val="false"/>
          <w:color w:val="000000"/>
          <w:sz w:val="22"/>
        </w:rPr>
        <w:t>in the form of a Used Vehicle Floorplan Committed Loan or, in the case of the Company only, a Used Vehicle Floorplan Swing Line Loan.</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367665"/>
                <wp:effectExtent l="0" t="0" r="0" b="0"/>
                <wp:wrapNone/>
                <wp:docPr id="231" name="Frame22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Used Vehicle Floorplan Note</w:t>
      </w:r>
      <w:r>
        <w:rPr>
          <w:color w:val="000000"/>
        </w:rPr>
        <w:t xml:space="preserve">” </w:t>
      </w:r>
      <w:r>
        <w:rPr>
          <w:rFonts w:ascii="Times New Roman;sans-serif" w:hAnsi="Times New Roman;sans-serif"/>
          <w:b w:val="false"/>
          <w:color w:val="000000"/>
          <w:sz w:val="22"/>
        </w:rPr>
        <w:t xml:space="preserve">means a promissory note made by the Used Vehicle Borrowers in favor of a Lender evidencing Used Vehicle Floorplan Loans made by such Lender, substantially in the form of </w:t>
      </w:r>
      <w:r>
        <w:rPr>
          <w:rFonts w:ascii="Times New Roman;sans-serif" w:hAnsi="Times New Roman;sans-serif"/>
          <w:b w:val="false"/>
          <w:color w:val="000000"/>
          <w:sz w:val="22"/>
          <w:u w:val="single"/>
        </w:rPr>
        <w:t>Exhibit C-3</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Used Vehicle Floorplan Swing Line</w:t>
      </w:r>
      <w:r>
        <w:rPr>
          <w:color w:val="000000"/>
        </w:rPr>
        <w:t xml:space="preserve">” </w:t>
      </w:r>
      <w:r>
        <w:rPr>
          <w:rFonts w:ascii="Times New Roman;sans-serif" w:hAnsi="Times New Roman;sans-serif"/>
          <w:b w:val="false"/>
          <w:color w:val="000000"/>
          <w:sz w:val="22"/>
        </w:rPr>
        <w:t xml:space="preserve">means the revolving credit facility made available by the Used Vehicle Floorplan Swing Line Lender pursuant to </w:t>
      </w:r>
      <w:r>
        <w:rPr>
          <w:rFonts w:ascii="Times New Roman;sans-serif" w:hAnsi="Times New Roman;sans-serif"/>
          <w:b w:val="false"/>
          <w:color w:val="000000"/>
          <w:sz w:val="22"/>
          <w:u w:val="single"/>
        </w:rPr>
        <w:t>Section 2.12</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Used Vehicle Floorplan Swing Line Borrowing</w:t>
      </w:r>
      <w:r>
        <w:rPr>
          <w:color w:val="000000"/>
        </w:rPr>
        <w:t xml:space="preserve">” </w:t>
      </w:r>
      <w:r>
        <w:rPr>
          <w:rFonts w:ascii="Times New Roman;sans-serif" w:hAnsi="Times New Roman;sans-serif"/>
          <w:b w:val="false"/>
          <w:color w:val="000000"/>
          <w:sz w:val="22"/>
        </w:rPr>
        <w:t xml:space="preserve">means a borrowing of a Used Vehicle Floorplan Swing Line Loan pursuant to </w:t>
      </w:r>
      <w:r>
        <w:rPr>
          <w:rFonts w:ascii="Times New Roman;sans-serif" w:hAnsi="Times New Roman;sans-serif"/>
          <w:b w:val="false"/>
          <w:color w:val="000000"/>
          <w:sz w:val="22"/>
          <w:u w:val="single"/>
        </w:rPr>
        <w:t>Section 2.12</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Used Vehicle Floorplan Swing Line Lender</w:t>
      </w:r>
      <w:r>
        <w:rPr>
          <w:color w:val="000000"/>
        </w:rPr>
        <w:t xml:space="preserve">” </w:t>
      </w:r>
      <w:r>
        <w:rPr>
          <w:rFonts w:ascii="Times New Roman;sans-serif" w:hAnsi="Times New Roman;sans-serif"/>
          <w:b w:val="false"/>
          <w:color w:val="000000"/>
          <w:sz w:val="22"/>
        </w:rPr>
        <w:t>means Bank of America in its capacity as provider of Used Vehicle Floorplan Swing Line Loans, or any successor Used Vehicle Floorplan Swing Line Lender hereunder.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Used Vehicle Floorplan Swing Line Loan</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2.12(a)</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Used Vehicle Floorplan Swing Line Loan Notice</w:t>
      </w:r>
      <w:r>
        <w:rPr>
          <w:color w:val="000000"/>
        </w:rPr>
        <w:t xml:space="preserve">” </w:t>
      </w:r>
      <w:r>
        <w:rPr>
          <w:rFonts w:ascii="Times New Roman;sans-serif" w:hAnsi="Times New Roman;sans-serif"/>
          <w:b w:val="false"/>
          <w:color w:val="000000"/>
          <w:sz w:val="22"/>
        </w:rPr>
        <w:t xml:space="preserve">means a notice of a Used Vehicle Floorplan Swing Line Borrowing pursuant to </w:t>
      </w:r>
      <w:r>
        <w:rPr>
          <w:rFonts w:ascii="Times New Roman;sans-serif" w:hAnsi="Times New Roman;sans-serif"/>
          <w:b w:val="false"/>
          <w:color w:val="000000"/>
          <w:sz w:val="22"/>
          <w:u w:val="single"/>
        </w:rPr>
        <w:t>Section 2.12(b)</w:t>
      </w:r>
      <w:r>
        <w:rPr>
          <w:color w:val="000000"/>
        </w:rPr>
        <w:t xml:space="preserve"> </w:t>
      </w:r>
      <w:r>
        <w:rPr>
          <w:rFonts w:ascii="Times New Roman;sans-serif" w:hAnsi="Times New Roman;sans-serif"/>
          <w:b w:val="false"/>
          <w:color w:val="000000"/>
          <w:sz w:val="22"/>
        </w:rPr>
        <w:t xml:space="preserve">which shall be substantially in the form of </w:t>
      </w:r>
      <w:r>
        <w:rPr>
          <w:rFonts w:ascii="Times New Roman;sans-serif" w:hAnsi="Times New Roman;sans-serif"/>
          <w:b w:val="false"/>
          <w:color w:val="000000"/>
          <w:sz w:val="22"/>
          <w:u w:val="single"/>
        </w:rPr>
        <w:t>Exhibit B-3</w:t>
      </w:r>
      <w:r>
        <w:rPr>
          <w:color w:val="000000"/>
        </w:rPr>
        <w:t xml:space="preserve"> </w:t>
      </w:r>
      <w:r>
        <w:rPr>
          <w:rFonts w:ascii="Times New Roman;sans-serif" w:hAnsi="Times New Roman;sans-serif"/>
          <w:b w:val="false"/>
          <w:color w:val="000000"/>
          <w:sz w:val="22"/>
        </w:rPr>
        <w:t>or such other form as approved by the Administrative Agent (including any form on an electronic platform or electronic transmission system as shall be approved by the Administrative Agent), appropriately completed and signed by a Responsible Officer of the Company.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Used Vehicle Floorplan Swing Line Sublimit</w:t>
      </w:r>
      <w:r>
        <w:rPr>
          <w:color w:val="000000"/>
        </w:rPr>
        <w:t xml:space="preserve">” </w:t>
      </w:r>
      <w:r>
        <w:rPr>
          <w:rFonts w:ascii="Times New Roman;sans-serif" w:hAnsi="Times New Roman;sans-serif"/>
          <w:b w:val="false"/>
          <w:color w:val="000000"/>
          <w:sz w:val="22"/>
        </w:rPr>
        <w:t>means an amount equal to the lesser of (a) $20,000,000 or (b) the Aggregate Used Vehicle Floorplan Commitments. The Used Vehicle Floorplan Swing Line Sublimit is part of, and not in addition to, the Aggregate Used Vehicle Floorplan Commitments.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Vehicle</w:t>
      </w:r>
      <w:r>
        <w:rPr>
          <w:color w:val="000000"/>
        </w:rPr>
        <w:t xml:space="preserve">” </w:t>
      </w:r>
      <w:r>
        <w:rPr>
          <w:rFonts w:ascii="Times New Roman;sans-serif" w:hAnsi="Times New Roman;sans-serif"/>
          <w:b w:val="false"/>
          <w:color w:val="000000"/>
          <w:sz w:val="22"/>
        </w:rPr>
        <w:t>means any automobile or truck approved for highway use by any State of the United States.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Vehicle Borrower</w:t>
      </w:r>
      <w:r>
        <w:rPr>
          <w:color w:val="000000"/>
        </w:rPr>
        <w:t xml:space="preserve">” </w:t>
      </w:r>
      <w:r>
        <w:rPr>
          <w:rFonts w:ascii="Times New Roman;sans-serif" w:hAnsi="Times New Roman;sans-serif"/>
          <w:b w:val="false"/>
          <w:color w:val="000000"/>
          <w:sz w:val="22"/>
        </w:rPr>
        <w:t>has the meaning specified in the introductory paragraph 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Vehicle Title Documentation</w:t>
      </w:r>
      <w:r>
        <w:rPr>
          <w:color w:val="000000"/>
        </w:rPr>
        <w:t xml:space="preserve">” </w:t>
      </w:r>
      <w:r>
        <w:rPr>
          <w:rFonts w:ascii="Times New Roman;sans-serif" w:hAnsi="Times New Roman;sans-serif"/>
          <w:b w:val="false"/>
          <w:color w:val="000000"/>
          <w:sz w:val="22"/>
        </w:rPr>
        <w:t xml:space="preserve">has the meaning specified in </w:t>
      </w:r>
      <w:r>
        <w:rPr>
          <w:rFonts w:ascii="Times New Roman;sans-serif" w:hAnsi="Times New Roman;sans-serif"/>
          <w:b w:val="false"/>
          <w:color w:val="000000"/>
          <w:sz w:val="22"/>
          <w:u w:val="single"/>
        </w:rPr>
        <w:t>Section 6.05</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Within Line Limitation</w:t>
      </w:r>
      <w:r>
        <w:rPr>
          <w:color w:val="000000"/>
        </w:rPr>
        <w:t xml:space="preserve">” </w:t>
      </w:r>
      <w:r>
        <w:rPr>
          <w:rFonts w:ascii="Times New Roman;sans-serif" w:hAnsi="Times New Roman;sans-serif"/>
          <w:b w:val="false"/>
          <w:color w:val="000000"/>
          <w:sz w:val="22"/>
        </w:rPr>
        <w:t>means,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with respect to any New Vehicle Borrower, any dealer location and any specific vehicle manufacturer, distributor, or (in the case of a dealer trade) other dealer involved in such trade, as applicable, limitations on the amount of New Vehicle Floorplan Loans that may be advanced to such manufacturer, distributor or other dealer with respect to New Vehicles purchased or to be purchased by such New Vehicle Borrower for such dealer location, or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with respect to any New Vehicle Borrower, any dealer location and any specific vehicle manufacturer, distributor, or (in the case of a dealer trade) other dealer involved in such trade, as applicable, and Demonstrators, Rental Vehicles and Fleet Vehicles, limitations on the amount of New Vehicle Floorplan Loans that may be advanced to such manufacturer, distributor or other dealer with respect to Demonstrators, Rental Vehicles and Fleet Vehicles purchased or to be purchased by such New Vehicle Borrower for such dealer location, which limitations (in each case) are agreed to from time to time by the New Vehicle Floorplan Swing Line Lender and such distributor or manufacturer from time to time.</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367665"/>
                <wp:effectExtent l="0" t="0" r="0" b="0"/>
                <wp:wrapNone/>
                <wp:docPr id="232" name="Frame22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Write-Down and Conversion Powers</w:t>
      </w:r>
      <w:r>
        <w:rPr>
          <w:color w:val="000000"/>
        </w:rPr>
        <w:t xml:space="preserve">” </w:t>
      </w:r>
      <w:r>
        <w:rPr>
          <w:rFonts w:ascii="Times New Roman;sans-serif" w:hAnsi="Times New Roman;sans-serif"/>
          <w:b w:val="false"/>
          <w:color w:val="000000"/>
          <w:sz w:val="22"/>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lineRule="auto" w:line="240" w:before="0" w:after="240"/>
        <w:ind w:left="0" w:right="0" w:firstLine="720"/>
        <w:jc w:val="both"/>
        <w:rPr/>
      </w:pPr>
      <w:r>
        <w:rPr>
          <w:rFonts w:ascii="Times New Roman;sans-serif" w:hAnsi="Times New Roman;sans-serif"/>
          <w:b/>
          <w:color w:val="000000"/>
          <w:sz w:val="22"/>
        </w:rPr>
        <w:t>1.03</w:t>
      </w:r>
      <w:r>
        <w:rPr>
          <w:rFonts w:ascii="Times New Roman;sans-serif" w:hAnsi="Times New Roman;sans-serif"/>
          <w:b/>
          <w:color w:val="000000"/>
          <w:sz w:val="22"/>
        </w:rPr>
        <w:t>Other Interpretive Provisions</w:t>
      </w:r>
      <w:r>
        <w:rPr>
          <w:rFonts w:ascii="Times New Roman;sans-serif" w:hAnsi="Times New Roman;sans-serif"/>
          <w:b w:val="false"/>
          <w:color w:val="000000"/>
          <w:sz w:val="22"/>
        </w:rPr>
        <w:t>. With reference to this Agreement and each other Loan Document, unless otherwise specified herein or in such other Loan Document: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definitions of terms herein shall apply equally to the singular and plural forms of the terms defined. Any capitalized terms used herein but not defined herein that are defined in the UCC shall have the respective meanings assigned to such terms in the UCC. Whenever the context may require, any pronoun shall include the corresponding masculine, feminine and neuter forms. The words “</w:t>
      </w:r>
      <w:r>
        <w:rPr>
          <w:rFonts w:ascii="Times New Roman;sans-serif" w:hAnsi="Times New Roman;sans-serif"/>
          <w:b w:val="false"/>
          <w:color w:val="000000"/>
          <w:sz w:val="22"/>
          <w:u w:val="single"/>
        </w:rPr>
        <w:t>include</w:t>
      </w:r>
      <w:r>
        <w:rPr>
          <w:rFonts w:ascii="Times New Roman;sans-serif" w:hAnsi="Times New Roman;sans-serif"/>
          <w:b w:val="false"/>
          <w:color w:val="000000"/>
          <w:sz w:val="22"/>
        </w:rPr>
        <w:t>,” “</w:t>
      </w:r>
      <w:r>
        <w:rPr>
          <w:rFonts w:ascii="Times New Roman;sans-serif" w:hAnsi="Times New Roman;sans-serif"/>
          <w:b w:val="false"/>
          <w:color w:val="000000"/>
          <w:sz w:val="22"/>
          <w:u w:val="single"/>
        </w:rPr>
        <w:t>includes</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including</w:t>
      </w:r>
      <w:r>
        <w:rPr>
          <w:color w:val="000000"/>
        </w:rPr>
        <w:t xml:space="preserve">” </w:t>
      </w:r>
      <w:r>
        <w:rPr>
          <w:rFonts w:ascii="Times New Roman;sans-serif" w:hAnsi="Times New Roman;sans-serif"/>
          <w:b w:val="false"/>
          <w:color w:val="000000"/>
          <w:sz w:val="22"/>
        </w:rPr>
        <w:t>shall be deemed to be followed by the phrase “without limitation.” The word “</w:t>
      </w:r>
      <w:r>
        <w:rPr>
          <w:rFonts w:ascii="Times New Roman;sans-serif" w:hAnsi="Times New Roman;sans-serif"/>
          <w:b w:val="false"/>
          <w:color w:val="000000"/>
          <w:sz w:val="22"/>
          <w:u w:val="single"/>
        </w:rPr>
        <w:t>will</w:t>
      </w:r>
      <w:r>
        <w:rPr>
          <w:color w:val="000000"/>
        </w:rPr>
        <w:t xml:space="preserve">” </w:t>
      </w:r>
      <w:r>
        <w:rPr>
          <w:rFonts w:ascii="Times New Roman;sans-serif" w:hAnsi="Times New Roman;sans-serif"/>
          <w:b w:val="false"/>
          <w:color w:val="000000"/>
          <w:sz w:val="22"/>
        </w:rPr>
        <w:t>shall be construed to have the same meaning and effect as the word “</w:t>
      </w:r>
      <w:r>
        <w:rPr>
          <w:rFonts w:ascii="Times New Roman;sans-serif" w:hAnsi="Times New Roman;sans-serif"/>
          <w:b w:val="false"/>
          <w:color w:val="000000"/>
          <w:sz w:val="22"/>
          <w:u w:val="single"/>
        </w:rPr>
        <w:t>shall</w:t>
      </w:r>
      <w:r>
        <w:rPr>
          <w:rFonts w:ascii="Times New Roman;sans-serif" w:hAnsi="Times New Roman;sans-serif"/>
          <w:b w:val="false"/>
          <w:color w:val="000000"/>
          <w:sz w:val="22"/>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Times New Roman;sans-serif" w:hAnsi="Times New Roman;sans-serif"/>
          <w:b w:val="false"/>
          <w:color w:val="000000"/>
          <w:sz w:val="22"/>
          <w:u w:val="single"/>
        </w:rPr>
        <w:t>hereto</w:t>
      </w:r>
      <w:r>
        <w:rPr>
          <w:rFonts w:ascii="Times New Roman;sans-serif" w:hAnsi="Times New Roman;sans-serif"/>
          <w:b w:val="false"/>
          <w:color w:val="000000"/>
          <w:sz w:val="22"/>
        </w:rPr>
        <w:t>,” “</w:t>
      </w:r>
      <w:r>
        <w:rPr>
          <w:rFonts w:ascii="Times New Roman;sans-serif" w:hAnsi="Times New Roman;sans-serif"/>
          <w:b w:val="false"/>
          <w:color w:val="000000"/>
          <w:sz w:val="22"/>
          <w:u w:val="single"/>
        </w:rPr>
        <w:t>herein</w:t>
      </w:r>
      <w:r>
        <w:rPr>
          <w:rFonts w:ascii="Times New Roman;sans-serif" w:hAnsi="Times New Roman;sans-serif"/>
          <w:b w:val="false"/>
          <w:color w:val="000000"/>
          <w:sz w:val="22"/>
        </w:rPr>
        <w:t>,” “</w:t>
      </w:r>
      <w:r>
        <w:rPr>
          <w:rFonts w:ascii="Times New Roman;sans-serif" w:hAnsi="Times New Roman;sans-serif"/>
          <w:b w:val="false"/>
          <w:color w:val="000000"/>
          <w:sz w:val="22"/>
          <w:u w:val="single"/>
        </w:rPr>
        <w:t>hereof</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hereunder</w:t>
      </w:r>
      <w:r>
        <w:rPr>
          <w:rFonts w:ascii="Times New Roman;sans-serif" w:hAnsi="Times New Roman;sans-serif"/>
          <w:b w:val="false"/>
          <w:color w:val="000000"/>
          <w:sz w:val="22"/>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Times New Roman;sans-serif" w:hAnsi="Times New Roman;sans-serif"/>
          <w:b w:val="false"/>
          <w:color w:val="000000"/>
          <w:sz w:val="22"/>
          <w:u w:val="single"/>
        </w:rPr>
        <w:t>asset</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property</w:t>
      </w:r>
      <w:r>
        <w:rPr>
          <w:color w:val="000000"/>
        </w:rPr>
        <w:t xml:space="preserve">” </w:t>
      </w:r>
      <w:r>
        <w:rPr>
          <w:rFonts w:ascii="Times New Roman;sans-serif" w:hAnsi="Times New Roman;sans-serif"/>
          <w:b w:val="false"/>
          <w:color w:val="000000"/>
          <w:sz w:val="22"/>
        </w:rPr>
        <w:t>shall be construed to have the same meaning and effect and to refer to any and all tangible and intangible assets and properties, including cash, securities, accounts and contract rights.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In the computation of periods of time from a specified date to a later specified date, the word “</w:t>
      </w:r>
      <w:r>
        <w:rPr>
          <w:rFonts w:ascii="Times New Roman;sans-serif" w:hAnsi="Times New Roman;sans-serif"/>
          <w:b w:val="false"/>
          <w:color w:val="000000"/>
          <w:sz w:val="22"/>
          <w:u w:val="single"/>
        </w:rPr>
        <w:t>from</w:t>
      </w:r>
      <w:r>
        <w:rPr>
          <w:color w:val="000000"/>
        </w:rPr>
        <w:t xml:space="preserve">” </w:t>
      </w:r>
      <w:r>
        <w:rPr>
          <w:rFonts w:ascii="Times New Roman;sans-serif" w:hAnsi="Times New Roman;sans-serif"/>
          <w:b w:val="false"/>
          <w:color w:val="000000"/>
          <w:sz w:val="22"/>
        </w:rPr>
        <w:t>means “</w:t>
      </w:r>
      <w:r>
        <w:rPr>
          <w:rFonts w:ascii="Times New Roman;sans-serif" w:hAnsi="Times New Roman;sans-serif"/>
          <w:b w:val="false"/>
          <w:color w:val="000000"/>
          <w:sz w:val="22"/>
          <w:u w:val="single"/>
        </w:rPr>
        <w:t>from and including</w:t>
      </w:r>
      <w:r>
        <w:rPr>
          <w:rFonts w:ascii="Times New Roman;sans-serif" w:hAnsi="Times New Roman;sans-serif"/>
          <w:b w:val="false"/>
          <w:color w:val="000000"/>
          <w:sz w:val="22"/>
        </w:rPr>
        <w:t>;” the words “to” and “until” each mean “</w:t>
      </w:r>
      <w:r>
        <w:rPr>
          <w:rFonts w:ascii="Times New Roman;sans-serif" w:hAnsi="Times New Roman;sans-serif"/>
          <w:b w:val="false"/>
          <w:color w:val="000000"/>
          <w:sz w:val="22"/>
          <w:u w:val="single"/>
        </w:rPr>
        <w:t>to but excluding</w:t>
      </w:r>
      <w:r>
        <w:rPr>
          <w:rFonts w:ascii="Times New Roman;sans-serif" w:hAnsi="Times New Roman;sans-serif"/>
          <w:b w:val="false"/>
          <w:color w:val="000000"/>
          <w:sz w:val="22"/>
        </w:rPr>
        <w:t>;” and the word “</w:t>
      </w:r>
      <w:r>
        <w:rPr>
          <w:rFonts w:ascii="Times New Roman;sans-serif" w:hAnsi="Times New Roman;sans-serif"/>
          <w:b w:val="false"/>
          <w:color w:val="000000"/>
          <w:sz w:val="22"/>
          <w:u w:val="single"/>
        </w:rPr>
        <w:t>through</w:t>
      </w:r>
      <w:r>
        <w:rPr>
          <w:color w:val="000000"/>
        </w:rPr>
        <w:t xml:space="preserve">” </w:t>
      </w:r>
      <w:r>
        <w:rPr>
          <w:rFonts w:ascii="Times New Roman;sans-serif" w:hAnsi="Times New Roman;sans-serif"/>
          <w:b w:val="false"/>
          <w:color w:val="000000"/>
          <w:sz w:val="22"/>
        </w:rPr>
        <w:t>means “</w:t>
      </w:r>
      <w:r>
        <w:rPr>
          <w:rFonts w:ascii="Times New Roman;sans-serif" w:hAnsi="Times New Roman;sans-serif"/>
          <w:b w:val="false"/>
          <w:color w:val="000000"/>
          <w:sz w:val="22"/>
          <w:u w:val="single"/>
        </w:rPr>
        <w:t>to and including</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Section headings herein and in the other Loan Documents are included for convenience of reference only and shall not affect the interpretation of this Agreement or any other Loan Document.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pStyle w:val="TextBody"/>
        <w:bidi w:val="0"/>
        <w:spacing w:lineRule="auto" w:line="240" w:before="0" w:after="240"/>
        <w:ind w:left="0" w:right="0" w:hanging="720"/>
        <w:jc w:val="both"/>
        <w:rPr/>
      </w:pPr>
      <w:r>
        <w:rPr>
          <w:rFonts w:ascii="Times New Roman;sans-serif" w:hAnsi="Times New Roman;sans-serif"/>
          <w:b/>
          <w:color w:val="000000"/>
          <w:sz w:val="22"/>
        </w:rPr>
        <w:t>1.04Accounting Terms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Generally</w:t>
      </w:r>
      <w:r>
        <w:rPr>
          <w:rFonts w:ascii="Times New Roman;sans-serif" w:hAnsi="Times New Roman;sans-serif"/>
          <w:b w:val="false"/>
          <w:color w:val="000000"/>
          <w:sz w:val="22"/>
        </w:rPr>
        <w:t xml:space="preserve">. All accounting terms not specifically or completely defined herein shall be construed in conformity with, and all financial data (including financial ratios and other financial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367665"/>
                <wp:effectExtent l="0" t="0" r="0" b="0"/>
                <wp:wrapNone/>
                <wp:docPr id="233" name="Frame22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60</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Notwithstanding the foregoing, for purposes of determining compliance with any covenant (including the computation of any financial covenant) contained herein, Indebtedness of the Company and its Subsidiaries shall be deemed to be carried at 100% of the outstanding principal amount thereof, and the effects of FASB ASC 825 and FASB ASC 470-20 on financial liabilities shall be disregarded. Any additions to or exclusions from the computation of any financial item based upon FASB ASC 825 or FASB ASC 470-20 shall be detailed on the Compliance Certificate delivered pursuant to </w:t>
      </w:r>
      <w:r>
        <w:rPr>
          <w:rFonts w:ascii="Times New Roman;sans-serif" w:hAnsi="Times New Roman;sans-serif"/>
          <w:b w:val="false"/>
          <w:color w:val="000000"/>
          <w:sz w:val="22"/>
          <w:u w:val="single"/>
        </w:rPr>
        <w:t>Section 6.02(a)</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Changes in GAAP</w:t>
      </w:r>
      <w:r>
        <w:rPr>
          <w:rFonts w:ascii="Times New Roman;sans-serif" w:hAnsi="Times New Roman;sans-serif"/>
          <w:b w:val="false"/>
          <w:color w:val="000000"/>
          <w:sz w:val="22"/>
        </w:rPr>
        <w:t xml:space="preserve">. If at any time any change in GAAP would affect the computation of any financial ratio or requirement set forth in any Loan Document, and either the Company or the Required Lenders shall so request, the Administrative Agent, the Required Lenders and the Company shall negotiate in good faith to amend such ratio or requirement to preserve the original intent thereof in light of such change in GAAP (subject to the approval of the Required Lenders);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until so amended, (i) such ratio or requirement shall continue to be computed in accordance with GAAP prior to such change therein and (ii) the Company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Notwithstanding anything else set forth herein, (i) any lease that was or would have been treated as an operating lease under GAAP as in effect on the Closing Date that would become or be treated as a capital lease or finance lease solely as a result of a change in GAAP after the Closing Date shall always be treated as an operating lease for all purposes and at all times under this Agreement and (ii) the determination of whether a lease is to be treated as an operating lease, on the one hand, or capital lease or finance lease, on the other hand, shall be made without giving effect to any change in accounting for leases pursuant to GAAP resulting from the implementation of Financial Accounting Standards Board ASU No. 2016-02, Leases (Topic 842), to the extent such adoption would require treating any lease (or similar arrangement conveying the right to use) as a capital lease or finance lease where such lease (or similar arrangement) would not have been required to be so treated under GAAP as in effect on December 31, 2018;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upon the request of the Administrative Agent, the Company shall nonetheless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Consolidation of Variable Interest Entities</w:t>
      </w:r>
      <w:r>
        <w:rPr>
          <w:rFonts w:ascii="Times New Roman;sans-serif" w:hAnsi="Times New Roman;sans-serif"/>
          <w:b w:val="false"/>
          <w:color w:val="000000"/>
          <w:sz w:val="22"/>
        </w:rPr>
        <w:t>. All references herein to consolidated financial statements of the Company and its Subsidiaries or to the determination of any amount for the Company and its Subsidiaries on a consolidated basis or any similar reference shall, in each case, be deemed to include each variable interest entity that the Company is required to consolidate pursuant to FASB ASC 810 as if such variable interest entity were a Subsidiary as defined herein.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Pro Forma Treatment of Acquisitions and Dispositions</w:t>
      </w:r>
      <w:r>
        <w:rPr>
          <w:rFonts w:ascii="Times New Roman;sans-serif" w:hAnsi="Times New Roman;sans-serif"/>
          <w:b w:val="false"/>
          <w:color w:val="000000"/>
          <w:sz w:val="22"/>
        </w:rPr>
        <w:t xml:space="preserve">. Consolidated EBITDAR will be calculated after giving pro forma effect to any Material Dispositions or Material Acquisitions occurring during the relevant period, or after the relevant period and on or prior to the date of determination, as if such dispositions or acquisitions occurred on the first day of such period, and which may include such adjustments as are permitted under Regulation S-X of the SEC;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such pro forma adjustment of Consolidated EBITDAR shall not result in an increase of more than 10% of Consolidated EBITDAR prior to such adjustment (the “</w:t>
      </w:r>
      <w:r>
        <w:rPr>
          <w:rFonts w:ascii="Times New Roman;sans-serif" w:hAnsi="Times New Roman;sans-serif"/>
          <w:b w:val="false"/>
          <w:color w:val="000000"/>
          <w:sz w:val="22"/>
          <w:u w:val="single"/>
        </w:rPr>
        <w:t>10% EBITDAR Cap</w:t>
      </w:r>
      <w:r>
        <w:rPr>
          <w:color w:val="000000"/>
        </w:rPr>
        <w:t>”</w:t>
      </w:r>
      <w:r>
        <w:rPr>
          <w:rFonts w:ascii="Times New Roman;sans-serif" w:hAnsi="Times New Roman;sans-serif"/>
          <w:b w:val="false"/>
          <w:color w:val="000000"/>
          <w:sz w:val="22"/>
        </w:rPr>
        <w:t>), unless (a) the Company provides to the Administrative Agent (i) the supporting calculations for such adjustment and (ii) such other information as the Administrative Agent may reasonably request to determine the accuracy of such calculations, or (b) the Administrative Agent (in its sole discretion) otherwise consents to such increase in excess of the 10% EBITDAR Cap.</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If the calculation of Consolidated EBITDAR for any period gives pro forma effect to any disposition or acquisition, the other elements of the Consolidated Fixed Charge Coverage Ratio and Consolidated Total Lease Adjusted Leverage Ratio will also be calculated after giving pro forma effect to such acquisition or disposition,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the pro forma adjustment of Consolidated EBITDAR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367665"/>
                <wp:effectExtent l="0" t="0" r="0" b="0"/>
                <wp:wrapNone/>
                <wp:docPr id="234" name="Frame22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resulting from such disposition or acquisition is limited as a result of the 10% EBITDAR Cap, then the pro forma adjustment to any other element of the Consolidated Fixed Charge Coverage Ratio or the Consolidated Total Lease Adjusted Leverage Ratio, as applicable, will likewise be limited on a proportional basis so that the amount of any other adjustment will be reduced by the same percentage as the reduction in the amount of adjustment to Consolidated EBITDAR, and </w:t>
      </w:r>
      <w:r>
        <w:rPr>
          <w:rFonts w:ascii="Times New Roman;sans-serif" w:hAnsi="Times New Roman;sans-serif"/>
          <w:b w:val="false"/>
          <w:color w:val="000000"/>
          <w:sz w:val="22"/>
          <w:u w:val="single"/>
        </w:rPr>
        <w:t>provided further, in any event</w:t>
      </w:r>
      <w:r>
        <w:rPr>
          <w:rFonts w:ascii="Times New Roman;sans-serif" w:hAnsi="Times New Roman;sans-serif"/>
          <w:b w:val="false"/>
          <w:color w:val="000000"/>
          <w:sz w:val="22"/>
        </w:rPr>
        <w:t>, that any such pro forma adjustment of the numerator of the Consolidated Total Lease Adjusted Leverage Ratio (or the denominator of the Consolidated Fixed Charge Coverage Ratio) will not result in a decrease of more than 10% to the amount of such numerator (or denominator) prior to such adjustment (the “</w:t>
      </w:r>
      <w:r>
        <w:rPr>
          <w:rFonts w:ascii="Times New Roman;sans-serif" w:hAnsi="Times New Roman;sans-serif"/>
          <w:b w:val="false"/>
          <w:color w:val="000000"/>
          <w:sz w:val="22"/>
          <w:u w:val="single"/>
        </w:rPr>
        <w:t>Applicable 10% Cap</w:t>
      </w:r>
      <w:r>
        <w:rPr>
          <w:color w:val="000000"/>
        </w:rPr>
        <w:t>”</w:t>
      </w:r>
      <w:r>
        <w:rPr>
          <w:rFonts w:ascii="Times New Roman;sans-serif" w:hAnsi="Times New Roman;sans-serif"/>
          <w:b w:val="false"/>
          <w:color w:val="000000"/>
          <w:sz w:val="22"/>
        </w:rPr>
        <w:t>) unless (A) the Company provides to the Administrative Agent (1) the supporting calculations for such adjustment and (2) such other information as the Administrative Agent may reasonably request to determine the accuracy of such calculations, or (B) the Administrative Agent (in its sole discretion) otherwise consents to such decrease in excess of the Applicable 10% Cap. If in connection with any Material Acquisition, the Company or any Subsidiary acquires associated real estate, eliminating any leases on the real estate being acquired or any leases of a Subsidiary being acquired, then the rent associated with those leases will not be included in the numerator of the Consolidated Total Lease Adjusted Leverage Ratio.</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Rounding</w:t>
      </w:r>
      <w:r>
        <w:rPr>
          <w:rFonts w:ascii="Times New Roman;sans-serif" w:hAnsi="Times New Roman;sans-serif"/>
          <w:b w:val="false"/>
          <w:color w:val="000000"/>
          <w:sz w:val="22"/>
        </w:rPr>
        <w:t>. Any financial ratios required to be maintained by the Company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pStyle w:val="TextBody"/>
        <w:bidi w:val="0"/>
        <w:spacing w:lineRule="auto" w:line="240" w:before="0" w:after="240"/>
        <w:ind w:left="0" w:right="0" w:firstLine="720"/>
        <w:jc w:val="both"/>
        <w:rPr/>
      </w:pPr>
      <w:r>
        <w:rPr>
          <w:rFonts w:ascii="Times New Roman;sans-serif" w:hAnsi="Times New Roman;sans-serif"/>
          <w:b/>
          <w:color w:val="000000"/>
          <w:sz w:val="22"/>
        </w:rPr>
        <w:t>1.05</w:t>
      </w:r>
      <w:r>
        <w:rPr>
          <w:rFonts w:ascii="Times New Roman;sans-serif" w:hAnsi="Times New Roman;sans-serif"/>
          <w:b/>
          <w:color w:val="000000"/>
          <w:sz w:val="22"/>
        </w:rPr>
        <w:t>Times of Day</w:t>
      </w:r>
      <w:r>
        <w:rPr>
          <w:rFonts w:ascii="Times New Roman;sans-serif" w:hAnsi="Times New Roman;sans-serif"/>
          <w:b w:val="false"/>
          <w:color w:val="000000"/>
          <w:sz w:val="22"/>
        </w:rPr>
        <w:t>. Unless otherwise specified, all references herein to times of day shall be references to Eastern time (daylight or standard, as applicable).</w:t>
      </w:r>
    </w:p>
    <w:p>
      <w:pPr>
        <w:pStyle w:val="TextBody"/>
        <w:bidi w:val="0"/>
        <w:spacing w:lineRule="auto" w:line="240" w:before="0" w:after="240"/>
        <w:ind w:left="0" w:right="0" w:firstLine="720"/>
        <w:jc w:val="both"/>
        <w:rPr/>
      </w:pPr>
      <w:r>
        <w:rPr>
          <w:rFonts w:ascii="Times New Roman;sans-serif" w:hAnsi="Times New Roman;sans-serif"/>
          <w:b/>
          <w:color w:val="000000"/>
          <w:sz w:val="22"/>
        </w:rPr>
        <w:t>1.06</w:t>
      </w:r>
      <w:r>
        <w:rPr>
          <w:rFonts w:ascii="Times New Roman;sans-serif" w:hAnsi="Times New Roman;sans-serif"/>
          <w:b/>
          <w:color w:val="000000"/>
          <w:sz w:val="22"/>
        </w:rPr>
        <w:t>Interest Rates</w:t>
      </w:r>
      <w:r>
        <w:rPr>
          <w:rFonts w:ascii="Times New Roman;sans-serif" w:hAnsi="Times New Roman;sans-serif"/>
          <w:b w:val="false"/>
          <w:color w:val="000000"/>
          <w:sz w:val="22"/>
        </w:rPr>
        <w:t xml:space="preserve">. The Administrative Agent and the Lenders do not warrant, nor accept responsibility, nor shall the Administrative Agent or any of the Lenders have any liability with respect to the administration, submission or any other matter related to Daily Simple SOFR or any other reference rate referred to herein or with respect to any rate (including, for the avoidance of doubt, the selection of such rate and any related spread or other adjustment) that is an alternative or replacement for or successor to any of such rate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Borrowers.  The Administrative Agent may select information sources or services in its reasonable discretion to ascertain any reference rate referred to herein or any alternative, successor or replacement rate (including, without limitation, any Successor Rate) (or any component of any of the foregoing), in each case pursuant to the terms of this Agreement, and shall have no liability to the Borrowers,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 With respect to the Daily Simple SOFR Published Rate or Daily Simple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with respect to any such amendment effected, the Administrative Agent shall post each such amendment implementing such Conforming Changes to the Borrowers and the Lenders reasonably promptly after such amendment becomes effective.</w:t>
      </w:r>
    </w:p>
    <w:p>
      <w:pPr>
        <w:pStyle w:val="TextBody"/>
        <w:bidi w:val="0"/>
        <w:spacing w:lineRule="auto" w:line="240" w:before="0" w:after="240"/>
        <w:ind w:left="0" w:right="0" w:firstLine="720"/>
        <w:jc w:val="both"/>
        <w:rPr/>
      </w:pPr>
      <w:r>
        <w:rPr>
          <w:rFonts w:ascii="Times New Roman;sans-serif" w:hAnsi="Times New Roman;sans-serif"/>
          <w:b/>
          <w:color w:val="000000"/>
          <w:sz w:val="22"/>
        </w:rPr>
        <w:t>1.07</w:t>
      </w:r>
      <w:r>
        <w:rPr>
          <w:rFonts w:ascii="Times New Roman;sans-serif" w:hAnsi="Times New Roman;sans-serif"/>
          <w:b/>
          <w:color w:val="000000"/>
          <w:sz w:val="22"/>
        </w:rPr>
        <w:t>Letter of Credit Amounts</w:t>
      </w:r>
      <w:r>
        <w:rPr>
          <w:rFonts w:ascii="Times New Roman;sans-serif" w:hAnsi="Times New Roman;sans-serif"/>
          <w:b w:val="false"/>
          <w:color w:val="000000"/>
          <w:sz w:val="22"/>
        </w:rPr>
        <w:t xml:space="preserve">. Unless otherwise specified herein, the amount of a Letter of Credit at any time shall be deemed to be the stated amount of such Letter of Credit in effect at such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367665"/>
                <wp:effectExtent l="0" t="0" r="0" b="0"/>
                <wp:wrapNone/>
                <wp:docPr id="235" name="Frame23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62</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time; provided, however,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pStyle w:val="TextBody"/>
        <w:bidi w:val="0"/>
        <w:spacing w:lineRule="auto" w:line="240" w:before="0" w:after="240"/>
        <w:ind w:left="0" w:right="0" w:firstLine="720"/>
        <w:jc w:val="both"/>
        <w:rPr/>
      </w:pPr>
      <w:r>
        <w:rPr>
          <w:rFonts w:ascii="Times New Roman;sans-serif" w:hAnsi="Times New Roman;sans-serif"/>
          <w:b/>
          <w:color w:val="000000"/>
          <w:sz w:val="22"/>
        </w:rPr>
        <w:t>1.08</w:t>
      </w:r>
      <w:r>
        <w:rPr>
          <w:rFonts w:ascii="Times New Roman;sans-serif" w:hAnsi="Times New Roman;sans-serif"/>
          <w:b/>
          <w:color w:val="000000"/>
          <w:sz w:val="22"/>
        </w:rPr>
        <w:t>Limited Condition Acquisition</w:t>
      </w:r>
      <w:r>
        <w:rPr>
          <w:rFonts w:ascii="Times New Roman;sans-serif" w:hAnsi="Times New Roman;sans-serif"/>
          <w:b w:val="false"/>
          <w:color w:val="000000"/>
          <w:sz w:val="22"/>
        </w:rPr>
        <w:t xml:space="preserve">. In the event that the Company notifies the Administrative Agent in writing that any proposed Acquisition is a Limited Condition Acquisition and that the Company wishes to test the conditions to such Limited Condition Acquisition and the availability of the Indebtedness incurred in connection with such Limited Condition Acquisition in accordance with this Section, then, notwithstanding anything to the contrary herein or in any other Loan Document, the following provisions </w:t>
      </w:r>
      <w:r>
        <w:rPr>
          <w:rFonts w:ascii="Times New Roman;sans-serif" w:hAnsi="Times New Roman;sans-serif"/>
          <w:b w:val="false"/>
          <w:color w:val="000000"/>
          <w:sz w:val="22"/>
          <w:u w:val="single"/>
        </w:rPr>
        <w:t>shall</w:t>
      </w:r>
      <w:r>
        <w:rPr>
          <w:color w:val="000000"/>
        </w:rPr>
        <w:t xml:space="preserve"> </w:t>
      </w:r>
      <w:r>
        <w:rPr>
          <w:rFonts w:ascii="Times New Roman;sans-serif" w:hAnsi="Times New Roman;sans-serif"/>
          <w:b w:val="false"/>
          <w:color w:val="000000"/>
          <w:sz w:val="22"/>
        </w:rPr>
        <w:t>apply:</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any condition to such Limited Condition Acquisition or such Indebtedness that requires that no Default or Event of Default shall have occurred and be continuing at the time of such Acquisition or the incurrence of such Indebtedness, shall be satisfied if (i) no Default or Event of Default shall have occurred and be continuing at the time of the execution of the definitive purchase agreement, merger agreement or other acquisition agreement governing such Limited Condition Acquisition and (ii) no Specified Event of Default shall have occurred and be continuing both immediately before and immediately after giving effect to such Limited Condition Acquisition and the incurrence of such Indebtedness;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any condition to such Limited Condition Acquisition or such Indebtedness that the representations and warranties in this Agreement and the other Loan Documents shall be true and correct at the time of such Acquisition or the incurrence of such Indebtedness shall be subject to customary “SunGard” or other customary applicable “certain funds” conditionality provisions (including, without limitation, a condition that the representations and warranties under the relevant agreements relating to such Limited Condition Acquisition as are material to the Lenders providing such Indebtedness shall be true and correct, but only to the extent that the Company or its applicable Subsidiary has the right to terminate its obligations under such agreement as a result of a breach of such representations and warranties or the failure of those representations and warranties to be true and correct), so long as (i) all representations and warranties in this Agreement and the other Loan Documents are true and correct in all material respects (or in all respects in the case of any representation and warranty qualified by materiality or Material Adverse Effect) at the time of execution of the definitive purchase agreement, merger agreement or other acquisition agreement governing such Acquisition and (ii) all Specified Representations are true and correct both immediately before and immediately after giving effect to such Limited Condition Acquisition and the incurrence of such Indebtedness;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any financial ratio test or condition to such Limited Condition Acquisition or the incurrence of such Indebtedness, may upon the written election of the Company delivered to the Administrative Agent prior to the execution of the definitive agreement for such Limited Condition Acquisition, be tested either (i) upon the execution of the definitive agreement with respect to such Limited Condition Acquisition or (ii) upon the consummation of the Limited Condition Acquisition and related incurrence of Indebtedness, in each case, after giving effect to the relevant Limited Condition Acquisition and related incurrence of Indebtedness, on a pro forma basis;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failure to deliver a notice under this </w:t>
      </w:r>
      <w:r>
        <w:rPr>
          <w:rFonts w:ascii="Times New Roman;sans-serif" w:hAnsi="Times New Roman;sans-serif"/>
          <w:b w:val="false"/>
          <w:color w:val="000000"/>
          <w:sz w:val="22"/>
          <w:u w:val="single"/>
        </w:rPr>
        <w:t>Section 1.08(c)</w:t>
      </w:r>
      <w:r>
        <w:rPr>
          <w:color w:val="000000"/>
        </w:rPr>
        <w:t xml:space="preserve"> </w:t>
      </w:r>
      <w:r>
        <w:rPr>
          <w:rFonts w:ascii="Times New Roman;sans-serif" w:hAnsi="Times New Roman;sans-serif"/>
          <w:b w:val="false"/>
          <w:color w:val="000000"/>
          <w:sz w:val="22"/>
        </w:rPr>
        <w:t xml:space="preserve">prior to the date of execution of the definitive agreement for such Limited Condition Acquisition shall be deemed an election to test the applicable financial ratio under subclause (ii) of this </w:t>
      </w:r>
      <w:r>
        <w:rPr>
          <w:rFonts w:ascii="Times New Roman;sans-serif" w:hAnsi="Times New Roman;sans-serif"/>
          <w:b w:val="false"/>
          <w:color w:val="000000"/>
          <w:sz w:val="22"/>
          <w:u w:val="single"/>
        </w:rPr>
        <w:t>Section 1.08(c)</w:t>
      </w:r>
      <w:r>
        <w:rPr>
          <w:rFonts w:ascii="Times New Roman;sans-serif" w:hAnsi="Times New Roman;sans-serif"/>
          <w:b w:val="false"/>
          <w:color w:val="000000"/>
          <w:sz w:val="22"/>
        </w:rPr>
        <w:t>;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if the Company has made an election with respect to any Limited Condition Acquisition to test a financial ratio test or condition at the time specified in clause (c)(i) of this Section, then in connection with any subsequent calculation of any ratio or basket during the period commencing on the relevant date of execution of the definitive agreement with respect to such Limited Condition Acquisition until the earlier of (i) the date on which such Limited Condition Acquisition is consummated or (ii) the date that the definitive agreement for such Limited Condition Acquisition is terminated or expires without consummation of such Limited Condition Acquisition, any such ratio or basket shall be required to be satisfied assuming such Limited Condition Acquisition and other transactions in connection therewith (including the incurrence or assumption of Indebtedness) have not been consummated.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367665"/>
                <wp:effectExtent l="0" t="0" r="0" b="0"/>
                <wp:wrapNone/>
                <wp:docPr id="236" name="Frame23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The foregoing provisions shall apply with similar effect during the pendency of multiple Limited Condition Acquisitions such that each of the possible scenarios is separately tested. For the avoidance of doubt, any election (or any portion thereof) made pursuant to this Section may be rescinded by the Company prior to the consummation of such Limited Condition Acquisition or incurrence of such Indebtedness and in such case the conditions applicable to such Acquisition or incurrence of Indebtedness shall be tested without giving effect to this </w:t>
      </w:r>
      <w:r>
        <w:rPr>
          <w:rFonts w:ascii="Times New Roman;sans-serif" w:hAnsi="Times New Roman;sans-serif"/>
          <w:b w:val="false"/>
          <w:color w:val="000000"/>
          <w:sz w:val="22"/>
          <w:u w:val="single"/>
        </w:rPr>
        <w:t>Section 1.08</w:t>
      </w:r>
      <w:r>
        <w:rPr>
          <w:rFonts w:ascii="Times New Roman;sans-serif" w:hAnsi="Times New Roman;sans-serif"/>
          <w:b w:val="false"/>
          <w:color w:val="000000"/>
          <w:sz w:val="22"/>
        </w:rPr>
        <w:t>.</w:t>
      </w:r>
    </w:p>
    <w:p>
      <w:pPr>
        <w:pStyle w:val="TextBody"/>
        <w:bidi w:val="0"/>
        <w:spacing w:lineRule="auto" w:line="240" w:before="0" w:after="240"/>
        <w:jc w:val="center"/>
        <w:rPr/>
      </w:pPr>
      <w:r>
        <w:rPr>
          <w:rFonts w:ascii="Times New Roman;sans-serif" w:hAnsi="Times New Roman;sans-serif"/>
          <w:b/>
          <w:color w:val="000000"/>
          <w:sz w:val="22"/>
        </w:rPr>
        <w:t>ARTICLE II.</w:t>
      </w:r>
      <w:r>
        <w:rPr>
          <w:color w:val="000000"/>
        </w:rPr>
        <w:t xml:space="preserve"> </w:t>
      </w:r>
      <w:r>
        <w:rPr>
          <w:rFonts w:ascii="Times New Roman;sans-serif" w:hAnsi="Times New Roman;sans-serif"/>
          <w:b/>
          <w:color w:val="000000"/>
          <w:sz w:val="22"/>
        </w:rPr>
        <w:t>THE COMMITMENTS AND CREDIT EXTENSIONS</w:t>
      </w:r>
    </w:p>
    <w:p>
      <w:pPr>
        <w:pStyle w:val="TextBody"/>
        <w:bidi w:val="0"/>
        <w:spacing w:lineRule="auto" w:line="240" w:before="0" w:after="240"/>
        <w:ind w:left="0" w:right="0" w:firstLine="720"/>
        <w:jc w:val="both"/>
        <w:rPr/>
      </w:pPr>
      <w:r>
        <w:rPr>
          <w:rFonts w:ascii="Times New Roman;sans-serif" w:hAnsi="Times New Roman;sans-serif"/>
          <w:b/>
          <w:color w:val="000000"/>
          <w:sz w:val="22"/>
        </w:rPr>
        <w:t>2.01</w:t>
      </w:r>
      <w:r>
        <w:rPr>
          <w:rFonts w:ascii="Times New Roman;sans-serif" w:hAnsi="Times New Roman;sans-serif"/>
          <w:b/>
          <w:color w:val="000000"/>
          <w:sz w:val="22"/>
        </w:rPr>
        <w:t>Revolving Committed Loans</w:t>
      </w:r>
      <w:r>
        <w:rPr>
          <w:rFonts w:ascii="Times New Roman;sans-serif" w:hAnsi="Times New Roman;sans-serif"/>
          <w:b w:val="false"/>
          <w:color w:val="000000"/>
          <w:sz w:val="22"/>
        </w:rPr>
        <w:t>. Subject to the terms and conditions set forth herein, each Revolving Lender severally agrees to make loans (each such loan, a “</w:t>
      </w:r>
      <w:r>
        <w:rPr>
          <w:rFonts w:ascii="Times New Roman;sans-serif" w:hAnsi="Times New Roman;sans-serif"/>
          <w:b w:val="false"/>
          <w:color w:val="000000"/>
          <w:sz w:val="22"/>
          <w:u w:val="single"/>
        </w:rPr>
        <w:t>Revolving Committed Loan</w:t>
      </w:r>
      <w:r>
        <w:rPr>
          <w:color w:val="000000"/>
        </w:rPr>
        <w:t>”</w:t>
      </w:r>
      <w:r>
        <w:rPr>
          <w:rFonts w:ascii="Times New Roman;sans-serif" w:hAnsi="Times New Roman;sans-serif"/>
          <w:b w:val="false"/>
          <w:color w:val="000000"/>
          <w:sz w:val="22"/>
        </w:rPr>
        <w:t xml:space="preserve">) to the Company from time to time, on any Business Day during the Availability Period, in an aggregate amount not to exceed at any time outstanding the amount of such Revolving Lender’s Revolving Commitment;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after giving effect to any Revolving Committed Borrowing, (a) the Total Revolving Outstandings shall not exceed the lesser of the Aggregate Revolving Commitments or the Revolving Borrowing Base, and (b) the aggregate Outstanding Amount of the Revolving Committed Loans of any Revolving Lender,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such Lender’s Applicable Revolving Percentage of the Outstanding Amount of all L/C Obligations,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such Lender’s Applicable Revolving Percentage of the Outstanding Amount of all Revolving Swing Line Loans shall not exceed such Lender’s Revolving Commitment. Within the limits of each Lender’s Revolving Commitment, and subject to the other terms and conditions hereof, the Company may borrow under this </w:t>
      </w:r>
      <w:r>
        <w:rPr>
          <w:rFonts w:ascii="Times New Roman;sans-serif" w:hAnsi="Times New Roman;sans-serif"/>
          <w:b w:val="false"/>
          <w:color w:val="000000"/>
          <w:sz w:val="22"/>
          <w:u w:val="single"/>
        </w:rPr>
        <w:t>Section 2.01</w:t>
      </w:r>
      <w:r>
        <w:rPr>
          <w:rFonts w:ascii="Times New Roman;sans-serif" w:hAnsi="Times New Roman;sans-serif"/>
          <w:b w:val="false"/>
          <w:color w:val="000000"/>
          <w:sz w:val="22"/>
        </w:rPr>
        <w:t xml:space="preserve">, prepay under </w:t>
      </w:r>
      <w:r>
        <w:rPr>
          <w:rFonts w:ascii="Times New Roman;sans-serif" w:hAnsi="Times New Roman;sans-serif"/>
          <w:b w:val="false"/>
          <w:color w:val="000000"/>
          <w:sz w:val="22"/>
          <w:u w:val="single"/>
        </w:rPr>
        <w:t>Section 2.13</w:t>
      </w:r>
      <w:r>
        <w:rPr>
          <w:rFonts w:ascii="Times New Roman;sans-serif" w:hAnsi="Times New Roman;sans-serif"/>
          <w:b w:val="false"/>
          <w:color w:val="000000"/>
          <w:sz w:val="22"/>
        </w:rPr>
        <w:t xml:space="preserve">, and reborrow under this </w:t>
      </w:r>
      <w:r>
        <w:rPr>
          <w:rFonts w:ascii="Times New Roman;sans-serif" w:hAnsi="Times New Roman;sans-serif"/>
          <w:b w:val="false"/>
          <w:color w:val="000000"/>
          <w:sz w:val="22"/>
          <w:u w:val="single"/>
        </w:rPr>
        <w:t>Section 2.01</w:t>
      </w:r>
      <w:r>
        <w:rPr>
          <w:rFonts w:ascii="Times New Roman;sans-serif" w:hAnsi="Times New Roman;sans-serif"/>
          <w:b w:val="false"/>
          <w:color w:val="000000"/>
          <w:sz w:val="22"/>
        </w:rPr>
        <w:t>. Revolving Committed Loans may be Base Rate Loans or Daily Simple SOFR Loans, as further provided herein.</w:t>
      </w:r>
    </w:p>
    <w:p>
      <w:pPr>
        <w:pStyle w:val="TextBody"/>
        <w:bidi w:val="0"/>
        <w:spacing w:lineRule="auto" w:line="240" w:before="0" w:after="240"/>
        <w:ind w:left="0" w:right="0" w:hanging="720"/>
        <w:jc w:val="both"/>
        <w:rPr/>
      </w:pPr>
      <w:r>
        <w:rPr>
          <w:rFonts w:ascii="Times New Roman;sans-serif" w:hAnsi="Times New Roman;sans-serif"/>
          <w:b/>
          <w:color w:val="000000"/>
          <w:sz w:val="22"/>
        </w:rPr>
        <w:t>2.02Borrowings, Conversions and Continuations of Revolving Committed Loans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Each Revolving Committed Borrowing and each conversion of Revolving Committed Loans from one Type to the other, shall be made upon the Company’s irrevocable notice to the Administrative Agent, which may be given by (A) telephone, or (B) a Revolving Committed Loan Notice;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any telephonic notice must be confirmed promptly by delivery to the Administrative Agent of a Revolving Committed Loan Notice. Each such Revolving Committed Loan Notice must be received by the Administrative Agent not later than 1:00 p.m. (i) one Business Day prior to the requested date of any Revolving Borrowing of Daily Simple SOFR Committed Loans or of any conversion of Daily Simple SOFR Committed Loans to Base Rate Committed Loans, and (ii) one Business Day prior to the requested date of any Borrowing of Base Rate Committed Loans. Each Borrowing of, conversion to or continuation of Daily Simple SOFR Committed Loans shall be in a principal amount of $5,000,000 or a whole multiple of $1,000,000 in excess thereof. Except as provided in </w:t>
      </w:r>
      <w:r>
        <w:rPr>
          <w:rFonts w:ascii="Times New Roman;sans-serif" w:hAnsi="Times New Roman;sans-serif"/>
          <w:b w:val="false"/>
          <w:color w:val="000000"/>
          <w:sz w:val="22"/>
          <w:u w:val="single"/>
        </w:rPr>
        <w:t>Sections 2.03(c)</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2.04(c)</w:t>
      </w:r>
      <w:r>
        <w:rPr>
          <w:rFonts w:ascii="Times New Roman;sans-serif" w:hAnsi="Times New Roman;sans-serif"/>
          <w:b w:val="false"/>
          <w:color w:val="000000"/>
          <w:sz w:val="22"/>
        </w:rPr>
        <w:t xml:space="preserve">, each Borrowing of or conversion to Base Rate Committed Loans shall be in a principal amount of $500,000 or a whole multiple of $100,000 in excess thereof. Each Revolving Committed Loan Notice shall specify (i) whether the Company is requesting a Revolving Committed Borrowing or a conversion of Revolving Committed Loans from one Type to the other, (ii) the requested date of the Borrowing or conversion, as the case may be (which shall be a Business Day), (iii) the principal amount of Revolving Committed Loans to be borrowed, converted or continued, and (iv) the Type of Revolving Committed Loans to be borrowed or to which existing Revolving Committed Loans are to be converted. If the Company fails to provide a timely Revolving Committed Loan Notice requesting a conversion of Daily Simple SOFR Loans to Base Rate Loans, such Loans shall, subject to </w:t>
      </w:r>
      <w:r>
        <w:rPr>
          <w:rFonts w:ascii="Times New Roman;sans-serif" w:hAnsi="Times New Roman;sans-serif"/>
          <w:b w:val="false"/>
          <w:color w:val="000000"/>
          <w:sz w:val="22"/>
          <w:u w:val="single"/>
        </w:rPr>
        <w:t>Article III</w:t>
      </w:r>
      <w:r>
        <w:rPr>
          <w:rFonts w:ascii="Times New Roman;sans-serif" w:hAnsi="Times New Roman;sans-serif"/>
          <w:b w:val="false"/>
          <w:color w:val="000000"/>
          <w:sz w:val="22"/>
        </w:rPr>
        <w:t xml:space="preserve">, continue as Daily Simple SOFR Loans. If the Company fails to specify a Type of Revolving Committed Loan in a Revolving Committed Loan Notice, then the applicable Revolving Committed Loans shall, subject to </w:t>
      </w:r>
      <w:r>
        <w:rPr>
          <w:rFonts w:ascii="Times New Roman;sans-serif" w:hAnsi="Times New Roman;sans-serif"/>
          <w:b w:val="false"/>
          <w:color w:val="000000"/>
          <w:sz w:val="22"/>
          <w:u w:val="single"/>
        </w:rPr>
        <w:t>Article III</w:t>
      </w:r>
      <w:r>
        <w:rPr>
          <w:rFonts w:ascii="Times New Roman;sans-serif" w:hAnsi="Times New Roman;sans-serif"/>
          <w:b w:val="false"/>
          <w:color w:val="000000"/>
          <w:sz w:val="22"/>
        </w:rPr>
        <w:t>, be made as, or converted to, Daily Simple SOFR Loans.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Following receipt of a Revolving Committed Loan Notice, the Administrative Agent shall promptly notify each Revolving Lender of the amount of its Applicable Revolving Percentage of the applicable Revolving Committed Loans. Each Lender shall make the amount of its Revolving Committed Loan available to the Administrative Agent in immediately available funds at the Administrative Agent’s Office not later than 1:00 p.m. on the Business Day specified in the applicable Revolving Committed Loan Notice. Upon satisfaction of the applicable conditions set forth in </w:t>
      </w:r>
      <w:r>
        <w:rPr>
          <w:rFonts w:ascii="Times New Roman;sans-serif" w:hAnsi="Times New Roman;sans-serif"/>
          <w:b w:val="false"/>
          <w:color w:val="000000"/>
          <w:sz w:val="22"/>
          <w:u w:val="single"/>
        </w:rPr>
        <w:t>Section 4.02</w:t>
      </w:r>
      <w:r>
        <w:rPr>
          <w:color w:val="000000"/>
        </w:rPr>
        <w:t xml:space="preserve"> </w:t>
      </w:r>
      <w:r>
        <w:rPr>
          <w:rFonts w:ascii="Times New Roman;sans-serif" w:hAnsi="Times New Roman;sans-serif"/>
          <w:b w:val="false"/>
          <w:color w:val="000000"/>
          <w:sz w:val="22"/>
        </w:rPr>
        <w:t xml:space="preserve">(and, if such Borrowing is an initial Credit Extension, </w:t>
      </w:r>
      <w:r>
        <w:rPr>
          <w:rFonts w:ascii="Times New Roman;sans-serif" w:hAnsi="Times New Roman;sans-serif"/>
          <w:b w:val="false"/>
          <w:color w:val="000000"/>
          <w:sz w:val="22"/>
          <w:u w:val="single"/>
        </w:rPr>
        <w:t>Section 4.01</w:t>
      </w:r>
      <w:r>
        <w:rPr>
          <w:rFonts w:ascii="Times New Roman;sans-serif" w:hAnsi="Times New Roman;sans-serif"/>
          <w:b w:val="false"/>
          <w:color w:val="000000"/>
          <w:sz w:val="22"/>
        </w:rPr>
        <w:t xml:space="preserve">), the Administrative Agent shall make all funds so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367665"/>
                <wp:effectExtent l="0" t="0" r="0" b="0"/>
                <wp:wrapNone/>
                <wp:docPr id="237" name="Frame23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64</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received available to the Company in like funds as received by the Administrative Agent by crediting the account of the Company on the books of Bank of America with the amount of such funds;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if, on the date the Revolving Committed Loan Notice with respect to such Borrowing is given by the Company, there are L/C Borrowings outstanding, then the proceeds of such Borrowing, first, shall be applied to the payment in full of any such L/C Borrowings, and second, shall be made available to the Company as provided above.</w:t>
      </w:r>
    </w:p>
    <w:p>
      <w:pPr>
        <w:pStyle w:val="TextBody"/>
        <w:bidi w:val="0"/>
        <w:spacing w:lineRule="auto" w:line="240" w:before="0" w:after="240"/>
        <w:ind w:left="0" w:right="0" w:hanging="720"/>
        <w:jc w:val="both"/>
        <w:rPr/>
      </w:pPr>
      <w:r>
        <w:rPr>
          <w:rFonts w:ascii="Times New Roman;sans-serif" w:hAnsi="Times New Roman;sans-serif"/>
          <w:b/>
          <w:color w:val="000000"/>
          <w:sz w:val="22"/>
        </w:rPr>
        <w:t>2.03Letters of Credit</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General</w:t>
      </w:r>
      <w:r>
        <w:rPr>
          <w:rFonts w:ascii="Times New Roman;sans-serif" w:hAnsi="Times New Roman;sans-serif"/>
          <w:b w:val="false"/>
          <w:color w:val="000000"/>
          <w:sz w:val="22"/>
        </w:rPr>
        <w:t xml:space="preserve">. Subject to the terms and conditions set forth herein, in addition to the Revolving Loans provided for in </w:t>
      </w:r>
      <w:r>
        <w:rPr>
          <w:rFonts w:ascii="Times New Roman;sans-serif" w:hAnsi="Times New Roman;sans-serif"/>
          <w:b w:val="false"/>
          <w:color w:val="000000"/>
          <w:sz w:val="22"/>
          <w:u w:val="single"/>
        </w:rPr>
        <w:t>Section 2.01</w:t>
      </w:r>
      <w:r>
        <w:rPr>
          <w:rFonts w:ascii="Times New Roman;sans-serif" w:hAnsi="Times New Roman;sans-serif"/>
          <w:b w:val="false"/>
          <w:color w:val="000000"/>
          <w:sz w:val="22"/>
        </w:rPr>
        <w:t xml:space="preserve">, the Company may request any L/C Issuer, in reliance on the agreements of the Revolving Lenders set forth in this </w:t>
      </w:r>
      <w:r>
        <w:rPr>
          <w:rFonts w:ascii="Times New Roman;sans-serif" w:hAnsi="Times New Roman;sans-serif"/>
          <w:b w:val="false"/>
          <w:color w:val="000000"/>
          <w:sz w:val="22"/>
          <w:u w:val="single"/>
        </w:rPr>
        <w:t>Section 2.03</w:t>
      </w:r>
      <w:r>
        <w:rPr>
          <w:rFonts w:ascii="Times New Roman;sans-serif" w:hAnsi="Times New Roman;sans-serif"/>
          <w:b w:val="false"/>
          <w:color w:val="000000"/>
          <w:sz w:val="22"/>
        </w:rPr>
        <w:t>, to issue, at any time and from time to time during the Availability Period, Letters of Credit denominated in Dollars for its own account or the account of any of its Subsidiaries in such form as is acceptable to the Administrative Agent and such L/C Issuer in its reasonable determination. Letters of Credit issued hereunder shall constitute utilization of the Revolving Commitments.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Notice of Issuance, Amendment, Extension, Reinstatement or Renewal</w:t>
      </w:r>
      <w:r>
        <w:rPr>
          <w:rFonts w:ascii="Times New Roman;sans-serif" w:hAnsi="Times New Roman;sans-serif"/>
          <w:b w:val="false"/>
          <w:color w:val="000000"/>
          <w:sz w:val="22"/>
        </w:rPr>
        <w:t xml:space="preserve">. To request the issuance of a Letter of Credit (or the amendment of the terms and conditions, extension of the terms and conditions, extension of the expiration date, or reinstatement of amounts paid, or renewal of an outstanding Letter of Credit), the Company shall deliver (or transmit by electronic communication, if arrangements for doing so have been approved by the applicable L/C Issuer) to the applicable L/C Issuer and to the Administrative Agent not later than 11:00 a.m. at least two Business Days (or such later date and time as the Administrative Agent and such L/C Issuer may agree in a particular instance in their sole discretion) prior to the proposed issuance date or date of amendment, as the case may be a notice requesting the issuance of a Letter of Credit, or identifying the Letter of Credit to be amended, extended, reinstated or renewed, and specifying the date of issuance, amendment, extension, reinstatement or renewal (which shall be a Business Day), the date on which such Letter of Credit is to expire (which shall comply with </w:t>
      </w:r>
      <w:r>
        <w:rPr>
          <w:rFonts w:ascii="Times New Roman;sans-serif" w:hAnsi="Times New Roman;sans-serif"/>
          <w:b w:val="false"/>
          <w:color w:val="000000"/>
          <w:sz w:val="22"/>
          <w:u w:val="single"/>
        </w:rPr>
        <w:t>clause (d)</w:t>
      </w:r>
      <w:r>
        <w:rPr>
          <w:color w:val="000000"/>
        </w:rPr>
        <w:t xml:space="preserve"> </w:t>
      </w:r>
      <w:r>
        <w:rPr>
          <w:rFonts w:ascii="Times New Roman;sans-serif" w:hAnsi="Times New Roman;sans-serif"/>
          <w:b w:val="false"/>
          <w:color w:val="000000"/>
          <w:sz w:val="22"/>
        </w:rPr>
        <w:t xml:space="preserve">of this </w:t>
      </w:r>
      <w:r>
        <w:rPr>
          <w:rFonts w:ascii="Times New Roman;sans-serif" w:hAnsi="Times New Roman;sans-serif"/>
          <w:b w:val="false"/>
          <w:color w:val="000000"/>
          <w:sz w:val="22"/>
          <w:u w:val="single"/>
        </w:rPr>
        <w:t>Section 2.03</w:t>
      </w:r>
      <w:r>
        <w:rPr>
          <w:rFonts w:ascii="Times New Roman;sans-serif" w:hAnsi="Times New Roman;sans-serif"/>
          <w:b w:val="false"/>
          <w:color w:val="000000"/>
          <w:sz w:val="22"/>
        </w:rPr>
        <w:t>), the amount of such Letter of Credit, the name and address of the beneficiary thereof, the purpose and nature of the requested Letter of Credit and such other information as shall be necessary to prepare, amend, extend, reinstate or renew such Letter of Credit. If requested by the applicable L/C Issuer, the Company also shall submit a letter of credit application and reimbursement agreement on such L/C Issuer’s standard form in connection with any request for a Letter of Credit. In the event of any inconsistency between the terms and conditions of this Agreement and the terms and conditions of any form of letter of credit application and reimbursement agreement or other agreement submitted by the Company to, or entered into by the Company with, an L/C Issuer relating to any Letter of Credit, the terms and conditions of this Agreement shall control.</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If the Company so requests in any applicable Letter of Credit Application (or the amendment of an outstanding Letter of Credit), the applicable L/C Issuer may, in its sole discretion, agree to issue a Letter of Credit that has automatic extension provisions (each, an “</w:t>
      </w:r>
      <w:r>
        <w:rPr>
          <w:rFonts w:ascii="Times New Roman;sans-serif" w:hAnsi="Times New Roman;sans-serif"/>
          <w:b w:val="false"/>
          <w:color w:val="000000"/>
          <w:sz w:val="22"/>
          <w:u w:val="single"/>
        </w:rPr>
        <w:t>Auto-Extension Letter of Credit</w:t>
      </w:r>
      <w:r>
        <w:rPr>
          <w:color w:val="000000"/>
        </w:rPr>
        <w:t>”</w:t>
      </w:r>
      <w:r>
        <w:rPr>
          <w:rFonts w:ascii="Times New Roman;sans-serif" w:hAnsi="Times New Roman;sans-serif"/>
          <w:b w:val="false"/>
          <w:color w:val="000000"/>
          <w:sz w:val="22"/>
        </w:rPr>
        <w:t>); provided that any such Auto-Extension Letter of Credit shall permit such L/C Issuer to prevent any such extension at least once in each twelve-month period (commencing with the date of issuance of such Letter of Credit) by giving prior notice to the beneficiary thereof not later than a day (the “</w:t>
      </w:r>
      <w:r>
        <w:rPr>
          <w:rFonts w:ascii="Times New Roman;sans-serif" w:hAnsi="Times New Roman;sans-serif"/>
          <w:b w:val="false"/>
          <w:color w:val="000000"/>
          <w:sz w:val="22"/>
          <w:u w:val="single"/>
        </w:rPr>
        <w:t>Non-Extension Notice Date</w:t>
      </w:r>
      <w:r>
        <w:rPr>
          <w:color w:val="000000"/>
        </w:rPr>
        <w:t>”</w:t>
      </w:r>
      <w:r>
        <w:rPr>
          <w:rFonts w:ascii="Times New Roman;sans-serif" w:hAnsi="Times New Roman;sans-serif"/>
          <w:b w:val="false"/>
          <w:color w:val="000000"/>
          <w:sz w:val="22"/>
        </w:rPr>
        <w:t xml:space="preserve">) in each such twelve-month period to be agreed upon by the Company and the applicable L/C Issuer at the time such Letter of Credit is issued. Unless otherwise directed by the applicable L/C Issuer, the Company shall not be required to make a specific request to such L/C Issuer for any such extension. Once an Auto-Extension Letter of Credit has been issued, the Revolving Lenders shall be deemed to have authorized (but may not require) the applicable L/C Issuer to permit the extension of such Letter of Credit at any time to an expiration date not later than the date permitted pursuant to </w:t>
      </w:r>
      <w:r>
        <w:rPr>
          <w:rFonts w:ascii="Times New Roman;sans-serif" w:hAnsi="Times New Roman;sans-serif"/>
          <w:b w:val="false"/>
          <w:color w:val="000000"/>
          <w:sz w:val="22"/>
          <w:u w:val="single"/>
        </w:rPr>
        <w:t>Section 2.03(d)</w:t>
      </w:r>
      <w:r>
        <w:rPr>
          <w:rFonts w:ascii="Times New Roman;sans-serif" w:hAnsi="Times New Roman;sans-serif"/>
          <w:b w:val="false"/>
          <w:color w:val="000000"/>
          <w:sz w:val="22"/>
        </w:rPr>
        <w:t xml:space="preserve">; provided, that such L/C Issuer shall not (i) permit any such extension if (A) such L/C Issuer has determined that it would not be permitted, or would have no obligation, at such time to issue such Letter of Credit in its extended form under the terms hereof (except that the expiration date may be extended to a date that is no more than one year from the then-current expiration date) or (B) it has received notice (which may be in writing or by telephone (if promptly confirmed in writing)) on or before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367665"/>
                <wp:effectExtent l="0" t="0" r="0" b="0"/>
                <wp:wrapNone/>
                <wp:docPr id="238" name="Frame23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the day that is seven Business Days before the Non-Extension Notice Date from the Administrative Agent that the Required Lenders have elected not to permit such extension or (ii) be obligated to permit such extension if it has received notice (which may be in writing or by telephone (if promptly confirmed in writing)) on or before the day that is seven Business Days before the Non-Extension Notice Date from the Administrative Agent, any Revolving Lender or the Company that one or more of the applicable conditions set forth in </w:t>
      </w:r>
      <w:r>
        <w:rPr>
          <w:rFonts w:ascii="Times New Roman;sans-serif" w:hAnsi="Times New Roman;sans-serif"/>
          <w:b w:val="false"/>
          <w:color w:val="000000"/>
          <w:sz w:val="22"/>
          <w:u w:val="single"/>
        </w:rPr>
        <w:t>Section 4.02</w:t>
      </w:r>
      <w:r>
        <w:rPr>
          <w:color w:val="000000"/>
        </w:rPr>
        <w:t xml:space="preserve"> </w:t>
      </w:r>
      <w:r>
        <w:rPr>
          <w:rFonts w:ascii="Times New Roman;sans-serif" w:hAnsi="Times New Roman;sans-serif"/>
          <w:b w:val="false"/>
          <w:color w:val="000000"/>
          <w:sz w:val="22"/>
        </w:rPr>
        <w:t>is not then satisfied, and in each such case directing such L/C Issuer not to permit such extension.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Limitations on Amounts, Issuance and Amendment</w:t>
      </w:r>
      <w:r>
        <w:rPr>
          <w:rFonts w:ascii="Times New Roman;sans-serif" w:hAnsi="Times New Roman;sans-serif"/>
          <w:b w:val="false"/>
          <w:color w:val="000000"/>
          <w:sz w:val="22"/>
        </w:rPr>
        <w:t xml:space="preserve">. A Letter of Credit shall be issued, amended, extended, reinstated or renewed only if (and upon issuance, amendment, extension, reinstatement or renewal of each Letter of Credit the Company shall be deemed to represent and warrant that), after giving effect to such issuance, amendment, extension, reinstatement or renewal (i) the Total Revolving Outstandings shall not exceed the lesser of the Aggregate Revolving Commitments or the Revolving Borrowing Base, (i) the Total Outstandings shall not exceed the Aggregate Commitments, (ii) the aggregate amount of the outstanding Letters of Credit issued by any L/C Issuer shall not exceed its L/C Commitment, (iii) the aggregate Outstanding Amount of the Revolving Committed Loans of any Revolving Lender,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such Revolving Lender’s Applicable Revolving Percentage of the Outstanding Amount of all L/C Obligations,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such Revolving Lender’s Applicable Revolving Percentage of the Outstanding Amount of all Revolving Swing Line Loans shall not exceed such Revolving Lender’s Revolving Commitment and (iv) the aggregate L/C Obligations shall not exceed the Letter of Credit Sublimit.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(i)No L/C Issuer shall be under any obligation to issue any Letter of Credit if: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(ii)(A)    any order, judgment or decree of any Governmental Authority or arbitrator shall by its terms purport to enjoin or restrain such L/C Issuer from issuing the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the Letter of Credit in particular or shall impose upon such L/C Issuer with respect to the Letter of Credit any restriction, reserve or capital requirement (for which such L/C Issuer is not otherwise compensated hereunder) not in effect on the Closing Date, or shall impose upon such L/C Issuer any unreimbursed loss, cost or expense which was not applicable on the Closing Date and which such L/C Issuer in good faith deems material to it;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(iii)(B)    the issuance of such Letter of Credit would violate one or more policies of such L/C Issuer applicable to letters of credit generally;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(iv)(C)    except as otherwise agreed by the Administrative Agent and such L/C Issuer, the Letter of Credit is in an initial stated amount less than $100,000; </w:t>
      </w:r>
    </w:p>
    <w:p>
      <w:pPr>
        <w:pStyle w:val="TextBody"/>
        <w:bidi w:val="0"/>
        <w:spacing w:lineRule="auto" w:line="288" w:before="0" w:after="240"/>
        <w:jc w:val="both"/>
        <w:rPr/>
      </w:pPr>
      <w:r>
        <w:rPr>
          <w:rFonts w:ascii="Times New Roman;sans-serif" w:hAnsi="Times New Roman;sans-serif"/>
          <w:b w:val="false"/>
          <w:color w:val="000000"/>
          <w:sz w:val="22"/>
        </w:rPr>
        <w:t xml:space="preserve">(v)(D)    any Lender is at that time a Defaulting Lender, unless such L/C Issuer has entered into arrangements, including the delivery of Cash Collateral, satisfactory to such L/C Issuer (in its sole discretion) with the Company or such Lender to eliminate such L/C Issuer’s actual or potential Fronting Exposure (after giving effect to </w:t>
      </w:r>
      <w:r>
        <w:rPr>
          <w:rFonts w:ascii="Times New Roman;sans-serif" w:hAnsi="Times New Roman;sans-serif"/>
          <w:b w:val="false"/>
          <w:color w:val="000000"/>
          <w:sz w:val="22"/>
          <w:u w:val="single"/>
        </w:rPr>
        <w:t>Section 2.27(a)(iv)</w:t>
      </w:r>
      <w:r>
        <w:rPr>
          <w:rFonts w:ascii="Times New Roman;sans-serif" w:hAnsi="Times New Roman;sans-serif"/>
          <w:b w:val="false"/>
          <w:color w:val="000000"/>
          <w:sz w:val="22"/>
        </w:rPr>
        <w:t>) with respect to the Defaulting Lender arising from either the Letter of Credit then proposed to be issued or that Letter of Credit and all other L/C Obligations as to which such L/C Issuer has actual or potential Fronting Exposure, as it may elect in its sole discretion; or</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367665"/>
                <wp:effectExtent l="0" t="0" r="0" b="0"/>
                <wp:wrapNone/>
                <wp:docPr id="239" name="Frame23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(d)(E)    the Letter of Credit contains any provisions for automatic reinstatement of the stated amount after any drawing thereunder.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(i)No L/C Issuer shall be under any obligation to amend any Letter of Credit if (A) such L/C Issuer would have no obligation at such time to issue the Letter of Credit in its amended form under the terms hereof, or (B) the beneficiary of the Letter of Credit does not accept the proposed amendment to the Letter of Credit.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Expiration Date</w:t>
      </w:r>
      <w:r>
        <w:rPr>
          <w:rFonts w:ascii="Times New Roman;sans-serif" w:hAnsi="Times New Roman;sans-serif"/>
          <w:b w:val="false"/>
          <w:color w:val="000000"/>
          <w:sz w:val="22"/>
        </w:rPr>
        <w:t>. Each Letter of Credit shall have a stated expiration date no later than the earlier of (i) the date twelve months after the date of the issuance of such Letter of Credit (or, in the case of any extension of the expiration date thereof, whether automatic or by amendment, twelve months after the then-current expiration date of such Letter of Credit) and (ii) the Letter of Credit Expiration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Participations</w:t>
      </w:r>
      <w:r>
        <w:rPr>
          <w:rFonts w:ascii="Times New Roman;sans-serif" w:hAnsi="Times New Roman;sans-serif"/>
          <w:b w:val="false"/>
          <w:color w:val="000000"/>
          <w:sz w:val="22"/>
        </w:rPr>
        <w:t xml:space="preserve">. By the issuance of a Letter of Credit (or an amendment to a Letter of Credit increasing the amount or extending the expiration date thereof), and without any further action on the part of the applicable L/C Issuer or the Lenders, such L/C Issuer hereby grants to each Revolving Lender, and each Revolving Lender hereby acquires from such L/C Issuer, a participation in such Letter of Credit equal to such Revolving Lender’s Applicable Revolving Percentage of the aggregate amount available to be drawn under such Letter of Credit. Each Revolving Lender acknowledges and agrees that its obligation to acquire participations pursuant to this </w:t>
      </w:r>
      <w:r>
        <w:rPr>
          <w:rFonts w:ascii="Times New Roman;sans-serif" w:hAnsi="Times New Roman;sans-serif"/>
          <w:b w:val="false"/>
          <w:color w:val="000000"/>
          <w:sz w:val="22"/>
          <w:u w:val="single"/>
        </w:rPr>
        <w:t>clause (e)</w:t>
      </w:r>
      <w:r>
        <w:rPr>
          <w:color w:val="000000"/>
        </w:rPr>
        <w:t xml:space="preserve"> </w:t>
      </w:r>
      <w:r>
        <w:rPr>
          <w:rFonts w:ascii="Times New Roman;sans-serif" w:hAnsi="Times New Roman;sans-serif"/>
          <w:b w:val="false"/>
          <w:color w:val="000000"/>
          <w:sz w:val="22"/>
        </w:rPr>
        <w:t>in respect of Letters of Credit is absolute, unconditional and irrevocable and shall not be affected by any circumstance whatsoever, including any amendment, extension, reinstatement or renewal of any Letter of Credit or the occurrence and continuance of a Default or reduction or termination of the Revolving Commitments.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In consideration and in furtherance of the foregoing, each Revolving Lender hereby absolutely, unconditionally and irrevocably agrees to pay to the Administrative Agent, for account of the applicable L/C Issuer, such Revolving Lender’s Applicable Revolving Percentage of each L/C Disbursement made by an L/C Issuer not later than 1:00 p.m. on the Business Day specified in the notice provided by the Administrative Agent to the Lenders pursuant to </w:t>
      </w:r>
      <w:r>
        <w:rPr>
          <w:rFonts w:ascii="Times New Roman;sans-serif" w:hAnsi="Times New Roman;sans-serif"/>
          <w:b w:val="false"/>
          <w:color w:val="000000"/>
          <w:sz w:val="22"/>
          <w:u w:val="single"/>
        </w:rPr>
        <w:t>Section 2.03(f)</w:t>
      </w:r>
      <w:r>
        <w:rPr>
          <w:color w:val="000000"/>
        </w:rPr>
        <w:t xml:space="preserve"> </w:t>
      </w:r>
      <w:r>
        <w:rPr>
          <w:rFonts w:ascii="Times New Roman;sans-serif" w:hAnsi="Times New Roman;sans-serif"/>
          <w:b w:val="false"/>
          <w:color w:val="000000"/>
          <w:sz w:val="22"/>
        </w:rPr>
        <w:t xml:space="preserve">until such L/C Disbursement is reimbursed by the Company or at any time after any reimbursement payment is required to be refunded to the Company for any reason, including after the Maturity Date. Such payment shall be made without any offset, abatement, withholding or reduction whatsoever. Each such payment shall be made in the same manner as provided in </w:t>
      </w:r>
      <w:r>
        <w:rPr>
          <w:rFonts w:ascii="Times New Roman;sans-serif" w:hAnsi="Times New Roman;sans-serif"/>
          <w:b w:val="false"/>
          <w:color w:val="000000"/>
          <w:sz w:val="22"/>
          <w:u w:val="single"/>
        </w:rPr>
        <w:t>Section 2.02</w:t>
      </w:r>
      <w:r>
        <w:rPr>
          <w:color w:val="000000"/>
        </w:rPr>
        <w:t xml:space="preserve"> </w:t>
      </w:r>
      <w:r>
        <w:rPr>
          <w:rFonts w:ascii="Times New Roman;sans-serif" w:hAnsi="Times New Roman;sans-serif"/>
          <w:b w:val="false"/>
          <w:color w:val="000000"/>
          <w:sz w:val="22"/>
        </w:rPr>
        <w:t xml:space="preserve">with respect to Revolving Loans made by such Revolving Lender (and </w:t>
      </w:r>
      <w:r>
        <w:rPr>
          <w:rFonts w:ascii="Times New Roman;sans-serif" w:hAnsi="Times New Roman;sans-serif"/>
          <w:b w:val="false"/>
          <w:color w:val="000000"/>
          <w:sz w:val="22"/>
          <w:u w:val="single"/>
        </w:rPr>
        <w:t>Section 2.02</w:t>
      </w:r>
      <w:r>
        <w:rPr>
          <w:color w:val="000000"/>
        </w:rPr>
        <w:t xml:space="preserve"> </w:t>
      </w:r>
      <w:r>
        <w:rPr>
          <w:rFonts w:ascii="Times New Roman;sans-serif" w:hAnsi="Times New Roman;sans-serif"/>
          <w:b w:val="false"/>
          <w:color w:val="000000"/>
          <w:sz w:val="22"/>
        </w:rPr>
        <w:t xml:space="preserve">shall apply, mutatis mutandis, to the payment obligations of the Required Lenders), and the Administrative Agent shall promptly pay to the applicable L/C Issuer the amounts so received by it from the Revolving Lenders. Promptly following receipt by the Administrative Agent of any payment from the Company pursuant to </w:t>
      </w:r>
      <w:r>
        <w:rPr>
          <w:rFonts w:ascii="Times New Roman;sans-serif" w:hAnsi="Times New Roman;sans-serif"/>
          <w:b w:val="false"/>
          <w:color w:val="000000"/>
          <w:sz w:val="22"/>
          <w:u w:val="single"/>
        </w:rPr>
        <w:t>Section 2.03(f)</w:t>
      </w:r>
      <w:r>
        <w:rPr>
          <w:rFonts w:ascii="Times New Roman;sans-serif" w:hAnsi="Times New Roman;sans-serif"/>
          <w:b w:val="false"/>
          <w:color w:val="000000"/>
          <w:sz w:val="22"/>
        </w:rPr>
        <w:t xml:space="preserve">, the Administrative Agent shall distribute such payment to the applicable L/C Issuer or, to the extent that the Revolving Lenders have made payments pursuant to this </w:t>
      </w:r>
      <w:r>
        <w:rPr>
          <w:rFonts w:ascii="Times New Roman;sans-serif" w:hAnsi="Times New Roman;sans-serif"/>
          <w:b w:val="false"/>
          <w:color w:val="000000"/>
          <w:sz w:val="22"/>
          <w:u w:val="single"/>
        </w:rPr>
        <w:t>clause (e)</w:t>
      </w:r>
      <w:r>
        <w:rPr>
          <w:color w:val="000000"/>
        </w:rPr>
        <w:t xml:space="preserve"> </w:t>
      </w:r>
      <w:r>
        <w:rPr>
          <w:rFonts w:ascii="Times New Roman;sans-serif" w:hAnsi="Times New Roman;sans-serif"/>
          <w:b w:val="false"/>
          <w:color w:val="000000"/>
          <w:sz w:val="22"/>
        </w:rPr>
        <w:t xml:space="preserve">to reimburse such L/C Issuer, then to such Revolving Lenders and such L/C Issuer as their interests may appear. Any payment made by a Revolving Lender pursuant to this </w:t>
      </w:r>
      <w:r>
        <w:rPr>
          <w:rFonts w:ascii="Times New Roman;sans-serif" w:hAnsi="Times New Roman;sans-serif"/>
          <w:b w:val="false"/>
          <w:color w:val="000000"/>
          <w:sz w:val="22"/>
          <w:u w:val="single"/>
        </w:rPr>
        <w:t>clause (e)</w:t>
      </w:r>
      <w:r>
        <w:rPr>
          <w:color w:val="000000"/>
        </w:rPr>
        <w:t xml:space="preserve"> </w:t>
      </w:r>
      <w:r>
        <w:rPr>
          <w:rFonts w:ascii="Times New Roman;sans-serif" w:hAnsi="Times New Roman;sans-serif"/>
          <w:b w:val="false"/>
          <w:color w:val="000000"/>
          <w:sz w:val="22"/>
        </w:rPr>
        <w:t>to reimburse an L/C Issuer for any L/C Disbursement shall not constitute a Loan and shall not relieve the Company of its obligation to reimburse such L/C Disbursement.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Each Revolving Lender further acknowledges and agrees that its participation in each Letter of Credit will be automatically adjusted to reflect such Revolving Lender’s Applicable Revolving Percentage of the aggregate amount available to be drawn under such Letter of Credit at each time such Revolving Lender’s Revolving Commitment is amended pursuant to the operation of </w:t>
      </w:r>
      <w:r>
        <w:rPr>
          <w:rFonts w:ascii="Times New Roman;sans-serif" w:hAnsi="Times New Roman;sans-serif"/>
          <w:b w:val="false"/>
          <w:color w:val="000000"/>
          <w:sz w:val="22"/>
          <w:u w:val="single"/>
        </w:rPr>
        <w:t>Section 2.22</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2.23</w:t>
      </w:r>
      <w:r>
        <w:rPr>
          <w:rFonts w:ascii="Times New Roman;sans-serif" w:hAnsi="Times New Roman;sans-serif"/>
          <w:b w:val="false"/>
          <w:color w:val="000000"/>
          <w:sz w:val="22"/>
        </w:rPr>
        <w:t xml:space="preserve">, as a result of an assignment in accordance with </w:t>
      </w:r>
      <w:r>
        <w:rPr>
          <w:rFonts w:ascii="Times New Roman;sans-serif" w:hAnsi="Times New Roman;sans-serif"/>
          <w:b w:val="false"/>
          <w:color w:val="000000"/>
          <w:sz w:val="22"/>
          <w:u w:val="single"/>
        </w:rPr>
        <w:t>Section 10.06</w:t>
      </w:r>
      <w:r>
        <w:rPr>
          <w:color w:val="000000"/>
        </w:rPr>
        <w:t xml:space="preserve"> </w:t>
      </w:r>
      <w:r>
        <w:rPr>
          <w:rFonts w:ascii="Times New Roman;sans-serif" w:hAnsi="Times New Roman;sans-serif"/>
          <w:b w:val="false"/>
          <w:color w:val="000000"/>
          <w:sz w:val="22"/>
        </w:rPr>
        <w:t>or otherwise pursuant to this Agreement.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If any Revolving Lender fails to make available to the Administrative Agent for the account of the applicable L/C Issuer any amount required to be paid by such Revolving Lender pursuant to the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367665"/>
                <wp:effectExtent l="0" t="0" r="0" b="0"/>
                <wp:wrapNone/>
                <wp:docPr id="240" name="Frame23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foregoing provisions of this </w:t>
      </w:r>
      <w:r>
        <w:rPr>
          <w:rFonts w:ascii="Times New Roman;sans-serif" w:hAnsi="Times New Roman;sans-serif"/>
          <w:b w:val="false"/>
          <w:color w:val="000000"/>
          <w:sz w:val="22"/>
          <w:u w:val="single"/>
        </w:rPr>
        <w:t>Section 2.03(e)</w:t>
      </w:r>
      <w:r>
        <w:rPr>
          <w:rFonts w:ascii="Times New Roman;sans-serif" w:hAnsi="Times New Roman;sans-serif"/>
          <w:b w:val="false"/>
          <w:color w:val="000000"/>
          <w:sz w:val="22"/>
        </w:rPr>
        <w:t>, then, without limiting the other provisions of this Agreement, the applicable L/C Issuer shall be entitled to recover from such Revolving Lender (acting through the Administrative Agent), on demand, such amount with interest thereon for the period from the date such payment is required to the date on which such payment is immediately available to such L/C Issuer at a rate per annum equal to the greater of the Federal Funds Rate and a rate determined by the applicable L/C Issuer in accordance with banking industry rules on interbank compensation, plus any administrative, processing or similar fees customarily charged by such L/C Issuer in connection with the foregoing. If such Revolving Lender pays such amount (with interest and fees as aforesaid), the amount so paid shall constitute such Revolving Lender’s Revolving Committed Loan included in the relevant Revolving Committed Borrowing or L/C Advance in respect of the relevant L/C Borrowing, as the case may be. A certificate of the applicable L/C Issuer submitted to any Revolving Lender (through the Administrative Agent) with respect to any amounts owing under this clause shall be conclusive absent manifest error.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u w:val="single"/>
        </w:rPr>
        <w:t>Reimbursement.</w:t>
      </w:r>
      <w:r>
        <w:rPr>
          <w:color w:val="000000"/>
        </w:rPr>
        <w:t xml:space="preserve"> </w:t>
      </w:r>
      <w:r>
        <w:rPr>
          <w:rFonts w:ascii="Times New Roman;sans-serif" w:hAnsi="Times New Roman;sans-serif"/>
          <w:b w:val="false"/>
          <w:color w:val="000000"/>
          <w:sz w:val="22"/>
        </w:rPr>
        <w:t xml:space="preserve">If an L/C Issuer shall make any L/C Disbursement in respect of a Letter of Credit, the Company shall reimburse such L/C Issuer in respect of such L/C Disbursement by paying to the Administrative Agent an amount equal to such L/C Disbursement not later than 12:00 noon on (i) the Business Day that the Company receives notice of such L/C Disbursement, if such notice is received prior to 10:00 a.m. or (ii) the Business Day immediately following the day that the Company receives such notice, if such notice is not received prior to such time, provided that, if such L/C Disbursement is not less than $1,000,000, the Company may, subject to the conditions to borrowing set forth herein, request in accordance with </w:t>
      </w:r>
      <w:r>
        <w:rPr>
          <w:rFonts w:ascii="Times New Roman;sans-serif" w:hAnsi="Times New Roman;sans-serif"/>
          <w:b w:val="false"/>
          <w:color w:val="000000"/>
          <w:sz w:val="22"/>
          <w:u w:val="single"/>
        </w:rPr>
        <w:t>Section 2.02</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2.04</w:t>
      </w:r>
      <w:r>
        <w:rPr>
          <w:color w:val="000000"/>
        </w:rPr>
        <w:t xml:space="preserve"> </w:t>
      </w:r>
      <w:r>
        <w:rPr>
          <w:rFonts w:ascii="Times New Roman;sans-serif" w:hAnsi="Times New Roman;sans-serif"/>
          <w:b w:val="false"/>
          <w:color w:val="000000"/>
          <w:sz w:val="22"/>
        </w:rPr>
        <w:t>that such payment be financed with a Revolving Borrowing of Daily Simple SOFR Loans or Revolving Swing Line Loan in an equivalent amount and, to the extent so financed, the Company’s obligation to make such payment shall be discharged and replaced by the resulting Revolving Borrowing of Daily Simple SOFR Loans or Revolving Swing Line Loan. If the Company fails to make such payment when due, the Administrative Agent shall notify each Revolving Lender of the applicable L/C Disbursement, the payment then due from the Company in respect thereof (the “</w:t>
      </w:r>
      <w:r>
        <w:rPr>
          <w:rFonts w:ascii="Times New Roman;sans-serif" w:hAnsi="Times New Roman;sans-serif"/>
          <w:b w:val="false"/>
          <w:color w:val="000000"/>
          <w:sz w:val="22"/>
          <w:u w:val="single"/>
        </w:rPr>
        <w:t>Unreimbursed Amount</w:t>
      </w:r>
      <w:r>
        <w:rPr>
          <w:color w:val="000000"/>
        </w:rPr>
        <w:t>”</w:t>
      </w:r>
      <w:r>
        <w:rPr>
          <w:rFonts w:ascii="Times New Roman;sans-serif" w:hAnsi="Times New Roman;sans-serif"/>
          <w:b w:val="false"/>
          <w:color w:val="000000"/>
          <w:sz w:val="22"/>
        </w:rPr>
        <w:t xml:space="preserve">) and such Revolving Lender’s Applicable Revolving Percentage thereof. In such event, the Company shall be deemed to have requested a Revolving Committed Borrowing of Daily Simple SOFR Loans to be disbursed on the date of payment by the applicable L/C Issuer under a Letter of Credit in an amount equal to the Unreimbursed Amount, without regard to the minimum and multiples specified in </w:t>
      </w:r>
      <w:r>
        <w:rPr>
          <w:rFonts w:ascii="Times New Roman;sans-serif" w:hAnsi="Times New Roman;sans-serif"/>
          <w:b w:val="false"/>
          <w:color w:val="000000"/>
          <w:sz w:val="22"/>
          <w:u w:val="single"/>
        </w:rPr>
        <w:t>Section 2.02</w:t>
      </w:r>
      <w:r>
        <w:rPr>
          <w:color w:val="000000"/>
        </w:rPr>
        <w:t xml:space="preserve"> </w:t>
      </w:r>
      <w:r>
        <w:rPr>
          <w:rFonts w:ascii="Times New Roman;sans-serif" w:hAnsi="Times New Roman;sans-serif"/>
          <w:b w:val="false"/>
          <w:color w:val="000000"/>
          <w:sz w:val="22"/>
        </w:rPr>
        <w:t xml:space="preserve">for the principal amount of Base Rate Loans, but subject to the amount of the unutilized portion of the Aggregate Revolving Commitments and the conditions set forth in </w:t>
      </w:r>
      <w:r>
        <w:rPr>
          <w:rFonts w:ascii="Times New Roman;sans-serif" w:hAnsi="Times New Roman;sans-serif"/>
          <w:b w:val="false"/>
          <w:color w:val="000000"/>
          <w:sz w:val="22"/>
          <w:u w:val="single"/>
        </w:rPr>
        <w:t>Section 4.02</w:t>
      </w:r>
      <w:r>
        <w:rPr>
          <w:color w:val="000000"/>
        </w:rPr>
        <w:t xml:space="preserve"> </w:t>
      </w:r>
      <w:r>
        <w:rPr>
          <w:rFonts w:ascii="Times New Roman;sans-serif" w:hAnsi="Times New Roman;sans-serif"/>
          <w:b w:val="false"/>
          <w:color w:val="000000"/>
          <w:sz w:val="22"/>
        </w:rPr>
        <w:t xml:space="preserve">(other than the delivery of a Revolving Committed Loan Notice). Any notice given by any L/C Issuer or the Administrative Agent pursuant to this </w:t>
      </w:r>
      <w:r>
        <w:rPr>
          <w:rFonts w:ascii="Times New Roman;sans-serif" w:hAnsi="Times New Roman;sans-serif"/>
          <w:b w:val="false"/>
          <w:color w:val="000000"/>
          <w:sz w:val="22"/>
          <w:u w:val="single"/>
        </w:rPr>
        <w:t xml:space="preserve">Section 2.03(f) </w:t>
      </w:r>
      <w:r>
        <w:rPr>
          <w:rFonts w:ascii="Times New Roman;sans-serif" w:hAnsi="Times New Roman;sans-serif"/>
          <w:b w:val="false"/>
          <w:color w:val="000000"/>
          <w:sz w:val="22"/>
        </w:rPr>
        <w:t>may be given by telephone if immediately confirmed in writing; provided that the lack of such an immediate confirmation shall not affect the conclusiveness or binding effect of such notice.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u w:val="single"/>
        </w:rPr>
        <w:t>Obligations Absolute</w:t>
      </w:r>
      <w:r>
        <w:rPr>
          <w:rFonts w:ascii="Times New Roman;sans-serif" w:hAnsi="Times New Roman;sans-serif"/>
          <w:b w:val="false"/>
          <w:color w:val="000000"/>
          <w:sz w:val="22"/>
        </w:rPr>
        <w:t xml:space="preserve">. The Company’s obligation to reimburse L/C Disbursements as provided in </w:t>
      </w:r>
      <w:r>
        <w:rPr>
          <w:rFonts w:ascii="Times New Roman;sans-serif" w:hAnsi="Times New Roman;sans-serif"/>
          <w:b w:val="false"/>
          <w:color w:val="000000"/>
          <w:sz w:val="22"/>
          <w:u w:val="single"/>
        </w:rPr>
        <w:t>clause (f)</w:t>
      </w:r>
      <w:r>
        <w:rPr>
          <w:color w:val="000000"/>
        </w:rPr>
        <w:t xml:space="preserve"> </w:t>
      </w:r>
      <w:r>
        <w:rPr>
          <w:rFonts w:ascii="Times New Roman;sans-serif" w:hAnsi="Times New Roman;sans-serif"/>
          <w:b w:val="false"/>
          <w:color w:val="000000"/>
          <w:sz w:val="22"/>
        </w:rPr>
        <w:t xml:space="preserve">of this </w:t>
      </w:r>
      <w:r>
        <w:rPr>
          <w:rFonts w:ascii="Times New Roman;sans-serif" w:hAnsi="Times New Roman;sans-serif"/>
          <w:b w:val="false"/>
          <w:color w:val="000000"/>
          <w:sz w:val="22"/>
          <w:u w:val="single"/>
        </w:rPr>
        <w:t>Section 2.03</w:t>
      </w:r>
      <w:r>
        <w:rPr>
          <w:color w:val="000000"/>
        </w:rPr>
        <w:t xml:space="preserve"> </w:t>
      </w:r>
      <w:r>
        <w:rPr>
          <w:rFonts w:ascii="Times New Roman;sans-serif" w:hAnsi="Times New Roman;sans-serif"/>
          <w:b w:val="false"/>
          <w:color w:val="000000"/>
          <w:sz w:val="22"/>
        </w:rPr>
        <w:t>shall be absolute, unconditional and irrevocable, and shall be performed strictly in accordance with the terms of this Agreement under any and all circumstances whatsoever and irrespective of:</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(i)any lack of validity or enforceability of this Agreement, any other Loan Document or any Letter of Credit, or any term or provision herein or therein;</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(ii)the existence of any claim, counterclaim, setoff, defense or other right that the Company, any Borrower or any Subsidiary may have at any time against any beneficiary or any transferee of such Letter of Credit (or any Person for whom any such beneficiary or any such transferee may be acting), any L/C Issuer or any other Person, whether in connection with this Agreement, the transactions contemplated hereby or by such Letter of Credit or any agreement or instrument relating thereto, or any unrelated transaction;</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(iii)any draft, demand, certificate or other document presented under a Letter of Credit proving to be forged, fraudulent, invalid or insufficient in any respect or any statement in such draft or other document being untrue or inaccurate in any respect; or any loss or delay in the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367665"/>
                <wp:effectExtent l="0" t="0" r="0" b="0"/>
                <wp:wrapNone/>
                <wp:docPr id="241" name="Frame23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68</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transmission or otherwise of any document required in order to make a drawing under such Letter of Credit;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(iv)waiver by any L/C Issuer of any requirement that exists for such L/C Issuer’s protection and not the protection of the Borrowers or any waiver by such L/C Issuer which does not in fact materially prejudice the Borrowers;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(v)honor of a demand for payment presented electronically even if such Letter of Credit requires that demand be in the form of a draft;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(vi)any payment made by any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(vii)any payment by the applicable L/C Issuer under a Letter of Credit against presentation of a draft or other document that does not comply strictly with the terms of such Letter of Credit; or any payment made by any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(viii)any other event or circumstance whatsoever, whether or not similar to any of the foregoing, that might, but for the provisions of this </w:t>
      </w:r>
      <w:r>
        <w:rPr>
          <w:rFonts w:ascii="Times New Roman;sans-serif" w:hAnsi="Times New Roman;sans-serif"/>
          <w:b w:val="false"/>
          <w:color w:val="000000"/>
          <w:sz w:val="22"/>
          <w:u w:val="single"/>
        </w:rPr>
        <w:t>Section 2.03</w:t>
      </w:r>
      <w:r>
        <w:rPr>
          <w:rFonts w:ascii="Times New Roman;sans-serif" w:hAnsi="Times New Roman;sans-serif"/>
          <w:b w:val="false"/>
          <w:color w:val="000000"/>
          <w:sz w:val="22"/>
        </w:rPr>
        <w:t>, constitute a legal or equitable discharge of, or provide a right of setoff against, the Company’s, any Borrower’s or any Subsidiary’s obligations hereunder.</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shall promptly examine a copy of each Letter of Credit and each amendment thereto that is delivered to it and, in the event of any claim of noncompliance with the Company’s instructions or other irregularity, the Company will immediately notify the applicable L/C Issuer. The Company shall be conclusively deemed to have waived any such claim against each L/C Issuer and its correspondents unless such notice is given as aforesaid.</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None of the Administrative Agent, the Lenders, any L/C Issuer or any of their Related Parties shall have any liability or responsibility by reason of or in connection with the issuance or transfer of any Letter of Credit by the applicable L/C Issuer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the applicable L/C Issuer; provided that the foregoing shall not be construed to excuse an L/C Issuer from liability to the Company to the extent of any direct damages (as opposed to consequential damages, claims in respect of which are hereby waived by the Company to the extent permitted by applicable Law) suffered by the Company that are caused by such L/C Issuer’s failure to exercise care when determining whether drafts and other documents presented under a Letter of Credit comply with the terms thereof. The parties hereto expressly agree that, in the absence of gross negligence or willful misconduct on the part of an L/C Issuer (as finally determined by a court of competent jurisdiction), an L/C Issuer shall be deemed to have exercised care in each such determination, and that: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(ix)an L/C Issuer may replace a purportedly lost, stolen, or destroyed original Letter of Credit or missing amendment thereto with a certified true copy marked as such or waive a requirement for its presentation;</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367665"/>
                <wp:effectExtent l="0" t="0" r="0" b="0"/>
                <wp:wrapNone/>
                <wp:docPr id="242" name="Frame23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69</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(x)an L/C Issuer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 and without regard to any non-documentary condition in such Letter of Credit;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(xi)an L/C Issuer shall have the right, in its sole discretion, to decline to accept such documents and to make such payment if such documents are not in strict compliance with the terms of such Letter of Credit; and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(xii)this sentence shall establish the standard of care to be exercised by an L/C Issuer when determining whether drafts and other documents presented under a Letter of Credit comply with the terms thereof (and the parties hereto hereby waive, to the extent permitted by applicable Law, any standard of care inconsistent with the foregoing).</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Without limiting the foregoing, none of the Administrative Agent, the Lenders, any L/C Issuer or any of their Related Parties shall have any liability or responsibility by reason of (i) any presentation that includes forged or fraudulent documents or that is otherwise affected by the fraudulent, bad faith, or illegal conduct of the beneficiary or other Person, (ii) an L/C Issuer declining to take-up documents and make payment (A) against documents that are fraudulent, forged, or for other reasons by which that it is entitled not to honor or (B) following the Company’s waiver of discrepancies with respect to such documents or request for honor of such documents or (iii) an L/C Issuer retaining proceeds of a Letter of Credit based on an apparently applicable attachment order, blocking regulation, or third-party claim notified to such L/C Issuer.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Applicability of ISP and UCP; Limitation of Liability</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Unless otherwise expressly agreed by the applicable L/C Issuer and the Company when a Letter of Credit is issued by it (including any such agreement applicable to an Existing Letter of Credit), the rules of the ISP shall apply to each standby Letter of Credit. Notwithstanding the foregoing, no L/C Issuer shall be responsible to the Company, any Borrower or any Subsidiary for, and no L/C Issuer’s rights and remedies against the Company, any Borrower or any Subsidiary shall be impaired by, any action or inaction of any L/C Issuer required or permitted under any law, order, or practice that is required or permitted to be applied to any Letter of Credit or this Agreement, including the Law or any order of a jurisdiction where any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rPr>
        <w:t xml:space="preserve">each L/C Issuer shall act on behalf of the Revolving Lenders with respect to any Letters of Credit issued by it and the documents associated therewith, and each L/C Issuer shall have all of the benefits and immunities (A) provided to the Administrative Agent in </w:t>
      </w:r>
      <w:r>
        <w:rPr>
          <w:rFonts w:ascii="Times New Roman;sans-serif" w:hAnsi="Times New Roman;sans-serif"/>
          <w:b w:val="false"/>
          <w:color w:val="000000"/>
          <w:sz w:val="22"/>
          <w:u w:val="single"/>
        </w:rPr>
        <w:t>Article IX</w:t>
      </w:r>
      <w:r>
        <w:rPr>
          <w:color w:val="000000"/>
        </w:rPr>
        <w:t xml:space="preserve"> </w:t>
      </w:r>
      <w:r>
        <w:rPr>
          <w:rFonts w:ascii="Times New Roman;sans-serif" w:hAnsi="Times New Roman;sans-serif"/>
          <w:b w:val="false"/>
          <w:color w:val="000000"/>
          <w:sz w:val="22"/>
        </w:rPr>
        <w:t xml:space="preserve">with respect to any acts taken or omissions suffered by such L/C Issuer in connection with Letters of Credit issued by it or proposed to be issued by it and Issuer Documents pertaining to such Letters of Credit as fully as if the term “Administrative Agent” as used in </w:t>
      </w:r>
      <w:r>
        <w:rPr>
          <w:rFonts w:ascii="Times New Roman;sans-serif" w:hAnsi="Times New Roman;sans-serif"/>
          <w:b w:val="false"/>
          <w:color w:val="000000"/>
          <w:sz w:val="22"/>
          <w:u w:val="single"/>
        </w:rPr>
        <w:t>Article IX</w:t>
      </w:r>
      <w:r>
        <w:rPr>
          <w:color w:val="000000"/>
        </w:rPr>
        <w:t xml:space="preserve"> </w:t>
      </w:r>
      <w:r>
        <w:rPr>
          <w:rFonts w:ascii="Times New Roman;sans-serif" w:hAnsi="Times New Roman;sans-serif"/>
          <w:b w:val="false"/>
          <w:color w:val="000000"/>
          <w:sz w:val="22"/>
        </w:rPr>
        <w:t>included such L/C Issuer with respect to such acts or omissions, and (B) as additionally provided herein with respect to such L/C Issuer.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(k)</w:t>
      </w:r>
      <w:r>
        <w:rPr>
          <w:rFonts w:ascii="Times New Roman;sans-serif" w:hAnsi="Times New Roman;sans-serif"/>
          <w:b w:val="false"/>
          <w:color w:val="000000"/>
          <w:sz w:val="22"/>
          <w:u w:val="single"/>
        </w:rPr>
        <w:t>Letter of Credit Fees</w:t>
      </w:r>
      <w:r>
        <w:rPr>
          <w:rFonts w:ascii="Times New Roman;sans-serif" w:hAnsi="Times New Roman;sans-serif"/>
          <w:b w:val="false"/>
          <w:color w:val="000000"/>
          <w:sz w:val="22"/>
        </w:rPr>
        <w:t xml:space="preserve">. The Company shall pay to the Administrative Agent for the account of each Revolving Lender in accordance, subject to </w:t>
      </w:r>
      <w:r>
        <w:rPr>
          <w:rFonts w:ascii="Times New Roman;sans-serif" w:hAnsi="Times New Roman;sans-serif"/>
          <w:b w:val="false"/>
          <w:color w:val="000000"/>
          <w:sz w:val="22"/>
          <w:u w:val="single"/>
        </w:rPr>
        <w:t>Section 2.27</w:t>
      </w:r>
      <w:r>
        <w:rPr>
          <w:rFonts w:ascii="Times New Roman;sans-serif" w:hAnsi="Times New Roman;sans-serif"/>
          <w:b w:val="false"/>
          <w:color w:val="000000"/>
          <w:sz w:val="22"/>
        </w:rPr>
        <w:t>, with its Applicable Revolving Percentage a Letter of Credit fee (the “</w:t>
      </w:r>
      <w:r>
        <w:rPr>
          <w:rFonts w:ascii="Times New Roman;sans-serif" w:hAnsi="Times New Roman;sans-serif"/>
          <w:b w:val="false"/>
          <w:color w:val="000000"/>
          <w:sz w:val="22"/>
          <w:u w:val="single"/>
        </w:rPr>
        <w:t>Letter of Credit Fee</w:t>
      </w:r>
      <w:r>
        <w:rPr>
          <w:color w:val="000000"/>
        </w:rPr>
        <w:t>”</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 xml:space="preserve">for each Letter of Credit equal to the Applicable Rate times the daily amount available to be drawn under such Letter of Credit;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any Letter of Credit Fees otherwise payable for the account of a Defaulting Lender with respect to any Letter of Credit as to which such Defaulting Lender has not provided Cash Collateral satisfactory to the applicable L/C Issuer pursuant to this </w:t>
      </w:r>
      <w:r>
        <w:rPr>
          <w:rFonts w:ascii="Times New Roman;sans-serif" w:hAnsi="Times New Roman;sans-serif"/>
          <w:b w:val="false"/>
          <w:color w:val="000000"/>
          <w:sz w:val="22"/>
          <w:u w:val="single"/>
        </w:rPr>
        <w:t>Section 2.03</w:t>
      </w:r>
      <w:r>
        <w:rPr>
          <w:color w:val="000000"/>
        </w:rPr>
        <w:t xml:space="preserve"> </w:t>
      </w:r>
      <w:r>
        <w:rPr>
          <w:rFonts w:ascii="Times New Roman;sans-serif" w:hAnsi="Times New Roman;sans-serif"/>
          <w:b w:val="false"/>
          <w:color w:val="000000"/>
          <w:sz w:val="22"/>
        </w:rPr>
        <w:t xml:space="preserve">shall be payable, to the maximum extent permitted by applicable Law, to the other Lenders in accordance with the upward adjustments in their respective Applicable Revolving Percentages allocable to such Letter of Credit pursuant to </w:t>
      </w:r>
      <w:r>
        <w:rPr>
          <w:rFonts w:ascii="Times New Roman;sans-serif" w:hAnsi="Times New Roman;sans-serif"/>
          <w:b w:val="false"/>
          <w:color w:val="000000"/>
          <w:sz w:val="22"/>
          <w:u w:val="single"/>
        </w:rPr>
        <w:t>Section 2.27(a)(iv)</w:t>
      </w:r>
      <w:r>
        <w:rPr>
          <w:rFonts w:ascii="Times New Roman;sans-serif" w:hAnsi="Times New Roman;sans-serif"/>
          <w:b w:val="false"/>
          <w:color w:val="000000"/>
          <w:sz w:val="22"/>
        </w:rPr>
        <w:t xml:space="preserve">, with the balance of such fee, if any, payable to such L/C Issuer for its own account. For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367665"/>
                <wp:effectExtent l="0" t="0" r="0" b="0"/>
                <wp:wrapNone/>
                <wp:docPr id="243" name="Frame23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70</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purposes of computing the daily amount available to be drawn under any Letter of Credit, the amount of such Letter of Credit shall be determined in accordance with </w:t>
      </w:r>
      <w:r>
        <w:rPr>
          <w:rFonts w:ascii="Times New Roman;sans-serif" w:hAnsi="Times New Roman;sans-serif"/>
          <w:b w:val="false"/>
          <w:color w:val="000000"/>
          <w:sz w:val="22"/>
          <w:u w:val="single"/>
        </w:rPr>
        <w:t>Section 1.07</w:t>
      </w:r>
      <w:r>
        <w:rPr>
          <w:rFonts w:ascii="Times New Roman;sans-serif" w:hAnsi="Times New Roman;sans-serif"/>
          <w:b w:val="false"/>
          <w:color w:val="000000"/>
          <w:sz w:val="22"/>
        </w:rPr>
        <w:t>. Letter of Credit Fees shall be (i) due and payable on the first Automatic Debit Date after the end of each March, June, September and December, commencing with the first such date to occur after the issuance of such Letter of Credit, on the Letter of Credit Expiration Date and thereafter on demand and (ii) computed on a quarterly basis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Lenders, while any Event of Default exists, all Letter of Credit Fees shall accrue at the Default Rate.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(l)</w:t>
      </w:r>
      <w:r>
        <w:rPr>
          <w:rFonts w:ascii="Times New Roman;sans-serif" w:hAnsi="Times New Roman;sans-serif"/>
          <w:b w:val="false"/>
          <w:color w:val="000000"/>
          <w:sz w:val="22"/>
          <w:u w:val="single"/>
        </w:rPr>
        <w:t>Fronting Fee and Documentary and Processing Charges Payable to L/C Issuers</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 xml:space="preserve">The Company shall pay directly to the applicable L/C Issuer for its own account a fronting fee with respect to each Letter of Credit, at the rate per annum equal to the percentage separately agreed upon between the Company and such L/C Issuer, computed on the daily amount available to be drawn under such Letter of Credit on a quarterly basis in arrears. Such fronting fee shall be due and payable on the first Automatic Debit Date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Times New Roman;sans-serif" w:hAnsi="Times New Roman;sans-serif"/>
          <w:b w:val="false"/>
          <w:color w:val="000000"/>
          <w:sz w:val="22"/>
          <w:u w:val="single"/>
        </w:rPr>
        <w:t>Section 1.07</w:t>
      </w:r>
      <w:r>
        <w:rPr>
          <w:rFonts w:ascii="Times New Roman;sans-serif" w:hAnsi="Times New Roman;sans-serif"/>
          <w:b w:val="false"/>
          <w:color w:val="000000"/>
          <w:sz w:val="22"/>
        </w:rPr>
        <w:t>. In addition, the Company shall pay directly to the applicable L/C Issuer for its own account the customary issuance, presentation, amendment and other processing fees, and other standard costs and charges, of such L/C Issuer relating to letters of credit as from time to time in effect. Such customary fees and standard costs and charges are due and payable on demand and are nonrefundable.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(m)</w:t>
      </w:r>
      <w:r>
        <w:rPr>
          <w:rFonts w:ascii="Times New Roman;sans-serif" w:hAnsi="Times New Roman;sans-serif"/>
          <w:b w:val="false"/>
          <w:color w:val="000000"/>
          <w:sz w:val="22"/>
          <w:u w:val="single"/>
        </w:rPr>
        <w:t>Disbursement Procedures</w:t>
      </w:r>
      <w:r>
        <w:rPr>
          <w:rFonts w:ascii="Times New Roman;sans-serif" w:hAnsi="Times New Roman;sans-serif"/>
          <w:b w:val="false"/>
          <w:color w:val="000000"/>
          <w:sz w:val="22"/>
        </w:rPr>
        <w:t>. The L/C Issuer for any Letter of Credit shall, within the time allowed by applicable Laws or the specific terms of the Letter of Credit following its receipt thereof, examine all documents purporting to represent a demand for payment under such Letter of Credit. Such L/C Issuer shall promptly after such examination notify the Administrative Agent and the Company in writing of such demand for payment if such L/C Issuer has made or will make an L/C Disbursement thereunder; provided that any failure to give or delay in giving such notice shall not relieve the Company of its obligation to reimburse such L/C Issuer and the Lenders with respect to any such L/C Disbursement.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(n)</w:t>
      </w:r>
      <w:r>
        <w:rPr>
          <w:rFonts w:ascii="Times New Roman;sans-serif" w:hAnsi="Times New Roman;sans-serif"/>
          <w:b w:val="false"/>
          <w:color w:val="000000"/>
          <w:sz w:val="22"/>
          <w:u w:val="single"/>
        </w:rPr>
        <w:t>Interim Interest</w:t>
      </w:r>
      <w:r>
        <w:rPr>
          <w:rFonts w:ascii="Times New Roman;sans-serif" w:hAnsi="Times New Roman;sans-serif"/>
          <w:b w:val="false"/>
          <w:color w:val="000000"/>
          <w:sz w:val="22"/>
        </w:rPr>
        <w:t xml:space="preserve">. If the L/C Issuer for any Letter of Credit shall make any L/C Disbursement, then, unless the Company shall reimburse such L/C Disbursement in full on the date such L/C Disbursement is made, the unpaid amount thereof shall bear interest, for each day from and including the date such L/C Disbursement is made to but excluding the date that the Company reimburses such L/C Disbursement, at the rate per annum then applicable to Daily Simple SOFR Loans; provided that if the Company fails to reimburse such L/C Disbursement when due pursuant to </w:t>
      </w:r>
      <w:r>
        <w:rPr>
          <w:rFonts w:ascii="Times New Roman;sans-serif" w:hAnsi="Times New Roman;sans-serif"/>
          <w:b w:val="false"/>
          <w:color w:val="000000"/>
          <w:sz w:val="22"/>
          <w:u w:val="single"/>
        </w:rPr>
        <w:t>clause (f)</w:t>
      </w:r>
      <w:r>
        <w:rPr>
          <w:color w:val="000000"/>
        </w:rPr>
        <w:t xml:space="preserve"> </w:t>
      </w:r>
      <w:r>
        <w:rPr>
          <w:rFonts w:ascii="Times New Roman;sans-serif" w:hAnsi="Times New Roman;sans-serif"/>
          <w:b w:val="false"/>
          <w:color w:val="000000"/>
          <w:sz w:val="22"/>
        </w:rPr>
        <w:t xml:space="preserve">of this </w:t>
      </w:r>
      <w:r>
        <w:rPr>
          <w:rFonts w:ascii="Times New Roman;sans-serif" w:hAnsi="Times New Roman;sans-serif"/>
          <w:b w:val="false"/>
          <w:color w:val="000000"/>
          <w:sz w:val="22"/>
          <w:u w:val="single"/>
        </w:rPr>
        <w:t>Section 2.03</w:t>
      </w:r>
      <w:r>
        <w:rPr>
          <w:rFonts w:ascii="Times New Roman;sans-serif" w:hAnsi="Times New Roman;sans-serif"/>
          <w:b w:val="false"/>
          <w:color w:val="000000"/>
          <w:sz w:val="22"/>
        </w:rPr>
        <w:t xml:space="preserve">, then </w:t>
      </w:r>
      <w:r>
        <w:rPr>
          <w:rFonts w:ascii="Times New Roman;sans-serif" w:hAnsi="Times New Roman;sans-serif"/>
          <w:b w:val="false"/>
          <w:color w:val="000000"/>
          <w:sz w:val="22"/>
          <w:u w:val="single"/>
        </w:rPr>
        <w:t>Section 2.16(c)</w:t>
      </w:r>
      <w:r>
        <w:rPr>
          <w:color w:val="000000"/>
        </w:rPr>
        <w:t xml:space="preserve"> </w:t>
      </w:r>
      <w:r>
        <w:rPr>
          <w:rFonts w:ascii="Times New Roman;sans-serif" w:hAnsi="Times New Roman;sans-serif"/>
          <w:b w:val="false"/>
          <w:color w:val="000000"/>
          <w:sz w:val="22"/>
        </w:rPr>
        <w:t xml:space="preserve">shall apply. Interest accrued pursuant to this </w:t>
      </w:r>
      <w:r>
        <w:rPr>
          <w:rFonts w:ascii="Times New Roman;sans-serif" w:hAnsi="Times New Roman;sans-serif"/>
          <w:b w:val="false"/>
          <w:color w:val="000000"/>
          <w:sz w:val="22"/>
          <w:u w:val="single"/>
        </w:rPr>
        <w:t>clause (m)</w:t>
      </w:r>
      <w:r>
        <w:rPr>
          <w:color w:val="000000"/>
        </w:rPr>
        <w:t xml:space="preserve"> </w:t>
      </w:r>
      <w:r>
        <w:rPr>
          <w:rFonts w:ascii="Times New Roman;sans-serif" w:hAnsi="Times New Roman;sans-serif"/>
          <w:b w:val="false"/>
          <w:color w:val="000000"/>
          <w:sz w:val="22"/>
        </w:rPr>
        <w:t xml:space="preserve">shall be for account of such L/C Issuer, except that interest accrued on and after the date of payment by any Lender pursuant to </w:t>
      </w:r>
      <w:r>
        <w:rPr>
          <w:rFonts w:ascii="Times New Roman;sans-serif" w:hAnsi="Times New Roman;sans-serif"/>
          <w:b w:val="false"/>
          <w:color w:val="000000"/>
          <w:sz w:val="22"/>
          <w:u w:val="single"/>
        </w:rPr>
        <w:t>clause (f)</w:t>
      </w:r>
      <w:r>
        <w:rPr>
          <w:color w:val="000000"/>
        </w:rPr>
        <w:t xml:space="preserve"> </w:t>
      </w:r>
      <w:r>
        <w:rPr>
          <w:rFonts w:ascii="Times New Roman;sans-serif" w:hAnsi="Times New Roman;sans-serif"/>
          <w:b w:val="false"/>
          <w:color w:val="000000"/>
          <w:sz w:val="22"/>
        </w:rPr>
        <w:t xml:space="preserve">of this </w:t>
      </w:r>
      <w:r>
        <w:rPr>
          <w:rFonts w:ascii="Times New Roman;sans-serif" w:hAnsi="Times New Roman;sans-serif"/>
          <w:b w:val="false"/>
          <w:color w:val="000000"/>
          <w:sz w:val="22"/>
          <w:u w:val="single"/>
        </w:rPr>
        <w:t>Section 2.03</w:t>
      </w:r>
      <w:r>
        <w:rPr>
          <w:color w:val="000000"/>
        </w:rPr>
        <w:t xml:space="preserve"> </w:t>
      </w:r>
      <w:r>
        <w:rPr>
          <w:rFonts w:ascii="Times New Roman;sans-serif" w:hAnsi="Times New Roman;sans-serif"/>
          <w:b w:val="false"/>
          <w:color w:val="000000"/>
          <w:sz w:val="22"/>
        </w:rPr>
        <w:t>to reimburse such L/C Issuer shall be for account of such Lender to the extent of such payment.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(o)</w:t>
      </w:r>
      <w:r>
        <w:rPr>
          <w:rFonts w:ascii="Times New Roman;sans-serif" w:hAnsi="Times New Roman;sans-serif"/>
          <w:b w:val="false"/>
          <w:color w:val="000000"/>
          <w:sz w:val="22"/>
          <w:u w:val="single"/>
        </w:rPr>
        <w:t xml:space="preserve">Replacement of any L/C Issuer </w:t>
      </w:r>
      <w:r>
        <w:rPr>
          <w:rFonts w:ascii="Times New Roman;sans-serif" w:hAnsi="Times New Roman;sans-serif"/>
          <w:b w:val="false"/>
          <w:color w:val="000000"/>
          <w:sz w:val="22"/>
        </w:rPr>
        <w:t xml:space="preserve">. Any L/C Issuer may be replaced at any time by written agreement between the Company, the Administrative Agent, the replaced L/C Issuer and the successor L/C Issuer. The Administrative Agent shall notify the Lenders of any such replacement of an L/C Issuer. At the time any such replacement shall become effective, the Company shall pay all unpaid fees accrued for the account of the replaced L/C Issuer pursuant to </w:t>
      </w:r>
      <w:r>
        <w:rPr>
          <w:rFonts w:ascii="Times New Roman;sans-serif" w:hAnsi="Times New Roman;sans-serif"/>
          <w:b w:val="false"/>
          <w:color w:val="000000"/>
          <w:sz w:val="22"/>
          <w:u w:val="single"/>
        </w:rPr>
        <w:t>Section 2.03(j)</w:t>
      </w:r>
      <w:r>
        <w:rPr>
          <w:rFonts w:ascii="Times New Roman;sans-serif" w:hAnsi="Times New Roman;sans-serif"/>
          <w:b w:val="false"/>
          <w:color w:val="000000"/>
          <w:sz w:val="22"/>
        </w:rPr>
        <w:t>. From and after the effective date of any such replacement, (i) the successor L/C Issuer shall have all the rights and obligations of an L/C Issuer under this Agreement with respect to Letters of Credit to be issued by it thereafter and (ii) references herein to the term “L/C Issuer” shall be deemed to include such successor or any previous L/C Issuer, or such successor and all previous L/C Issuer, as the context shall require. After the replacement of an L/C Issuer hereunder, the replaced L/C Issuer shall remain a party hereto and shall continue to have all the rights and obligations of an L/C Issuer under this Agreement with respect to Letters of Credit issued by it prior to such replacement, but shall not be required to issue additional Letters of Credit.</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367665"/>
                <wp:effectExtent l="0" t="0" r="0" b="0"/>
                <wp:wrapNone/>
                <wp:docPr id="244" name="Frame23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71</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(p)</w:t>
      </w:r>
      <w:r>
        <w:rPr>
          <w:rFonts w:ascii="Times New Roman;sans-serif" w:hAnsi="Times New Roman;sans-serif"/>
          <w:b w:val="false"/>
          <w:color w:val="000000"/>
          <w:sz w:val="22"/>
          <w:u w:val="single"/>
        </w:rPr>
        <w:t>Cash Collateralization</w:t>
      </w:r>
      <w:r>
        <w:rPr>
          <w:rFonts w:ascii="Times New Roman;sans-serif" w:hAnsi="Times New Roman;sans-serif"/>
          <w:b w:val="false"/>
          <w:color w:val="000000"/>
          <w:sz w:val="22"/>
        </w:rPr>
        <w:t xml:space="preserve">. Without limitation of </w:t>
      </w:r>
      <w:r>
        <w:rPr>
          <w:rFonts w:ascii="Times New Roman;sans-serif" w:hAnsi="Times New Roman;sans-serif"/>
          <w:b w:val="false"/>
          <w:color w:val="000000"/>
          <w:sz w:val="22"/>
          <w:u w:val="single"/>
        </w:rPr>
        <w:t>Section 2.26</w:t>
      </w:r>
      <w:r>
        <w:rPr>
          <w:rFonts w:ascii="Times New Roman;sans-serif" w:hAnsi="Times New Roman;sans-serif"/>
          <w:b w:val="false"/>
          <w:color w:val="000000"/>
          <w:sz w:val="22"/>
        </w:rPr>
        <w:t xml:space="preserve">, if any Event of Default shall occur and be continuing, on the Business Day that the Company receives notice from the Administrative Agent or the Required Lenders (or, if the maturity of the Loans has been accelerated, Lenders with L/C Obligations representing at least 66-2/3% of the total L/C Obligations) demanding the deposit of Cash Collateral pursuant to this </w:t>
      </w:r>
      <w:r>
        <w:rPr>
          <w:rFonts w:ascii="Times New Roman;sans-serif" w:hAnsi="Times New Roman;sans-serif"/>
          <w:b w:val="false"/>
          <w:color w:val="000000"/>
          <w:sz w:val="22"/>
          <w:u w:val="single"/>
        </w:rPr>
        <w:t>clause (o)</w:t>
      </w:r>
      <w:r>
        <w:rPr>
          <w:rFonts w:ascii="Times New Roman;sans-serif" w:hAnsi="Times New Roman;sans-serif"/>
          <w:b w:val="false"/>
          <w:color w:val="000000"/>
          <w:sz w:val="22"/>
        </w:rPr>
        <w:t>, the Borrowers shall immediately deposit into an account established and maintained on the books and records of the Administrative Agent (the “</w:t>
      </w:r>
      <w:r>
        <w:rPr>
          <w:rFonts w:ascii="Times New Roman;sans-serif" w:hAnsi="Times New Roman;sans-serif"/>
          <w:b w:val="false"/>
          <w:color w:val="000000"/>
          <w:sz w:val="22"/>
          <w:u w:val="single"/>
        </w:rPr>
        <w:t>Collateral Account</w:t>
      </w:r>
      <w:r>
        <w:rPr>
          <w:color w:val="000000"/>
        </w:rPr>
        <w:t>”</w:t>
      </w:r>
      <w:r>
        <w:rPr>
          <w:rFonts w:ascii="Times New Roman;sans-serif" w:hAnsi="Times New Roman;sans-serif"/>
          <w:b w:val="false"/>
          <w:color w:val="000000"/>
          <w:sz w:val="22"/>
        </w:rPr>
        <w:t xml:space="preserve">) an amount in cash equal to the total L/C Obligations as of such date plus any accrued and unpaid interest thereon, provided that the obligation to deposit such Cash Collateral shall become effective immediately, and such deposit shall become immediately due and payable, without demand or other notice of any kind, upon the occurrence of any Event of Default with respect to any Loan Party described in </w:t>
      </w:r>
      <w:r>
        <w:rPr>
          <w:rFonts w:ascii="Times New Roman;sans-serif" w:hAnsi="Times New Roman;sans-serif"/>
          <w:b w:val="false"/>
          <w:color w:val="000000"/>
          <w:sz w:val="22"/>
          <w:u w:val="single"/>
        </w:rPr>
        <w:t>clause (f)</w:t>
      </w:r>
      <w:r>
        <w:rPr>
          <w:color w:val="000000"/>
        </w:rPr>
        <w:t xml:space="preserve"> </w:t>
      </w:r>
      <w:r>
        <w:rPr>
          <w:rFonts w:ascii="Times New Roman;sans-serif" w:hAnsi="Times New Roman;sans-serif"/>
          <w:b w:val="false"/>
          <w:color w:val="000000"/>
          <w:sz w:val="22"/>
        </w:rPr>
        <w:t xml:space="preserve">of </w:t>
      </w:r>
      <w:r>
        <w:rPr>
          <w:rFonts w:ascii="Times New Roman;sans-serif" w:hAnsi="Times New Roman;sans-serif"/>
          <w:b w:val="false"/>
          <w:color w:val="000000"/>
          <w:sz w:val="22"/>
          <w:u w:val="single"/>
        </w:rPr>
        <w:t>Section 8.01</w:t>
      </w:r>
      <w:r>
        <w:rPr>
          <w:rFonts w:ascii="Times New Roman;sans-serif" w:hAnsi="Times New Roman;sans-serif"/>
          <w:b w:val="false"/>
          <w:color w:val="000000"/>
          <w:sz w:val="22"/>
        </w:rPr>
        <w:t xml:space="preserve">. Such deposit shall be held by the Administrative Agent as collateral for the payment and performance of the obligations of the Borrowers under this Agreement.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Administrative Agent shall have exclusive dominion and control, including the exclusive right of withdrawal, over the Collateral Account. Other than any interest earned on the investment of such deposits, which investments shall be made at the option and sole discretion of the Administrative Agent and at the Company’s risk and expense, such deposits shall not bear interest. Interest or profits, if any, on such investments shall accumulate in the Collateral Account. Moneys in the Collateral Account shall be applied by the Administrative Agent to reimburse each L/C Issuer for L/C Disbursements for which it has not been reimbursed, together with related fees, costs, and customary processing charges, and, to the extent not so applied, shall be held for the satisfaction of the reimbursement obligations of the Company for the L/C Obligations at such time or, if the maturity of the Loans has been accelerated (but subject to the consent of Lenders with L/C Obligations representing 66-2/3% of the total L/C Obligations), be applied to satisfy other obligations of the Borrowers under this Agreement. If the Borrowers are required to provide an amount of Cash Collateral hereunder as a result of the occurrence of an Event of Default, such amount (to the extent not applied as aforesaid) shall be returned to the Borrowers within three Business Days after all Events of Default have been cured or waived.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(q)</w:t>
      </w:r>
      <w:r>
        <w:rPr>
          <w:rFonts w:ascii="Times New Roman;sans-serif" w:hAnsi="Times New Roman;sans-serif"/>
          <w:b w:val="false"/>
          <w:color w:val="000000"/>
          <w:sz w:val="22"/>
          <w:u w:val="single"/>
        </w:rPr>
        <w:t>Letters of Credit Issued for Subsidiaries</w:t>
      </w:r>
      <w:r>
        <w:rPr>
          <w:rFonts w:ascii="Times New Roman;sans-serif" w:hAnsi="Times New Roman;sans-serif"/>
          <w:b w:val="false"/>
          <w:color w:val="000000"/>
          <w:sz w:val="22"/>
        </w:rPr>
        <w:t>. Notwithstanding that a Letter of Credit issued or outstanding hereunder is in support of any obligations of, or is for the account of, a Subsidiary, the Company shall be obligated to reimburse, indemnify and compensate the applicable L/C Issuer hereunder for any and all drawings under such Letter of Credit as if such Letter of Credit had been issues solely for the account of the Company. The Company irrevocably waives any and all defenses that might otherwise be available to it as a guarantor or surety of any or all of the obligations of such Subsidiary in respect of such Letter of Credit. The Company hereby acknowledges that the issuance of Letters of Credit for the account of Subsidiaries inures to the benefit of the Company, and that the Company’s business derives substantial benefits from the businesses of such Subsidiaries.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(r)</w:t>
      </w:r>
      <w:r>
        <w:rPr>
          <w:rFonts w:ascii="Times New Roman;sans-serif" w:hAnsi="Times New Roman;sans-serif"/>
          <w:b w:val="false"/>
          <w:color w:val="000000"/>
          <w:sz w:val="22"/>
          <w:u w:val="single"/>
        </w:rPr>
        <w:t>Conflict with Issuer Documents</w:t>
      </w:r>
      <w:r>
        <w:rPr>
          <w:rFonts w:ascii="Times New Roman;sans-serif" w:hAnsi="Times New Roman;sans-serif"/>
          <w:b w:val="false"/>
          <w:color w:val="000000"/>
          <w:sz w:val="22"/>
        </w:rPr>
        <w:t>. In the event of any conflict between the terms hereof and the terms of any Issuer Document, the terms hereof shall control.</w:t>
      </w:r>
    </w:p>
    <w:p>
      <w:pPr>
        <w:pStyle w:val="TextBody"/>
        <w:bidi w:val="0"/>
        <w:spacing w:lineRule="auto" w:line="240" w:before="0" w:after="240"/>
        <w:ind w:left="0" w:right="0" w:hanging="720"/>
        <w:jc w:val="both"/>
        <w:rPr/>
      </w:pPr>
      <w:r>
        <w:rPr>
          <w:rFonts w:ascii="Times New Roman;sans-serif" w:hAnsi="Times New Roman;sans-serif"/>
          <w:b/>
          <w:color w:val="000000"/>
          <w:sz w:val="22"/>
        </w:rPr>
        <w:t>2.04Revolving Swing Line Loans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The Revolving Swing Line</w:t>
      </w:r>
      <w:r>
        <w:rPr>
          <w:rFonts w:ascii="Times New Roman;sans-serif" w:hAnsi="Times New Roman;sans-serif"/>
          <w:b w:val="false"/>
          <w:color w:val="000000"/>
          <w:sz w:val="22"/>
        </w:rPr>
        <w:t xml:space="preserve">. Subject to the terms and conditions set forth herein (and, if a Revolving Autoborrow Agreement is in effect, in such agreement), the Revolving Swing Line Lender, in reliance upon the agreements of the other Lenders set forth in this </w:t>
      </w:r>
      <w:r>
        <w:rPr>
          <w:rFonts w:ascii="Times New Roman;sans-serif" w:hAnsi="Times New Roman;sans-serif"/>
          <w:b w:val="false"/>
          <w:color w:val="000000"/>
          <w:sz w:val="22"/>
          <w:u w:val="single"/>
        </w:rPr>
        <w:t>Section 2.04</w:t>
      </w:r>
      <w:r>
        <w:rPr>
          <w:rFonts w:ascii="Times New Roman;sans-serif" w:hAnsi="Times New Roman;sans-serif"/>
          <w:b w:val="false"/>
          <w:color w:val="000000"/>
          <w:sz w:val="22"/>
        </w:rPr>
        <w:t>, shall make loans (each such loan, a “</w:t>
      </w:r>
      <w:r>
        <w:rPr>
          <w:rFonts w:ascii="Times New Roman;sans-serif" w:hAnsi="Times New Roman;sans-serif"/>
          <w:b w:val="false"/>
          <w:color w:val="000000"/>
          <w:sz w:val="22"/>
          <w:u w:val="single"/>
        </w:rPr>
        <w:t>Revolving Swing Line Loan</w:t>
      </w:r>
      <w:r>
        <w:rPr>
          <w:color w:val="000000"/>
        </w:rPr>
        <w:t>”</w:t>
      </w:r>
      <w:r>
        <w:rPr>
          <w:rFonts w:ascii="Times New Roman;sans-serif" w:hAnsi="Times New Roman;sans-serif"/>
          <w:b w:val="false"/>
          <w:color w:val="000000"/>
          <w:sz w:val="22"/>
        </w:rPr>
        <w:t xml:space="preserve">) to the Company from time to time on any Business Day during the Availability Period in an aggregate amount not to exceed at any time outstanding the amount of the Revolving Swing Line Sublimit, notwithstanding the fact that such Revolving Swing Line Loans, when aggregated with the Applicable Revolving Percentage of the Outstanding Amount of Revolving Committed Loans and L/C Obligations of the Revolving Lender acting as Revolving Swing Line Lender, may exceed the amount of such Revolving Lender’s Commitment;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(i) after giving effect to any Revolving Swing Line Loan, (x) the Total Outstandings shall not exceed the Aggregate Commitments, (y) the Total Revolving Outstandings shall not exceed the lesser of the Aggregate Revolving Commitments or the Revolving Borrowing Base and (z) the aggregate Outstanding Amount of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367665"/>
                <wp:effectExtent l="0" t="0" r="0" b="0"/>
                <wp:wrapNone/>
                <wp:docPr id="245" name="Frame24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72</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the Revolving Committed Loans of any Revolving Lender,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such Lender’s Applicable Revolving Percentage of the Outstanding Amount of all L/C Obligations,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such Lender’s Applicable Revolving Percentage of the Outstanding Amount of all Revolving Swing Line Loans shall not exceed such Lender’s Revolving Commitment, and (ii) the Revolving Swing Line Lender shall not be under any obligation to make any such Revolving Swing Line Loan if any Lender is at such time a Defaulting Lender, unless the Revolving Swing Line Lender has entered into arrangements, including the delivery of Cash Collateral, satisfactory to the Revolving Swing Line Lender (in its sole discretion) with the Company or such Defaulting Lender to eliminate such Revolving Swing Line Lender’s actual or potential Fronting Exposure (after giving effect to </w:t>
      </w:r>
      <w:r>
        <w:rPr>
          <w:rFonts w:ascii="Times New Roman;sans-serif" w:hAnsi="Times New Roman;sans-serif"/>
          <w:b w:val="false"/>
          <w:color w:val="000000"/>
          <w:sz w:val="22"/>
          <w:u w:val="single"/>
        </w:rPr>
        <w:t>Section 2.27(a)(iv)</w:t>
      </w:r>
      <w:r>
        <w:rPr>
          <w:rFonts w:ascii="Times New Roman;sans-serif" w:hAnsi="Times New Roman;sans-serif"/>
          <w:b w:val="false"/>
          <w:color w:val="000000"/>
          <w:sz w:val="22"/>
        </w:rPr>
        <w:t xml:space="preserve">) with respect to the Defaulting Lender arising from either the Revolving Swing Line Loan then proposed to be made or that Revolving Swing Line Loan and all other Revolving Swing Line Loans then outstanding as to which the Revolving Swing Line Lender has actual or potential Fronting Exposure, as it may elect in its sole discretion; and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(subject to the terms of any Revolving Autoborrow Agreement that may be in effect) the Company shall not use the proceeds of any Revolving Swing Line Loan to refinance any outstanding Revolving Swing Line Loan. Within the foregoing limits, and subject to the other terms and conditions hereof, the Company may borrow under this </w:t>
      </w:r>
      <w:r>
        <w:rPr>
          <w:rFonts w:ascii="Times New Roman;sans-serif" w:hAnsi="Times New Roman;sans-serif"/>
          <w:b w:val="false"/>
          <w:color w:val="000000"/>
          <w:sz w:val="22"/>
          <w:u w:val="single"/>
        </w:rPr>
        <w:t>Section 2.04</w:t>
      </w:r>
      <w:r>
        <w:rPr>
          <w:rFonts w:ascii="Times New Roman;sans-serif" w:hAnsi="Times New Roman;sans-serif"/>
          <w:b w:val="false"/>
          <w:color w:val="000000"/>
          <w:sz w:val="22"/>
        </w:rPr>
        <w:t xml:space="preserve">, prepay under </w:t>
      </w:r>
      <w:r>
        <w:rPr>
          <w:rFonts w:ascii="Times New Roman;sans-serif" w:hAnsi="Times New Roman;sans-serif"/>
          <w:b w:val="false"/>
          <w:color w:val="000000"/>
          <w:sz w:val="22"/>
          <w:u w:val="single"/>
        </w:rPr>
        <w:t>Section 2.13</w:t>
      </w:r>
      <w:r>
        <w:rPr>
          <w:rFonts w:ascii="Times New Roman;sans-serif" w:hAnsi="Times New Roman;sans-serif"/>
          <w:b w:val="false"/>
          <w:color w:val="000000"/>
          <w:sz w:val="22"/>
        </w:rPr>
        <w:t xml:space="preserve">, and reborrow under this </w:t>
      </w:r>
      <w:r>
        <w:rPr>
          <w:rFonts w:ascii="Times New Roman;sans-serif" w:hAnsi="Times New Roman;sans-serif"/>
          <w:b w:val="false"/>
          <w:color w:val="000000"/>
          <w:sz w:val="22"/>
          <w:u w:val="single"/>
        </w:rPr>
        <w:t>Section 2.04</w:t>
      </w:r>
      <w:r>
        <w:rPr>
          <w:rFonts w:ascii="Times New Roman;sans-serif" w:hAnsi="Times New Roman;sans-serif"/>
          <w:b w:val="false"/>
          <w:color w:val="000000"/>
          <w:sz w:val="22"/>
        </w:rPr>
        <w:t>. Each Revolving Swing Line Loan may be a Base Rate Loan or a Daily Simple SOFR Loan. Immediately upon the making of a Revolving Swing Line Loan, each Revolving Lender shall be deemed to, and hereby irrevocably and unconditionally agrees to, purchase from the Revolving Swing Line Lender a risk participation in such Revolving Swing Line Loan in an amount equal to the product of such Lender’s Applicable Revolving Percentage times the amount of such Revolving Swing Line Loan.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At any time a Revolving Autoborrow Agreement is not in effect, each Revolving Swing Line Borrowing and each conversion of Revolving Swing Line Loans from one type to the other shall be made upon the Company’s irrevocable notice to the Revolving Swing Line Lender and the Administrative Agent, which may be given by (A) telephone or (B) by a Revolving Swing Line Loan Notice. Each such Revolving Swing Line Loan Notice must be received by the Revolving Swing Line Lender and the Administrative Agent not later than 1:00 p.m. on the requested borrowing date or date of any conversion of Daily Simple SOFR Loans to Base Rate Loans or of any conversion of Base Rate Loans to Daily Simple SOFR Loans, and in each case shall specify (i) the amount to be borrowed, which shall be a minimum of $100,000, (ii) the requested borrowing date, which shall be a Business Day and (iii) the Type of Revolving Swing Line Loan to be borrowed or to which existing Revolving Swing Line Loans are to be converted. Promptly after receipt by the Revolving Swing Line Lender of any Revolving Swing Line Loan Notice, the Revolving Swing Line Lender will confirm with the Administrative Agent (by telephone or in writing) that the Administrative Agent has also received such Revolving Swing Line Loan Notice and, if not, the Revolving Swing Line Lender will notify the Administrative Agent (by telephone or in writing) of the contents thereof. Unless the Revolving Swing Line Lender has received notice (by telephone or in writing) from the Administrative Agent (including at the request of any Revolving Lender) prior to 2:00 p.m. on the date of the proposed Revolving Swing Line Borrowing (A) directing the Revolving Swing Line Lender not to make such Revolving Swing Line Loan as a result of the limitations set forth in the proviso to the first sentence of </w:t>
      </w:r>
      <w:r>
        <w:rPr>
          <w:rFonts w:ascii="Times New Roman;sans-serif" w:hAnsi="Times New Roman;sans-serif"/>
          <w:b w:val="false"/>
          <w:color w:val="000000"/>
          <w:sz w:val="22"/>
          <w:u w:val="single"/>
        </w:rPr>
        <w:t>Section 2.04(a)</w:t>
      </w:r>
      <w:r>
        <w:rPr>
          <w:rFonts w:ascii="Times New Roman;sans-serif" w:hAnsi="Times New Roman;sans-serif"/>
          <w:b w:val="false"/>
          <w:color w:val="000000"/>
          <w:sz w:val="22"/>
        </w:rPr>
        <w:t xml:space="preserve">, or (B) that one or more of the applicable conditions specified in </w:t>
      </w:r>
      <w:r>
        <w:rPr>
          <w:rFonts w:ascii="Times New Roman;sans-serif" w:hAnsi="Times New Roman;sans-serif"/>
          <w:b w:val="false"/>
          <w:color w:val="000000"/>
          <w:sz w:val="22"/>
          <w:u w:val="single"/>
        </w:rPr>
        <w:t>Article IV</w:t>
      </w:r>
      <w:r>
        <w:rPr>
          <w:color w:val="000000"/>
        </w:rPr>
        <w:t xml:space="preserve"> </w:t>
      </w:r>
      <w:r>
        <w:rPr>
          <w:rFonts w:ascii="Times New Roman;sans-serif" w:hAnsi="Times New Roman;sans-serif"/>
          <w:b w:val="false"/>
          <w:color w:val="000000"/>
          <w:sz w:val="22"/>
        </w:rPr>
        <w:t xml:space="preserve">is not then satisfied, then, subject to the terms and conditions hereof, the Revolving Swing Line Lender will, not later than 3:00 p.m. on the borrowing date specified in such Revolving Swing Line Loan Notice, make the amount of its Revolving Swing Line Loan available to the Company at its office by crediting the account of the Company on the books of the Revolving Swing Line Lender in immediately available funds. If the Company fails to provide a timely Revolving Swing Line Loan Notice requesting a conversion of Daily Simple SOFR Loans to Base Rate Loans, such Loans shall, subject to </w:t>
      </w:r>
      <w:r>
        <w:rPr>
          <w:rFonts w:ascii="Times New Roman;sans-serif" w:hAnsi="Times New Roman;sans-serif"/>
          <w:b w:val="false"/>
          <w:color w:val="000000"/>
          <w:sz w:val="22"/>
          <w:u w:val="single"/>
        </w:rPr>
        <w:t>Article III</w:t>
      </w:r>
      <w:r>
        <w:rPr>
          <w:rFonts w:ascii="Times New Roman;sans-serif" w:hAnsi="Times New Roman;sans-serif"/>
          <w:b w:val="false"/>
          <w:color w:val="000000"/>
          <w:sz w:val="22"/>
        </w:rPr>
        <w:t xml:space="preserve">, continue as Daily Simple SOFR Loans. If the Company fails to specify a Type of Revolving Swing Line Loan in a Revolving Swing Line Loan Notice, then the applicable Revolving Swing Line Loan shall, subject to </w:t>
      </w:r>
      <w:r>
        <w:rPr>
          <w:rFonts w:ascii="Times New Roman;sans-serif" w:hAnsi="Times New Roman;sans-serif"/>
          <w:b w:val="false"/>
          <w:color w:val="000000"/>
          <w:sz w:val="22"/>
          <w:u w:val="single"/>
        </w:rPr>
        <w:t>Article III</w:t>
      </w:r>
      <w:r>
        <w:rPr>
          <w:rFonts w:ascii="Times New Roman;sans-serif" w:hAnsi="Times New Roman;sans-serif"/>
          <w:b w:val="false"/>
          <w:color w:val="000000"/>
          <w:sz w:val="22"/>
        </w:rPr>
        <w:t>, be made as a Daily Simple SOFR Loan.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In order to facilitate the borrowing of Revolving Swing Line Loans, the Company and the Revolving Swing Line Lender may mutually agree to, and are hereby authorized to, enter into an agreement in form and substance reasonably satisfactory to the Administrative Agent and the Revolving Swing Line Lender (the “</w:t>
      </w:r>
      <w:r>
        <w:rPr>
          <w:rFonts w:ascii="Times New Roman;sans-serif" w:hAnsi="Times New Roman;sans-serif"/>
          <w:b w:val="false"/>
          <w:color w:val="000000"/>
          <w:sz w:val="22"/>
          <w:u w:val="single"/>
        </w:rPr>
        <w:t>Revolving Autoborrow Agreement</w:t>
      </w:r>
      <w:r>
        <w:rPr>
          <w:color w:val="000000"/>
        </w:rPr>
        <w:t>”</w:t>
      </w:r>
      <w:r>
        <w:rPr>
          <w:rFonts w:ascii="Times New Roman;sans-serif" w:hAnsi="Times New Roman;sans-serif"/>
          <w:b w:val="false"/>
          <w:color w:val="000000"/>
          <w:sz w:val="22"/>
        </w:rPr>
        <w:t>) providing for the automatic advance by the Revolving Swing Line Lender of Revolving Swing Line Loans under the conditions set forth in such agreement, which shall be in addition to the conditions set forth herein (each such advance, a “</w:t>
      </w:r>
      <w:r>
        <w:rPr>
          <w:rFonts w:ascii="Times New Roman;sans-serif" w:hAnsi="Times New Roman;sans-serif"/>
          <w:b w:val="false"/>
          <w:color w:val="000000"/>
          <w:sz w:val="22"/>
          <w:u w:val="single"/>
        </w:rPr>
        <w:t xml:space="preserve">Revolving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367665"/>
                <wp:effectExtent l="0" t="0" r="0" b="0"/>
                <wp:wrapNone/>
                <wp:docPr id="246" name="Frame24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u w:val="single"/>
        </w:rPr>
        <w:t>Autoborrow Advance</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in no event shall the Company be entitled to Revolving Autoborrow Advances pursuant to a Revolving Autoborrow Agreement at any time a New Vehicle Autoborrow Agreement or a Used Vehicle Autoborrow Agreement is in place and (ii) the Company may, once per calendar year and upon 30 days advance notice to the Administrative Agent, the Revolving Swing Line Lender, the Used Vehicle Floorplan Swing Line Lender and the New Vehicle Floorplan Swing Line Lender and upon the payment to the Administrative Agent of a $10,000 fee (which fee may be waived in the sole discretion of the Administrative Agent), alternate between having a Revolving Autoborrow Agreement, a New Vehicle Autoborrow Agreement or a Used Vehicle Autoborrow Agreement in place. At any time a Revolving Autoborrow Agreement is in effect, the requirements for Revolving Swing Line Borrowings set forth in the immediately preceding paragraph shall not apply, and all Revolving Swing Line Borrowings shall be made in accordance with the Revolving Autoborrow Agreement, until the right to such Revolving Swing Line Borrowings is suspended or terminated hereunder or in accordance with the terms of the Revolving Autoborrow Agreement. Solely for purposes of determining the availability of Revolving Committed Loans (other than Revolving Committed Loans used to refinance Revolving Swing Line Loans) and for determining the Total Revolving Outstandings in connection with </w:t>
      </w:r>
      <w:r>
        <w:rPr>
          <w:rFonts w:ascii="Times New Roman;sans-serif" w:hAnsi="Times New Roman;sans-serif"/>
          <w:b w:val="false"/>
          <w:color w:val="000000"/>
          <w:sz w:val="22"/>
          <w:u w:val="single"/>
        </w:rPr>
        <w:t>Section 2.14</w:t>
      </w:r>
      <w:r>
        <w:rPr>
          <w:rFonts w:ascii="Times New Roman;sans-serif" w:hAnsi="Times New Roman;sans-serif"/>
          <w:b w:val="false"/>
          <w:color w:val="000000"/>
          <w:sz w:val="22"/>
        </w:rPr>
        <w:t>, at any time during which a Revolving Autoborrow Agreement is in effect, the Outstanding Amount of all Revolving Swing Line Loans shall be deemed to be the amount of the Revolving Swing Line Sublimit. For purposes of any Revolving Swing Line Borrowing pursuant to the Revolving Autoborrow Agreement, all references to Bank of America shall be deemed to be a reference to Bank of America, in its capacity as Revolving Swing Line Lender hereunder.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Refinancing of Revolving Swing Line Loans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(i)The Revolving Swing Line Lender at any time in its sole and absolute discretion may request, on behalf of the Company (which hereby irrevocably authorizes the Revolving Swing Line Lender to so request on its behalf), that each Revolving Lender make a Daily Simple SOFR Committed Loan in an amount equal to such Revolving Lender’s Applicable Revolving Percentage of the amount of Revolving Swing Line Loans then outstanding;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(unless a Revolving Autoborrow Agreement is then in effect) the Revolving Swing Line Lender intends to request each Revolving Lender to make such Daily Simple SOFR Committed Loans no less frequently than once in any given calendar month. Such request shall be made in writing (which written request shall be deemed to be a Revolving Committed Loan Notice for purposes hereof) and in accordance with the requirements of </w:t>
      </w:r>
      <w:r>
        <w:rPr>
          <w:rFonts w:ascii="Times New Roman;sans-serif" w:hAnsi="Times New Roman;sans-serif"/>
          <w:b w:val="false"/>
          <w:color w:val="000000"/>
          <w:sz w:val="22"/>
          <w:u w:val="single"/>
        </w:rPr>
        <w:t>Section 2.02</w:t>
      </w:r>
      <w:r>
        <w:rPr>
          <w:rFonts w:ascii="Times New Roman;sans-serif" w:hAnsi="Times New Roman;sans-serif"/>
          <w:b w:val="false"/>
          <w:color w:val="000000"/>
          <w:sz w:val="22"/>
        </w:rPr>
        <w:t xml:space="preserve">, without regard to the minimum and multiples specified therein for the principal amount of Daily Simple SOFR Loans, but subject to the unutilized portion of the Aggregate Revolving Commitments and the conditions set forth in </w:t>
      </w:r>
      <w:r>
        <w:rPr>
          <w:rFonts w:ascii="Times New Roman;sans-serif" w:hAnsi="Times New Roman;sans-serif"/>
          <w:b w:val="false"/>
          <w:color w:val="000000"/>
          <w:sz w:val="22"/>
          <w:u w:val="single"/>
        </w:rPr>
        <w:t>Section 4.02</w:t>
      </w:r>
      <w:r>
        <w:rPr>
          <w:rFonts w:ascii="Times New Roman;sans-serif" w:hAnsi="Times New Roman;sans-serif"/>
          <w:b w:val="false"/>
          <w:color w:val="000000"/>
          <w:sz w:val="22"/>
        </w:rPr>
        <w:t xml:space="preserve">. Each Revolving Lender shall make an amount equal to its Applicable Revolving Percentage of the amount specified in such Revolving Committed Loan Notice available to the Administrative Agent in immediately available funds (and the Administrative Agent may apply Cash Collateral available with respect to the applicable Revolving Swing Line Loan) for the account of the Revolving Swing Line Lender at the Administrative Agent’s Office not later than 1:00 p.m. on the day specified in such Revolving Committed Loan Notice (or, if later, one Business Day after the Revolving Swing Lender delivers such notice), whereupon, subject to </w:t>
      </w:r>
      <w:r>
        <w:rPr>
          <w:rFonts w:ascii="Times New Roman;sans-serif" w:hAnsi="Times New Roman;sans-serif"/>
          <w:b w:val="false"/>
          <w:color w:val="000000"/>
          <w:sz w:val="22"/>
          <w:u w:val="single"/>
        </w:rPr>
        <w:t>Section 2.04(c)(ii)</w:t>
      </w:r>
      <w:r>
        <w:rPr>
          <w:rFonts w:ascii="Times New Roman;sans-serif" w:hAnsi="Times New Roman;sans-serif"/>
          <w:b w:val="false"/>
          <w:color w:val="000000"/>
          <w:sz w:val="22"/>
        </w:rPr>
        <w:t>, each Revolving Lender that so makes funds available shall be deemed to have made a Daily Simple SOFR Committed Loan to the Company in such amount. The Administrative Agent shall remit the funds so received to the Revolving Swing Line Lender.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(ii)If for any reason any Revolving Swing Line Loan cannot be refinanced by such a Revolving Committed Borrowing in accordance with </w:t>
      </w:r>
      <w:r>
        <w:rPr>
          <w:rFonts w:ascii="Times New Roman;sans-serif" w:hAnsi="Times New Roman;sans-serif"/>
          <w:b w:val="false"/>
          <w:color w:val="000000"/>
          <w:sz w:val="22"/>
          <w:u w:val="single"/>
        </w:rPr>
        <w:t>Section 2.04(c)(i)</w:t>
      </w:r>
      <w:r>
        <w:rPr>
          <w:rFonts w:ascii="Times New Roman;sans-serif" w:hAnsi="Times New Roman;sans-serif"/>
          <w:b w:val="false"/>
          <w:color w:val="000000"/>
          <w:sz w:val="22"/>
        </w:rPr>
        <w:t xml:space="preserve">, the request for Daily Simple SOFR Revolving Committed Loans submitted by the Revolving Swing Line Lender as set forth herein shall be deemed to be a request by the Revolving Swing Line Lender that each of the Revolving Lenders fund its risk participation in the relevant Revolving Swing Line Loan and each Lender’s payment to the Administrative Agent for the account of the Revolving Swing Line Lender pursuant to </w:t>
      </w:r>
      <w:r>
        <w:rPr>
          <w:rFonts w:ascii="Times New Roman;sans-serif" w:hAnsi="Times New Roman;sans-serif"/>
          <w:b w:val="false"/>
          <w:color w:val="000000"/>
          <w:sz w:val="22"/>
          <w:u w:val="single"/>
        </w:rPr>
        <w:t>Section 2.04(c)(i)</w:t>
      </w:r>
      <w:r>
        <w:rPr>
          <w:color w:val="000000"/>
        </w:rPr>
        <w:t xml:space="preserve"> </w:t>
      </w:r>
      <w:r>
        <w:rPr>
          <w:rFonts w:ascii="Times New Roman;sans-serif" w:hAnsi="Times New Roman;sans-serif"/>
          <w:b w:val="false"/>
          <w:color w:val="000000"/>
          <w:sz w:val="22"/>
        </w:rPr>
        <w:t>shall be deemed payment in respect of such participation.</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367665"/>
                <wp:effectExtent l="0" t="0" r="0" b="0"/>
                <wp:wrapNone/>
                <wp:docPr id="247" name="Frame24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74</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(iii)If any Revolving Lender fails to make available to the Administrative Agent for the account of the Revolving Swing Line Lender any amount required to be paid by such Revolving Lender pursuant to the foregoing provisions of this </w:t>
      </w:r>
      <w:r>
        <w:rPr>
          <w:rFonts w:ascii="Times New Roman;sans-serif" w:hAnsi="Times New Roman;sans-serif"/>
          <w:b w:val="false"/>
          <w:color w:val="000000"/>
          <w:sz w:val="22"/>
          <w:u w:val="single"/>
        </w:rPr>
        <w:t>Section 2.04(c)</w:t>
      </w:r>
      <w:r>
        <w:rPr>
          <w:color w:val="000000"/>
        </w:rPr>
        <w:t xml:space="preserve"> </w:t>
      </w:r>
      <w:r>
        <w:rPr>
          <w:rFonts w:ascii="Times New Roman;sans-serif" w:hAnsi="Times New Roman;sans-serif"/>
          <w:b w:val="false"/>
          <w:color w:val="000000"/>
          <w:sz w:val="22"/>
        </w:rPr>
        <w:t xml:space="preserve">by the time specified in </w:t>
      </w:r>
      <w:r>
        <w:rPr>
          <w:rFonts w:ascii="Times New Roman;sans-serif" w:hAnsi="Times New Roman;sans-serif"/>
          <w:b w:val="false"/>
          <w:color w:val="000000"/>
          <w:sz w:val="22"/>
          <w:u w:val="single"/>
        </w:rPr>
        <w:t>Section 2.04(c)(i)</w:t>
      </w:r>
      <w:r>
        <w:rPr>
          <w:rFonts w:ascii="Times New Roman;sans-serif" w:hAnsi="Times New Roman;sans-serif"/>
          <w:b w:val="false"/>
          <w:color w:val="000000"/>
          <w:sz w:val="22"/>
        </w:rPr>
        <w:t xml:space="preserve">, the Revolving Swing Line Lender shall be entitled to recover from such Revolving Lender (acting through the Administrative Agent), on demand, such amount with interest thereon for the period from the date such payment is required to the date on which such payment is immediately available to the Revolving Swing Line Lender at a rate per annum equal to the greater of the Federal Funds Rate and a rate determined by the Revolving Swing Line Lender in accordance with banking industry rules on interbank compensation,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any administrative, processing or similar fees customarily charged by the Revolving Swing Line Lender in connection with the foregoing. If such Revolving Lender pays such amount (with interest and fees as aforesaid), the amount so paid shall constitute such Revolving Lender’s Revolving Committed Loan included in the relevant Revolving Committed Borrowing or funded participation in the relevant Revolving Swing Line Loan, as the case may be. A certificate of the Revolving Swing Line Lender submitted to any Revolving Lender (through the Administrative Agent) with respect to any amounts owing under this clause (iii) shall be conclusive absent manifest error.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(iv)Each Revolving Lender’s obligation to make Revolving Committed Loans or to purchase and fund risk participations in Revolving Swing Line Loans pursuant to this </w:t>
      </w:r>
      <w:r>
        <w:rPr>
          <w:rFonts w:ascii="Times New Roman;sans-serif" w:hAnsi="Times New Roman;sans-serif"/>
          <w:b w:val="false"/>
          <w:color w:val="000000"/>
          <w:sz w:val="22"/>
          <w:u w:val="single"/>
        </w:rPr>
        <w:t>Section 2.04(c)</w:t>
      </w:r>
      <w:r>
        <w:rPr>
          <w:color w:val="000000"/>
        </w:rPr>
        <w:t xml:space="preserve"> </w:t>
      </w:r>
      <w:r>
        <w:rPr>
          <w:rFonts w:ascii="Times New Roman;sans-serif" w:hAnsi="Times New Roman;sans-serif"/>
          <w:b w:val="false"/>
          <w:color w:val="000000"/>
          <w:sz w:val="22"/>
        </w:rPr>
        <w:t xml:space="preserve">shall be absolute and unconditional and shall not be affected by any circumstance, including (A) any setoff, counterclaim, recoupment, defense or other right which such Revolving Lender may have against the Revolving Swing Line Lender, the Company or any other Person for any reason whatsoever, (B) the occurrence or continuance of a Default, or (C) any other occurrence, event or condition, whether or not similar to any of the foregoing;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each Revolving Lender’s obligation to make Revolving Committed Loans pursuant to this </w:t>
      </w:r>
      <w:r>
        <w:rPr>
          <w:rFonts w:ascii="Times New Roman;sans-serif" w:hAnsi="Times New Roman;sans-serif"/>
          <w:b w:val="false"/>
          <w:color w:val="000000"/>
          <w:sz w:val="22"/>
          <w:u w:val="single"/>
        </w:rPr>
        <w:t>Section 2.04(c)</w:t>
      </w:r>
      <w:r>
        <w:rPr>
          <w:color w:val="000000"/>
        </w:rPr>
        <w:t xml:space="preserve"> </w:t>
      </w:r>
      <w:r>
        <w:rPr>
          <w:rFonts w:ascii="Times New Roman;sans-serif" w:hAnsi="Times New Roman;sans-serif"/>
          <w:b w:val="false"/>
          <w:color w:val="000000"/>
          <w:sz w:val="22"/>
        </w:rPr>
        <w:t xml:space="preserve">is subject to the conditions set forth in </w:t>
      </w:r>
      <w:r>
        <w:rPr>
          <w:rFonts w:ascii="Times New Roman;sans-serif" w:hAnsi="Times New Roman;sans-serif"/>
          <w:b w:val="false"/>
          <w:color w:val="000000"/>
          <w:sz w:val="22"/>
          <w:u w:val="single"/>
        </w:rPr>
        <w:t>Section 4.02</w:t>
      </w:r>
      <w:r>
        <w:rPr>
          <w:rFonts w:ascii="Times New Roman;sans-serif" w:hAnsi="Times New Roman;sans-serif"/>
          <w:b w:val="false"/>
          <w:color w:val="000000"/>
          <w:sz w:val="22"/>
        </w:rPr>
        <w:t>. No such funding of risk participations shall relieve or otherwise impair the obligation of the Company to repay Revolving Swing Line Loans, together with interest as provided herein.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Repayment of Participations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(i)At any time after any Revolving Lender has purchased and funded a risk participation in a Revolving Swing Line Loan, if the Revolving Swing Line Lender receives any payment on account of such Revolving Swing Line Loan, the Revolving Swing Line Lender will distribute to such Revolving Lender its Applicable Revolving Percentage of such payment (appropriately adjusted, in the case of interest payments, to reflect the period of time during which such Revolving Lender’s risk participation was funded) in the same funds as those received by the Revolving Swing Line Lender.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(ii)If any payment received by the Revolving Swing Line Lender in respect of principal or interest on any Revolving Swing Line Loan is required to be returned by the Revolving Swing Line Lender under any of the circumstances described in </w:t>
      </w:r>
      <w:r>
        <w:rPr>
          <w:rFonts w:ascii="Times New Roman;sans-serif" w:hAnsi="Times New Roman;sans-serif"/>
          <w:b w:val="false"/>
          <w:color w:val="000000"/>
          <w:sz w:val="22"/>
          <w:u w:val="single"/>
        </w:rPr>
        <w:t>Section 10.05</w:t>
      </w:r>
      <w:r>
        <w:rPr>
          <w:color w:val="000000"/>
        </w:rPr>
        <w:t xml:space="preserve"> </w:t>
      </w:r>
      <w:r>
        <w:rPr>
          <w:rFonts w:ascii="Times New Roman;sans-serif" w:hAnsi="Times New Roman;sans-serif"/>
          <w:b w:val="false"/>
          <w:color w:val="000000"/>
          <w:sz w:val="22"/>
        </w:rPr>
        <w:t xml:space="preserve">(including pursuant to any settlement entered into by the Revolving Swing Line Lender in its discretion), each Revolving Lender shall pay to the Revolving Swing Line Lender its Applicable Revolving Percentage thereof on demand of the Administrative Agent,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interest thereon from the date of such demand to the date such amount is returned, at a rate per annum equal to the Federal Funds Rate. The Administrative Agent will make such demand upon the request of the Revolving Swing Line Lender. The obligations of the Revolving Lenders under this clause shall survive the payment in full of the Obligations and the termination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Interest for Account of Revolving Swing Line Lender</w:t>
      </w:r>
      <w:r>
        <w:rPr>
          <w:rFonts w:ascii="Times New Roman;sans-serif" w:hAnsi="Times New Roman;sans-serif"/>
          <w:b w:val="false"/>
          <w:color w:val="000000"/>
          <w:sz w:val="22"/>
        </w:rPr>
        <w:t xml:space="preserve">. The Revolving Swing Line Lender shall be responsible for invoicing the Company for interest on the Revolving Swing Line Loans. Until each Revolving Lender funds its Daily Simple SOFR Committed Loan or risk participation pursuant to this </w:t>
      </w:r>
      <w:r>
        <w:rPr>
          <w:rFonts w:ascii="Times New Roman;sans-serif" w:hAnsi="Times New Roman;sans-serif"/>
          <w:b w:val="false"/>
          <w:color w:val="000000"/>
          <w:sz w:val="22"/>
          <w:u w:val="single"/>
        </w:rPr>
        <w:t>Section 2.04</w:t>
      </w:r>
      <w:r>
        <w:rPr>
          <w:color w:val="000000"/>
        </w:rPr>
        <w:t xml:space="preserve"> </w:t>
      </w:r>
      <w:r>
        <w:rPr>
          <w:rFonts w:ascii="Times New Roman;sans-serif" w:hAnsi="Times New Roman;sans-serif"/>
          <w:b w:val="false"/>
          <w:color w:val="000000"/>
          <w:sz w:val="22"/>
        </w:rPr>
        <w:t>to refinance such Revolving Lender’s Applicable Revolving Percentage of any Revolving Swing Line Loan, interest in respect of such Applicable Revolving Percentage shall be solely for the account of the Revolving Swing Line Lender.</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367665"/>
                <wp:effectExtent l="0" t="0" r="0" b="0"/>
                <wp:wrapNone/>
                <wp:docPr id="248" name="Frame24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75</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Payments Directly to Revolving Swing Line Lender</w:t>
      </w:r>
      <w:r>
        <w:rPr>
          <w:rFonts w:ascii="Times New Roman;sans-serif" w:hAnsi="Times New Roman;sans-serif"/>
          <w:b w:val="false"/>
          <w:color w:val="000000"/>
          <w:sz w:val="22"/>
        </w:rPr>
        <w:t>. The Company shall make all payments of principal and interest in respect of the Revolving Swing Line Loans directly to the Revolving Swing Line Lender.</w:t>
      </w:r>
    </w:p>
    <w:p>
      <w:pPr>
        <w:pStyle w:val="TextBody"/>
        <w:bidi w:val="0"/>
        <w:spacing w:lineRule="auto" w:line="240" w:before="0" w:after="240"/>
        <w:ind w:left="0" w:right="0" w:firstLine="720"/>
        <w:jc w:val="both"/>
        <w:rPr/>
      </w:pPr>
      <w:r>
        <w:rPr>
          <w:rFonts w:ascii="Times New Roman;sans-serif" w:hAnsi="Times New Roman;sans-serif"/>
          <w:b/>
          <w:color w:val="000000"/>
          <w:sz w:val="22"/>
        </w:rPr>
        <w:t>2.05</w:t>
      </w:r>
      <w:r>
        <w:rPr>
          <w:rFonts w:ascii="Times New Roman;sans-serif" w:hAnsi="Times New Roman;sans-serif"/>
          <w:b/>
          <w:color w:val="000000"/>
          <w:sz w:val="22"/>
        </w:rPr>
        <w:t>New Vehicle Floorplan Committed Loans</w:t>
      </w:r>
      <w:r>
        <w:rPr>
          <w:rFonts w:ascii="Times New Roman;sans-serif" w:hAnsi="Times New Roman;sans-serif"/>
          <w:b w:val="false"/>
          <w:color w:val="000000"/>
          <w:sz w:val="22"/>
        </w:rPr>
        <w:t>. Subject to the terms and conditions set forth herein, each New Vehicle Floorplan Lender severally agrees to make loans (each such loan, a “</w:t>
      </w:r>
      <w:r>
        <w:rPr>
          <w:rFonts w:ascii="Times New Roman;sans-serif" w:hAnsi="Times New Roman;sans-serif"/>
          <w:b w:val="false"/>
          <w:color w:val="000000"/>
          <w:sz w:val="22"/>
          <w:u w:val="single"/>
        </w:rPr>
        <w:t>New Vehicle Floorplan Committed Loan</w:t>
      </w:r>
      <w:r>
        <w:rPr>
          <w:color w:val="000000"/>
        </w:rPr>
        <w:t>”</w:t>
      </w:r>
      <w:r>
        <w:rPr>
          <w:rFonts w:ascii="Times New Roman;sans-serif" w:hAnsi="Times New Roman;sans-serif"/>
          <w:b w:val="false"/>
          <w:color w:val="000000"/>
          <w:sz w:val="22"/>
        </w:rPr>
        <w:t xml:space="preserve">) to the New Vehicle Borrowers from time to time, on any Business Day during the Availability Period, in an aggregate amount outstanding not to exceed at any time the amount of such Lender’s New Vehicle Floorplan Commitment;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after giving effect to any New Vehicle Floorplan Committed Borrowing, (i) the Total Outstandings shall not exceed the Aggregate Commitments, (ii) the Total New Vehicle Floorplan Outstandings shall not exceed the Aggregate New Vehicle Floorplan Commitments, (iii) the aggregate Outstanding Amount of the New Vehicle Floorplan Committed Loans of any New Vehicle Floorplan Lender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such Lender’s Applicable New Vehicle Floorplan Percentage of the Outstanding Amount of all New Vehicle Floorplan Swing Line Loans shall not exceed such Lender’s New Vehicle Floorplan Commitment, (iv) such Loan, together with the aggregate Outstanding Amount of all other New Vehicle Floorplan Loans made on or prior to such date shall not exceed any applicable Within Line Limitation unless otherwise consented to by the Administrative Agent in its sole discretion, and (v) on a per New Vehicle basis, such Loan shall not exceed 100% of the original invoice price (including freight charges) of each New Vehicle financed,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the proceeds of New Vehicle Floorplan Committed Loans shall only be used by a New Vehicle Borrower to pay the purchase price of New Vehicles owned by such New Vehicle Borrower, including dealer trade, Demonstrators, Rental Vehicles and Fleet Vehicles (including the refinancing of New Vehicle Floorplan Swing Line Loans or other new vehicle floorplan loans that had financed (or refinanced) such New Vehicle Borrower’s purchase of such New Vehicles), including refinancings from New Vehicle Floorplan Offset Account Advances. Within the limits of each New Vehicle Floorplan Lender’s New Vehicle Floorplan Commitment, and subject to the other terms and conditions hereof, the New Vehicle Borrowers may borrow under this </w:t>
      </w:r>
      <w:r>
        <w:rPr>
          <w:rFonts w:ascii="Times New Roman;sans-serif" w:hAnsi="Times New Roman;sans-serif"/>
          <w:b w:val="false"/>
          <w:color w:val="000000"/>
          <w:sz w:val="22"/>
          <w:u w:val="single"/>
        </w:rPr>
        <w:t>Section 2.05</w:t>
      </w:r>
      <w:r>
        <w:rPr>
          <w:rFonts w:ascii="Times New Roman;sans-serif" w:hAnsi="Times New Roman;sans-serif"/>
          <w:b w:val="false"/>
          <w:color w:val="000000"/>
          <w:sz w:val="22"/>
        </w:rPr>
        <w:t xml:space="preserve">, prepay under </w:t>
      </w:r>
      <w:r>
        <w:rPr>
          <w:rFonts w:ascii="Times New Roman;sans-serif" w:hAnsi="Times New Roman;sans-serif"/>
          <w:b w:val="false"/>
          <w:color w:val="000000"/>
          <w:sz w:val="22"/>
          <w:u w:val="single"/>
        </w:rPr>
        <w:t>Section 2.14</w:t>
      </w:r>
      <w:r>
        <w:rPr>
          <w:rFonts w:ascii="Times New Roman;sans-serif" w:hAnsi="Times New Roman;sans-serif"/>
          <w:b w:val="false"/>
          <w:color w:val="000000"/>
          <w:sz w:val="22"/>
        </w:rPr>
        <w:t xml:space="preserve">, and reborrow under this </w:t>
      </w:r>
      <w:r>
        <w:rPr>
          <w:rFonts w:ascii="Times New Roman;sans-serif" w:hAnsi="Times New Roman;sans-serif"/>
          <w:b w:val="false"/>
          <w:color w:val="000000"/>
          <w:sz w:val="22"/>
          <w:u w:val="single"/>
        </w:rPr>
        <w:t>Section 2.05</w:t>
      </w:r>
      <w:r>
        <w:rPr>
          <w:rFonts w:ascii="Times New Roman;sans-serif" w:hAnsi="Times New Roman;sans-serif"/>
          <w:b w:val="false"/>
          <w:color w:val="000000"/>
          <w:sz w:val="22"/>
        </w:rPr>
        <w:t xml:space="preserve">. New Vehicle Floorplan Committed Loans may be Base Rate Loans or Daily Simple SOFR Loans, as further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herein. Notwithstanding anything herein to the contrary, after giving effect to any Borrowing or conversion, all outstanding New Vehicle Floorplan Loans of the Company and the New Vehicle Borrowers must be of the same Type. </w:t>
      </w:r>
    </w:p>
    <w:p>
      <w:pPr>
        <w:pStyle w:val="TextBody"/>
        <w:bidi w:val="0"/>
        <w:spacing w:lineRule="auto" w:line="240" w:before="0" w:after="240"/>
        <w:ind w:left="0" w:right="0" w:hanging="720"/>
        <w:jc w:val="both"/>
        <w:rPr/>
      </w:pPr>
      <w:r>
        <w:rPr>
          <w:rFonts w:ascii="Times New Roman;sans-serif" w:hAnsi="Times New Roman;sans-serif"/>
          <w:b/>
          <w:color w:val="000000"/>
          <w:sz w:val="22"/>
        </w:rPr>
        <w:t>2.06Borrowings, Conversions and Continuations of New Vehicle Floorplan Committed Loans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Each New Vehicle Floorplan Committed Borrowing and each conversion of New Vehicle Floorplan Committed Loans from one Type to the other shall be made (i) upon the Company’s irrevocable notice to the Administrative Agent, which may be given by (A) telephone, or (B) a New Vehicle Floorplan Committed Loan Notice;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any telephonic notice must be confirmed promptly by delivery to the Administrative Agent of a New Vehicle Floorplan Committed Loan Notice;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further, that New Vehicle Floorplan Committed Borrowings at the request of the Company shall only be permitted on the Closing Date, during the Asbury New Vehicle Control Period, and otherwise at times permitted by the Administrative Agent in its sole discretion and (ii) at any time other than during an Asbury New Vehicle Control Period, upon the request of the New Vehicle Floorplan Swing Line Lender (on behalf of the Company) to the Administrative Agent;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entire proceeds of any New Vehicle Floorplan Committed Loans requested by the New Vehicle Floorplan Swing Line Lender pursuant to this clause (ii) shall be applied to repay the Outstanding Amount of the New Vehicle Floorplan Swing Line Loans or to honor Payoff Letter Commitments. Each such New Vehicle Floorplan Committed Loan Notice from the Company must be received by the Administrative Agent not later than 1:00 p.m. (A) one Business Day prior to the requested date of any New Vehicle Floorplan Borrowing of Daily Simple SOFR Loans or of any conversion of Daily Simple SOFR Loans to Base Rate Committed Loans or of any conversion of Base Rate Committed Loans to Daily Simple SOFR Loans, and (B) one Business Day prior to the requested date of any Borrowing of Base Rate Committed Loans. Each New Vehicle Floorplan Committed Loan Notice from the Company shall specify (W) whether the Company is requesting a New Vehicle Floorplan Committed Borrowing, a conversion of New Vehicle Floorplan Committed Loans from one Type to the other, (X) the requested date of the Borrowing or conversion, as the case may be (which shall be a Business Day), (Y) the principal amount of New Vehicle Floorplan Committed Loans to be borrowed or converted, and (Z) the Type of New Vehicle Floorplan Committed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367665"/>
                <wp:effectExtent l="0" t="0" r="0" b="0"/>
                <wp:wrapNone/>
                <wp:docPr id="249" name="Frame24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76</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Loans to be borrowed If the Company fails to provide a timely New Vehicle Floorplan Committed Loan Notice requesting a conversion of Daily Simple SOFR Loans to Base Rate Loans, such Loans shall continue as Daily Simple SOFR Loans. If the Company fails to specify a Type of New Vehicle Floorplan Committed Loan in a New Vehicle Floorplan Committed Loan Notice then the applicable New Vehicle Floorplan Committed Loans shall be made as, or converted to, Daily Simple SOFR Loans.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During an Asbury New Vehicle Control</w:t>
      </w:r>
      <w:r>
        <w:rPr>
          <w:color w:val="FF0000"/>
        </w:rPr>
        <w:t xml:space="preserve"> </w:t>
      </w:r>
      <w:r>
        <w:rPr>
          <w:rFonts w:ascii="Times New Roman;sans-serif" w:hAnsi="Times New Roman;sans-serif"/>
          <w:b w:val="false"/>
          <w:color w:val="000000"/>
          <w:sz w:val="22"/>
        </w:rPr>
        <w:t xml:space="preserve">Period, the proceeds of any New Vehicle Floorplan Committed Loans requested by the Company shall be applied only to repay the Outstanding Amount of the New Vehicle Floorplan Swing Line Loans or to honor Payoff Letter Commitments.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Following receipt of a New Vehicle Floorplan Committed Loan Notice, the Administrative Agent shall promptly notify each New Vehicle Floorplan Lender of the amount of its Applicable New Vehicle Floorplan Percentage of the applicable New Vehicle Floorplan Committed Loans. Each such Lender shall make the amount of its New Vehicle Floorplan Committed Loan available to the Administrative Agent in immediately available funds at the Administrative Agent’s Office not later than 1:00 p.m. on the Business Day specified in the applicable New Vehicle Floorplan Committed Loan Notice. Upon satisfaction of the applicable conditions set forth in </w:t>
      </w:r>
      <w:r>
        <w:rPr>
          <w:rFonts w:ascii="Times New Roman;sans-serif" w:hAnsi="Times New Roman;sans-serif"/>
          <w:b w:val="false"/>
          <w:color w:val="000000"/>
          <w:sz w:val="22"/>
          <w:u w:val="single"/>
        </w:rPr>
        <w:t>Section 4.02</w:t>
      </w:r>
      <w:r>
        <w:rPr>
          <w:color w:val="000000"/>
        </w:rPr>
        <w:t xml:space="preserve"> </w:t>
      </w:r>
      <w:r>
        <w:rPr>
          <w:rFonts w:ascii="Times New Roman;sans-serif" w:hAnsi="Times New Roman;sans-serif"/>
          <w:b w:val="false"/>
          <w:color w:val="000000"/>
          <w:sz w:val="22"/>
        </w:rPr>
        <w:t xml:space="preserve">(and, if such Borrowing is an initial Credit Extension, </w:t>
      </w:r>
      <w:r>
        <w:rPr>
          <w:rFonts w:ascii="Times New Roman;sans-serif" w:hAnsi="Times New Roman;sans-serif"/>
          <w:b w:val="false"/>
          <w:color w:val="000000"/>
          <w:sz w:val="22"/>
          <w:u w:val="single"/>
        </w:rPr>
        <w:t>Section 4.01</w:t>
      </w:r>
      <w:r>
        <w:rPr>
          <w:rFonts w:ascii="Times New Roman;sans-serif" w:hAnsi="Times New Roman;sans-serif"/>
          <w:b w:val="false"/>
          <w:color w:val="000000"/>
          <w:sz w:val="22"/>
        </w:rPr>
        <w:t xml:space="preserve">), the Administrative Agent shall make all funds so received available to the New Vehicle Floorplan Swing Line Lender who will repay New Vehicle Floorplan Swing Line Loans or honor Payoff Letter Commitments.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At any time that Base Rate Loans are outstanding, the Administrative Agent shall notify the Company and the New Vehicle Floorplan Lenders of any change in Bank of America’s prime rate used in determining the Base Rate promptly following the public announcement of such change.</w:t>
      </w:r>
    </w:p>
    <w:p>
      <w:pPr>
        <w:pStyle w:val="TextBody"/>
        <w:bidi w:val="0"/>
        <w:spacing w:lineRule="auto" w:line="240" w:before="0" w:after="240"/>
        <w:ind w:left="0" w:right="0" w:hanging="720"/>
        <w:jc w:val="both"/>
        <w:rPr/>
      </w:pPr>
      <w:r>
        <w:rPr>
          <w:rFonts w:ascii="Times New Roman;sans-serif" w:hAnsi="Times New Roman;sans-serif"/>
          <w:b/>
          <w:color w:val="000000"/>
          <w:sz w:val="22"/>
        </w:rPr>
        <w:t>2.07New Vehicle Floorplan Swing Line Loan</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The New Vehicle Floorplan Swing Line</w:t>
      </w:r>
      <w:r>
        <w:rPr>
          <w:rFonts w:ascii="Times New Roman;sans-serif" w:hAnsi="Times New Roman;sans-serif"/>
          <w:b w:val="false"/>
          <w:color w:val="000000"/>
          <w:sz w:val="22"/>
        </w:rPr>
        <w:t xml:space="preserve">. Subject to the terms and conditions set forth herein (and, if a New Vehicle Autoborrow Agreement is in effect, in such agreement), the New Vehicle Floorplan Swing Line Lender agrees, in reliance upon the agreements of the other New Vehicle Floorplan Lenders set forth in this </w:t>
      </w:r>
      <w:r>
        <w:rPr>
          <w:rFonts w:ascii="Times New Roman;sans-serif" w:hAnsi="Times New Roman;sans-serif"/>
          <w:b w:val="false"/>
          <w:color w:val="000000"/>
          <w:sz w:val="22"/>
          <w:u w:val="single"/>
        </w:rPr>
        <w:t>Section 2.07</w:t>
      </w:r>
      <w:r>
        <w:rPr>
          <w:rFonts w:ascii="Times New Roman;sans-serif" w:hAnsi="Times New Roman;sans-serif"/>
          <w:b w:val="false"/>
          <w:color w:val="000000"/>
          <w:sz w:val="22"/>
        </w:rPr>
        <w:t>, to make loans (each such loan, a “</w:t>
      </w:r>
      <w:r>
        <w:rPr>
          <w:rFonts w:ascii="Times New Roman;sans-serif" w:hAnsi="Times New Roman;sans-serif"/>
          <w:b w:val="false"/>
          <w:color w:val="000000"/>
          <w:sz w:val="22"/>
          <w:u w:val="single"/>
        </w:rPr>
        <w:t>New Vehicle Floorplan Swing Line Loan</w:t>
      </w:r>
      <w:r>
        <w:rPr>
          <w:color w:val="000000"/>
        </w:rPr>
        <w:t>”</w:t>
      </w:r>
      <w:r>
        <w:rPr>
          <w:rFonts w:ascii="Times New Roman;sans-serif" w:hAnsi="Times New Roman;sans-serif"/>
          <w:b w:val="false"/>
          <w:color w:val="000000"/>
          <w:sz w:val="22"/>
        </w:rPr>
        <w:t xml:space="preserve">) to the New Vehicle Borrowers from time to time on any Business Day during the Availability Period in an aggregate amount not to exceed at any time outstanding the amount of the New Vehicle Floorplan Swing Line Sublimit, notwithstanding the fact that such New Vehicle Floorplan Swing Line Loans, when aggregated with the Applicable New Vehicle Floorplan Percentage of the Outstanding Amount of New Vehicle Floorplan Committed Loans of the Lender acting as New Vehicle Floorplan Swing Line Lender, may exceed the amount of such Lender’s New Vehicle Floorplan Commitment;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(i) after giving effect to any New Vehicle Floorplan Swing Line Loan, (w) subject to </w:t>
      </w:r>
      <w:r>
        <w:rPr>
          <w:rFonts w:ascii="Times New Roman;sans-serif" w:hAnsi="Times New Roman;sans-serif"/>
          <w:b w:val="false"/>
          <w:color w:val="000000"/>
          <w:sz w:val="22"/>
          <w:u w:val="single"/>
        </w:rPr>
        <w:t>Section 2.08</w:t>
      </w:r>
      <w:r>
        <w:rPr>
          <w:rFonts w:ascii="Times New Roman;sans-serif" w:hAnsi="Times New Roman;sans-serif"/>
          <w:b w:val="false"/>
          <w:color w:val="000000"/>
          <w:sz w:val="22"/>
        </w:rPr>
        <w:t xml:space="preserve">, the Total Outstandings shall not exceed the Aggregate Commitments, (x) subject to </w:t>
      </w:r>
      <w:r>
        <w:rPr>
          <w:rFonts w:ascii="Times New Roman;sans-serif" w:hAnsi="Times New Roman;sans-serif"/>
          <w:b w:val="false"/>
          <w:color w:val="000000"/>
          <w:sz w:val="22"/>
          <w:u w:val="single"/>
        </w:rPr>
        <w:t>Section 2.08</w:t>
      </w:r>
      <w:r>
        <w:rPr>
          <w:rFonts w:ascii="Times New Roman;sans-serif" w:hAnsi="Times New Roman;sans-serif"/>
          <w:b w:val="false"/>
          <w:color w:val="000000"/>
          <w:sz w:val="22"/>
        </w:rPr>
        <w:t xml:space="preserve">, the Total New Vehicle Floorplan Outstandings shall not exceed the Aggregate New Vehicle Floorplan Commitments, (y) subject to </w:t>
      </w:r>
      <w:r>
        <w:rPr>
          <w:rFonts w:ascii="Times New Roman;sans-serif" w:hAnsi="Times New Roman;sans-serif"/>
          <w:b w:val="false"/>
          <w:color w:val="000000"/>
          <w:sz w:val="22"/>
          <w:u w:val="single"/>
        </w:rPr>
        <w:t>Section 2.08</w:t>
      </w:r>
      <w:r>
        <w:rPr>
          <w:rFonts w:ascii="Times New Roman;sans-serif" w:hAnsi="Times New Roman;sans-serif"/>
          <w:b w:val="false"/>
          <w:color w:val="000000"/>
          <w:sz w:val="22"/>
        </w:rPr>
        <w:t xml:space="preserve">, the aggregate Outstanding Amount of the New Vehicle Floorplan Committed Loans of any New Vehicle Floorplan Lender,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such Lender’s Applicable New Vehicle Floorplan Percentage of the Outstanding Amount of all New Vehicle Floorplan Swing Line Loans shall not exceed such Lender’s New Vehicle Floorplan Commitment, and (z) such Loan, together with the aggregate Outstanding Amount of all other New Vehicle Floorplan Swing Line Loans made on or prior to such date shall not exceed any applicable Within Line Limitation unless otherwise consented to by the New Vehicle Floorplan Swing Line Lender in its sole discretion, and (ii) the New Vehicle Floorplan Swing Line Lender shall not be under any obligation to make any such New Vehicle Floorplan Swing Line Loan if any Lender is at such time a Defaulting Lender, unless the New Vehicle Floorplan Swing Line Lender has entered into arrangements, including the delivery of Cash Collateral, satisfactory to the New Vehicle Floorplan Swing Line Lender (in its sole discretion) with the Company or such Defaulting Lender to eliminate such New Vehicle Floorplan Swing Line Lender’s actual or potential Fronting Exposure (after giving effect to </w:t>
      </w:r>
      <w:r>
        <w:rPr>
          <w:rFonts w:ascii="Times New Roman;sans-serif" w:hAnsi="Times New Roman;sans-serif"/>
          <w:b w:val="false"/>
          <w:color w:val="000000"/>
          <w:sz w:val="22"/>
          <w:u w:val="single"/>
        </w:rPr>
        <w:t>Section 2.27(a)(iv)</w:t>
      </w:r>
      <w:r>
        <w:rPr>
          <w:rFonts w:ascii="Times New Roman;sans-serif" w:hAnsi="Times New Roman;sans-serif"/>
          <w:b w:val="false"/>
          <w:color w:val="000000"/>
          <w:sz w:val="22"/>
        </w:rPr>
        <w:t xml:space="preserve">) with respect to the Defaulting Lender arising from either the New Vehicle Floorplan Swing Line Loan then proposed to be made or that New Vehicle Floorplan Swing Line Loan and all other New Vehicle Floorplan Swing Line Loans then outstanding as to which the New Vehicle Floorplan Swing Line Lender has actual or potential Fronting Exposure, as it may elect in its sole discretion; and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(subject to the terms of any New Vehicle Autoborrow Agreement that may be in effect) the proceeds of New Vehicle Floorplan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367665"/>
                <wp:effectExtent l="0" t="0" r="0" b="0"/>
                <wp:wrapNone/>
                <wp:docPr id="250" name="Frame24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77</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Swing Line Loans shall only be used (w) to repay New Vehicle Committed Loans to the extent provided in any Autoborrow Agreement that may be in effect or for any other purpose expressly provided in </w:t>
      </w:r>
      <w:r>
        <w:rPr>
          <w:rFonts w:ascii="Times New Roman;sans-serif" w:hAnsi="Times New Roman;sans-serif"/>
          <w:b w:val="false"/>
          <w:color w:val="000000"/>
          <w:sz w:val="22"/>
          <w:u w:val="single"/>
        </w:rPr>
        <w:t>Section 6.11(b)(iii)</w:t>
      </w:r>
      <w:r>
        <w:rPr>
          <w:rFonts w:ascii="Times New Roman;sans-serif" w:hAnsi="Times New Roman;sans-serif"/>
          <w:b w:val="false"/>
          <w:color w:val="000000"/>
          <w:sz w:val="22"/>
        </w:rPr>
        <w:t xml:space="preserve">, (x) to honor New Vehicle Floorplan drafts presented by the applicable vehicle manufacturer or distributor to the New Vehicle Floorplan Swing Line Lender pursuant to Payment Commitments, (y) to honor obligations arising under Payoff Letter Commitments or (z) otherwise to pay the purchase price of New Vehicles. Within the foregoing limits, and subject to the other terms and conditions hereof, the New Vehicle Borrowers may borrow under this </w:t>
      </w:r>
      <w:r>
        <w:rPr>
          <w:rFonts w:ascii="Times New Roman;sans-serif" w:hAnsi="Times New Roman;sans-serif"/>
          <w:b w:val="false"/>
          <w:color w:val="000000"/>
          <w:sz w:val="22"/>
          <w:u w:val="single"/>
        </w:rPr>
        <w:t>Section 2.07</w:t>
      </w:r>
      <w:r>
        <w:rPr>
          <w:rFonts w:ascii="Times New Roman;sans-serif" w:hAnsi="Times New Roman;sans-serif"/>
          <w:b w:val="false"/>
          <w:color w:val="000000"/>
          <w:sz w:val="22"/>
        </w:rPr>
        <w:t xml:space="preserve">, prepay under </w:t>
      </w:r>
      <w:r>
        <w:rPr>
          <w:rFonts w:ascii="Times New Roman;sans-serif" w:hAnsi="Times New Roman;sans-serif"/>
          <w:b w:val="false"/>
          <w:color w:val="000000"/>
          <w:sz w:val="22"/>
          <w:u w:val="single"/>
        </w:rPr>
        <w:t>Section 2.13</w:t>
      </w:r>
      <w:r>
        <w:rPr>
          <w:rFonts w:ascii="Times New Roman;sans-serif" w:hAnsi="Times New Roman;sans-serif"/>
          <w:b w:val="false"/>
          <w:color w:val="000000"/>
          <w:sz w:val="22"/>
        </w:rPr>
        <w:t xml:space="preserve">, and reborrow under this </w:t>
      </w:r>
      <w:r>
        <w:rPr>
          <w:rFonts w:ascii="Times New Roman;sans-serif" w:hAnsi="Times New Roman;sans-serif"/>
          <w:b w:val="false"/>
          <w:color w:val="000000"/>
          <w:sz w:val="22"/>
          <w:u w:val="single"/>
        </w:rPr>
        <w:t>Section 2.07</w:t>
      </w:r>
      <w:r>
        <w:rPr>
          <w:rFonts w:ascii="Times New Roman;sans-serif" w:hAnsi="Times New Roman;sans-serif"/>
          <w:b w:val="false"/>
          <w:color w:val="000000"/>
          <w:sz w:val="22"/>
        </w:rPr>
        <w:t>. Each New Vehicle Floorplan Swing Line Loan may be a Base Rate Loan or a Daily Simple SOFR Loan. Except as otherwise provided with respect to New Vehicle Floorplan Overdrafts, immediately upon the making of a New Vehicle Floorplan Swing Line Loan, each New Vehicle Floorplan Lender shall be deemed to, and hereby irrevocably and unconditionally agrees to, purchase from the New Vehicle Floorplan Swing Line Lender a risk participation in such New Vehicle Floorplan Swing Line Loan in an amount equal to the product of such Lender’s Applicable New Vehicle Floorplan Percentage times the amount of such New Vehicle Floorplan Swing Line Loan.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Payment Commitments and Payoff Letter Commitments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(i)The New Vehicle Floorplan Swing Line Lender is authorized to make New Vehicle Floorplan Swing Line Loans for the account of the New Vehicle Borrowers directly to certain individual manufacturers or distributors that provide New Vehicles to the New Vehicle Borrowers, in accordance with the terms and conditions of the respective Payment Commitment agreed to between the New Vehicle Floorplan Swing Line Lender and each such manufacturer or distributor, and without any further notice as otherwise required in this Section. Each New Vehicle Floorplan Swing Line Loan made pursuant to a Payment Commitment shall be a Daily Simple SOFR Loan at the time of such Borrowing, but may be converted to a Base Rate Loan in accordance with the terms of this Agreement. The New Vehicle Borrowers shall be and remain jointly and severally liable to the New Vehicle Floorplan Swing Line Lender, or the New Vehicle Floorplan Lenders, as applicable, for all payments made to a manufacturer or distributor pursuant to a Payment Commitment.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(ii)The New Vehicle Floorplan Swing Line Lender is authorized to make New Vehicle Floorplan Swing Line Loans for the account of the New Vehicle Borrowers directly to certain individual financial institutions that financed New Vehicles owned by or being acquired by the New Vehicle Borrowers, in accordance with the terms and conditions of the respective Payoff Letter Commitment agreed to between the New Vehicle Floorplan Swing Line Lender and each such financial institution, and without any further notice as otherwise required in this Section. Each New Vehicle Floorplan Swing Line Loan made pursuant to a Payoff Letter Commitment shall be a Daily Simple SOFR Loan at the time of such Borrowing, but may be converted to a Base Rate Loan in accordance with the terms of this Agreement. The New Vehicle Borrowers shall be and remain jointly and severally liable to the New Vehicle Floorplan Swing Line Lender, or the New Vehicle Floorplan Lenders, as applicable, for all payments made to a financial institution pursuant to a Payoff Letter Commitment.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Borrowing Procedures</w:t>
      </w:r>
      <w:r>
        <w:rPr>
          <w:rFonts w:ascii="Times New Roman;sans-serif" w:hAnsi="Times New Roman;sans-serif"/>
          <w:b w:val="false"/>
          <w:color w:val="000000"/>
          <w:sz w:val="22"/>
        </w:rPr>
        <w:t xml:space="preserve">. In addition to New Vehicle Floorplan Swingline Loans made or deemed made pursuant to any New Vehicle Autoborrow Agreement then in effect, each New Vehicle Floorplan Swing Line Borrowing may be made pursuant to (i) a Payment Commitment, (ii) a Payoff Letter Commitment, (iii) in the case of a dealer trade, bulk purchase or other purchase of any New Vehicle, pursuant to the Floorplan On-line System in accordance with practices agreed to from time to time between the New Vehicle Floorplan Swing Line Lender and the applicable New Vehicle Borrower, including requirements that the Company or applicable New Vehicle Borrower shall have entered information relating to the applicable New Vehicles (including the dollar amount of such Loans and the make, model and vehicle identification number of such New Vehicles) into the Floorplan On-Line System . The New Vehicle Floorplan Swing Line Lender will promptly make the amount of its New Vehicle Floorplan Swing Line Loan available directly to the manufacturer or distributor pursuant to a Payment Commitment in accordance with industry practices, to the financial institution pursuant to a Payoff Letter Commitment, or to the applicable New Vehicle Borrower by crediting the account of such New Vehicle Borrower. In the case of a dealer trade, bulk purchase or other purchase of any New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367665"/>
                <wp:effectExtent l="0" t="0" r="0" b="0"/>
                <wp:wrapNone/>
                <wp:docPr id="251" name="Frame24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78</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Vehicle, funds will be credited to the applicable New Vehicle Borrower’s deposit account at the following times depending on whether the deposit account is maintained at Bank of America and when the request is entered pursuant to the Floorplan On-Line System: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(i)if the deposit account is maintained at Bank of America, the funds will be credited to the account (A) on the same Business Day if the request is entered prior to 7:00 p.m. on that day, or (B) on the next Business Day if the request is entered at or after 7:00 p.m. or is entered on a day that is not a Business Day; and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(ii)if the deposit account is maintained at any Person other than Bank of America, the funds will be credited to the account (A) on the following Business Day if the request is received prior to 7:00 p.m. on a Business Day, or (B) two Business Days later if the request is entered at or after 7:00 p.m. or is entered on a day that is not a Business Day.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either case of clause (i) or (ii), interest shall not accrue on such funds until they are deposited to such applicable deposit account.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In order to facilitate the borrowing and repayment of New Vehicle Floorplan Swing Line Loans</w:t>
      </w:r>
      <w:r>
        <w:rPr>
          <w:color w:val="000000"/>
        </w:rPr>
        <w:t xml:space="preserve"> </w:t>
      </w:r>
      <w:r>
        <w:rPr>
          <w:rFonts w:ascii="Times New Roman;sans-serif" w:hAnsi="Times New Roman;sans-serif"/>
          <w:b w:val="false"/>
          <w:color w:val="000000"/>
          <w:sz w:val="22"/>
        </w:rPr>
        <w:t>and the</w:t>
      </w:r>
      <w:r>
        <w:rPr>
          <w:color w:val="000000"/>
        </w:rPr>
        <w:t xml:space="preserve"> </w:t>
      </w:r>
      <w:r>
        <w:rPr>
          <w:rFonts w:ascii="Times New Roman;sans-serif" w:hAnsi="Times New Roman;sans-serif"/>
          <w:b w:val="false"/>
          <w:color w:val="000000"/>
          <w:sz w:val="22"/>
        </w:rPr>
        <w:t>crediting of funds to, and withdrawals of funds from, the New Vehicle Floorplan Offset Account, the New Vehicle Borrowers and the New Vehicle Floorplan Swing Line Lender may mutually agree to, and are hereby authorized to, enter into an agreement in form and substance reasonably satisfactory to the Administrative Agent and the New Vehicle Floorplan Swing Line Lender (the “</w:t>
      </w:r>
      <w:r>
        <w:rPr>
          <w:rFonts w:ascii="Times New Roman;sans-serif" w:hAnsi="Times New Roman;sans-serif"/>
          <w:b w:val="false"/>
          <w:color w:val="000000"/>
          <w:sz w:val="22"/>
          <w:u w:val="single"/>
        </w:rPr>
        <w:t>New Vehicle Autoborrow Agreement</w:t>
      </w:r>
      <w:r>
        <w:rPr>
          <w:color w:val="000000"/>
        </w:rPr>
        <w:t>”</w:t>
      </w:r>
      <w:r>
        <w:rPr>
          <w:rFonts w:ascii="Times New Roman;sans-serif" w:hAnsi="Times New Roman;sans-serif"/>
          <w:b w:val="false"/>
          <w:color w:val="000000"/>
          <w:sz w:val="22"/>
        </w:rPr>
        <w:t xml:space="preserve">) provided that, (i) in no event shall the New Vehicle Borrowers be entitled to enter into a New Vehicle Autoborrow Agreement at any time a Used Vehicle Autoborrow Agreement or a Revolving Autoborrow Agreement is in place and (ii) the New Vehicle Borrowers may, once per calendar year and upon 30 days advance notice to the Administrative Agent, the Revolving Swing Line Lender, the New Vehicle Floorplan Swing Line Lender and the Used Vehicle Floorplan Swing Line Lender and upon the payment to the Administrative Agent of a $10,000 fee (which fee may be waived in the sole discretion of the Administrative Agent), alternate between having a Revolving Autoborrow Agreement, a New Vehicle Autoborrow Agreement or a Used Vehicle Autoborrow Agreement in place. At any time a New Vehicle Autoborrow Agreement is in effect, to the extent any New Vehicle Floorplan Swing Line Loans are made pursuant to such New Vehicle Autoborrow Agreement, the requirements for New Vehicle Floorplan Swing Line Borrowings set forth in the immediately preceding paragraphs shall not apply, and all such New Vehicle Floorplan Swing Line Borrowings shall be made in accordance with the New Vehicle Autoborrow Agreement, until the right to such New Vehicle Floorplan Swing Line Borrowings is suspended or terminated hereunder or in accordance with the terms of the New Vehicle Autoborrow Agreement. Solely for purposes of determining the availability of New Vehicle Committed Loans (other than New Vehicle Committed Loans used to refinance New Vehicle Floorplan Swing Line Loans) and for determining the Total New Vehicle Floorplan Outstandings in connection with </w:t>
      </w:r>
      <w:r>
        <w:rPr>
          <w:rFonts w:ascii="Times New Roman;sans-serif" w:hAnsi="Times New Roman;sans-serif"/>
          <w:b w:val="false"/>
          <w:color w:val="000000"/>
          <w:sz w:val="22"/>
          <w:u w:val="single"/>
        </w:rPr>
        <w:t>Section 2.14</w:t>
      </w:r>
      <w:r>
        <w:rPr>
          <w:rFonts w:ascii="Times New Roman;sans-serif" w:hAnsi="Times New Roman;sans-serif"/>
          <w:b w:val="false"/>
          <w:color w:val="000000"/>
          <w:sz w:val="22"/>
        </w:rPr>
        <w:t>, at any time during which a New Vehicle Autoborrow Agreement is in effect, the Outstanding Amount of all New Vehicle Floorplan Swing Line Loans shall be deemed to be the amount of the New Vehicle Floorplan Swing Line Sublimit. For purposes of any New Vehicle Floorplan Swing Line Borrowing pursuant to the New Vehicle Autoborrow Agreement, all references to Bank of America shall be deemed to be a reference to Bank of America, in its capacity as New Vehicle Floorplan Swing Line Lender hereunder.</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If a Payment Commitment, Payoff Letter Commitment or the Floorplan On-Line System (as applicable) fails to specify the Type of New Vehicle Floorplan Swing Line Loan, the applicable New Vehicle Floorplan Swing Line Loan shall be made as a Daily Simple SOFR Loan. Each conversion of New Vehicle Floorplan Swing Line Loans from one Type to the other shall be pursuant to an irrevocable notice to the New Vehicle Floorplan Swing Line Lender by delivery of a New Vehicle Floorplan Swing Line Loan Notice appropriately completed and signed by a Responsible Officer of the Company. If the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367665"/>
                <wp:effectExtent l="0" t="0" r="0" b="0"/>
                <wp:wrapNone/>
                <wp:docPr id="252" name="Frame24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Company fails to provide a timely New Vehicle Floorplan Swing Line Loan Notice requesting a conversion of Daily Simple SOFR Loans to Base Rate Loans, such Loans shall continue as Daily Simple SOFR Loans. Notwithstanding anything herein to the contrary, after giving effect to any Borrowing or conversion, all outstanding New Vehicle Floorplan Loans of the Company and the New Vehicle Borrowers must be of the same Type.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Asbury New Vehicle Control Period Balances</w:t>
      </w:r>
      <w:r>
        <w:rPr>
          <w:rFonts w:ascii="Times New Roman;sans-serif" w:hAnsi="Times New Roman;sans-serif"/>
          <w:b w:val="false"/>
          <w:color w:val="000000"/>
          <w:sz w:val="22"/>
        </w:rPr>
        <w:t>. If at any time during an Asbury New Vehicle Control Period (but only at any time a New Vehicle Autoborrow Agreement is not then in effect) (i) the amount of any repayment of New Vehicle Floorplan Swing Line Loans exceeds (ii) an amount equal to the Outstanding Amount of New Vehicle Floorplan Swing Line Loans (such excess of the amount in clause (i) over the amount in clause (ii) being referred to as the “</w:t>
      </w:r>
      <w:r>
        <w:rPr>
          <w:rFonts w:ascii="Times New Roman;sans-serif" w:hAnsi="Times New Roman;sans-serif"/>
          <w:b w:val="false"/>
          <w:color w:val="000000"/>
          <w:sz w:val="22"/>
          <w:u w:val="single"/>
        </w:rPr>
        <w:t>Negative New Vehicle Swing Line Balance</w:t>
      </w:r>
      <w:r>
        <w:rPr>
          <w:color w:val="000000"/>
        </w:rPr>
        <w:t>”</w:t>
      </w:r>
      <w:r>
        <w:rPr>
          <w:rFonts w:ascii="Times New Roman;sans-serif" w:hAnsi="Times New Roman;sans-serif"/>
          <w:b w:val="false"/>
          <w:color w:val="000000"/>
          <w:sz w:val="22"/>
        </w:rPr>
        <w:t xml:space="preserve">), the Outstanding Amount of such New Vehicle Floorplan Swing Line Loans shall be reduced by the amount of such repayment, and (Y) the Negative New Vehicle Swing Line Balance shall be held by the New Vehicle Floorplan Swing Line Lender to prepay subsequent New Vehicle Floorplan Swing Line Loans or, (Z) if and when the Company submits a notice of prepayment of New Vehicle Committed Loans pursuant to </w:t>
      </w:r>
      <w:r>
        <w:rPr>
          <w:rFonts w:ascii="Times New Roman;sans-serif" w:hAnsi="Times New Roman;sans-serif"/>
          <w:b w:val="false"/>
          <w:color w:val="000000"/>
          <w:sz w:val="22"/>
          <w:u w:val="single"/>
        </w:rPr>
        <w:t>Section 2.13(c)</w:t>
      </w:r>
      <w:r>
        <w:rPr>
          <w:color w:val="000000"/>
        </w:rPr>
        <w:t xml:space="preserve"> </w:t>
      </w:r>
      <w:r>
        <w:rPr>
          <w:rFonts w:ascii="Times New Roman;sans-serif" w:hAnsi="Times New Roman;sans-serif"/>
          <w:b w:val="false"/>
          <w:color w:val="000000"/>
          <w:sz w:val="22"/>
        </w:rPr>
        <w:t xml:space="preserve">or, at the election of the New Vehicle Floorplan Swing Line Lender, in its sole discretion, the Negative New Vehicle Swing Line Balance may be used to prepay such New Vehicle Floorplan Committed Loans. Until the Company submits such notice and/or such Loans are prepaid in accordance with clause (Z), such New Vehicle Floorplan Committed Loans shall continue to accrue interest as otherwise set forth in this Agreement;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with respect to New Vehicle Floorplan Committed Loans in a principal amount equal to the Negative New Vehicle Swing Line Balance, the interest on such portion (the “</w:t>
      </w:r>
      <w:r>
        <w:rPr>
          <w:rFonts w:ascii="Times New Roman;sans-serif" w:hAnsi="Times New Roman;sans-serif"/>
          <w:b w:val="false"/>
          <w:color w:val="000000"/>
          <w:sz w:val="22"/>
          <w:u w:val="single"/>
        </w:rPr>
        <w:t>Specified Committed Loan Interest</w:t>
      </w:r>
      <w:r>
        <w:rPr>
          <w:color w:val="000000"/>
        </w:rPr>
        <w:t>”</w:t>
      </w:r>
      <w:r>
        <w:rPr>
          <w:rFonts w:ascii="Times New Roman;sans-serif" w:hAnsi="Times New Roman;sans-serif"/>
          <w:b w:val="false"/>
          <w:color w:val="000000"/>
          <w:sz w:val="22"/>
        </w:rPr>
        <w:t xml:space="preserve">) shall be collected by the New Vehicle Floorplan Swing Line Lender (at the rate then applicable to New Vehicle Floorplan Committed Loans), with such amounts billed monthly and subsequently withdrawn by the New Vehicle Floorplan Swing Line Lender from the Company’s bank account with Bank of America five (5) Business Days after delivery of such bill. The New Vehicle Floorplan Swing Line Lender and the Administrative Agent shall agree on procedures so that (either prior to or promptly after the collection thereof) the New Vehicle Floorplan Swing Line Lender shall turn over to the Administrative Agent the Specified Committed Loan Interest for application to the New Vehicle Floorplan Committed Loans.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Authorization</w:t>
      </w:r>
      <w:r>
        <w:rPr>
          <w:rFonts w:ascii="Times New Roman;sans-serif" w:hAnsi="Times New Roman;sans-serif"/>
          <w:b w:val="false"/>
          <w:color w:val="000000"/>
          <w:sz w:val="22"/>
        </w:rPr>
        <w:t xml:space="preserve">. Each New Vehicle Borrower and the Company authorizes the New Vehicle Floorplan Swing Line Lender (and each New Vehicle Floorplan Lender consents to such authorization), in consultation with the Company, to enter into, modify or terminate Payment Commitments and Payoff Letter Commitments (in each case, in the New Vehicle Floorplan Swing Line Lender’s discretion) and to advise each manufacturer or distributor or financial institution, as the case may be, that provides New Vehicles to such New Vehicle Borrower of any change or termination which may occur with respect to the New Vehicle Floorplan Swing Line.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Refinancing of New Vehicle Floorplan Swing Line Loans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(i)The New Vehicle Floorplan Swing Line Lender at any time in its sole and absolute discretion may request (and during an Asbury New Vehicle Control Period, upon direction of the Company shall request), on behalf of the New Vehicle Borrowers (which hereby irrevocably authorize the New Vehicle Floorplan Swing Line Lender to so request on their behalf), that each New Vehicle Floorplan Lender make a Daily Simple SOFR Committed Loan in an amount equal to such Lender’s Applicable New Vehicle Floorplan Percentage of the amount of New Vehicle Floorplan Swing Line Loans that the New Vehicle Floorplan Swing Line Lender (or the Company, during an Asbury New Vehicle Control Period), in its sole discretion chooses to refinance (including, subject to </w:t>
      </w:r>
      <w:r>
        <w:rPr>
          <w:rFonts w:ascii="Times New Roman;sans-serif" w:hAnsi="Times New Roman;sans-serif"/>
          <w:b w:val="false"/>
          <w:color w:val="000000"/>
          <w:sz w:val="22"/>
          <w:u w:val="single"/>
        </w:rPr>
        <w:t>Section 2.08(b)(iii)</w:t>
      </w:r>
      <w:r>
        <w:rPr>
          <w:rFonts w:ascii="Times New Roman;sans-serif" w:hAnsi="Times New Roman;sans-serif"/>
          <w:b w:val="false"/>
          <w:color w:val="000000"/>
          <w:sz w:val="22"/>
        </w:rPr>
        <w:t xml:space="preserve">, any New Vehicle Floorplan Overdrafts). Unless a New Vehicle Autoborrow Agreement is then in effect, the New Vehicle Floorplan Swing Line Lender intends to request each New Vehicle Floorplan Lender to make such Daily Simple SOFR Committed Loans no less frequently than once in any given calendar month. Such request shall be made in writing (which written request shall be deemed to be a New Vehicle Floorplan Committed Loan Notice for purposes hereof) and in accordance with the requirements of </w:t>
      </w:r>
      <w:r>
        <w:rPr>
          <w:rFonts w:ascii="Times New Roman;sans-serif" w:hAnsi="Times New Roman;sans-serif"/>
          <w:b w:val="false"/>
          <w:color w:val="000000"/>
          <w:sz w:val="22"/>
          <w:u w:val="single"/>
        </w:rPr>
        <w:t>Section 2.06</w:t>
      </w:r>
      <w:r>
        <w:rPr>
          <w:rFonts w:ascii="Times New Roman;sans-serif" w:hAnsi="Times New Roman;sans-serif"/>
          <w:b w:val="false"/>
          <w:color w:val="000000"/>
          <w:sz w:val="22"/>
        </w:rPr>
        <w:t xml:space="preserve">, without regard to the minimum and multiples specified therein for the principal amount of Daily Simple SOFR Loans, but subject to the unutilized portion of the Aggregate New Vehicle Floorplan Commitments and the conditions set forth in </w:t>
      </w:r>
      <w:r>
        <w:rPr>
          <w:rFonts w:ascii="Times New Roman;sans-serif" w:hAnsi="Times New Roman;sans-serif"/>
          <w:b w:val="false"/>
          <w:color w:val="000000"/>
          <w:sz w:val="22"/>
          <w:u w:val="single"/>
        </w:rPr>
        <w:t>Section 4.02</w:t>
      </w:r>
      <w:r>
        <w:rPr>
          <w:rFonts w:ascii="Times New Roman;sans-serif" w:hAnsi="Times New Roman;sans-serif"/>
          <w:b w:val="false"/>
          <w:color w:val="000000"/>
          <w:sz w:val="22"/>
        </w:rPr>
        <w:t xml:space="preserve">. Each New Vehicle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367665"/>
                <wp:effectExtent l="0" t="0" r="0" b="0"/>
                <wp:wrapNone/>
                <wp:docPr id="253" name="Frame24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80</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Floorplan Lender shall make an amount equal to its Applicable New Vehicle Floorplan Percentage of the amount specified in such New Vehicle Floorplan Committed Loan Notice available to the Administrative Agent in immediately available funds for the account of the New Vehicle Floorplan Swing Line Lender at the Administrative Agent’s Office not later than 1:00 p.m. on the day specified in such New Vehicle Floorplan Committed Loan Notice (or, if later, one Business Day after the New Vehicle Floorplan Swing Line Lender delivers such notice), whereupon, subject to </w:t>
      </w:r>
      <w:r>
        <w:rPr>
          <w:rFonts w:ascii="Times New Roman;sans-serif" w:hAnsi="Times New Roman;sans-serif"/>
          <w:b w:val="false"/>
          <w:color w:val="000000"/>
          <w:sz w:val="22"/>
          <w:u w:val="single"/>
        </w:rPr>
        <w:t>Section 2.08(b)(iii)</w:t>
      </w:r>
      <w:r>
        <w:rPr>
          <w:rFonts w:ascii="Times New Roman;sans-serif" w:hAnsi="Times New Roman;sans-serif"/>
          <w:b w:val="false"/>
          <w:color w:val="000000"/>
          <w:sz w:val="22"/>
        </w:rPr>
        <w:t>, each New Vehicle Floorplan Lender that so makes funds available shall be deemed to have made a Daily Simple SOFR Committed Loan to the Company in such amount. The Administrative Agent shall remit the funds so received to the New Vehicle Floorplan Swing Line Lender.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(ii)If for any reason any New Vehicle Floorplan Swing Line Loan (other than a New Vehicle Floorplan Overdraft) cannot be refinanced by such a New Vehicle Floorplan Committed Borrowing in accordance with </w:t>
      </w:r>
      <w:r>
        <w:rPr>
          <w:rFonts w:ascii="Times New Roman;sans-serif" w:hAnsi="Times New Roman;sans-serif"/>
          <w:b w:val="false"/>
          <w:color w:val="000000"/>
          <w:sz w:val="22"/>
          <w:u w:val="single"/>
        </w:rPr>
        <w:t>Section 2.07(c)(i)</w:t>
      </w:r>
      <w:r>
        <w:rPr>
          <w:rFonts w:ascii="Times New Roman;sans-serif" w:hAnsi="Times New Roman;sans-serif"/>
          <w:b w:val="false"/>
          <w:color w:val="000000"/>
          <w:sz w:val="22"/>
        </w:rPr>
        <w:t xml:space="preserve">, the request for Daily Simple SOFR New Vehicle Floorplan Committed Loans submitted by the New Vehicle Floorplan Swing Line Lender as set forth herein shall be deemed to be a request by the New Vehicle Floorplan Swing Line Lender that each of the New Vehicle Floorplan Lenders fund its risk participation in the relevant New Vehicle Floorplan Swing Line Loan and each Lender’s payment to the Administrative Agent for the account of the New Vehicle Floorplan Swing Line Lender pursuant to </w:t>
      </w:r>
      <w:r>
        <w:rPr>
          <w:rFonts w:ascii="Times New Roman;sans-serif" w:hAnsi="Times New Roman;sans-serif"/>
          <w:b w:val="false"/>
          <w:color w:val="000000"/>
          <w:sz w:val="22"/>
          <w:u w:val="single"/>
        </w:rPr>
        <w:t>Section 2.07(c)(i)</w:t>
      </w:r>
      <w:r>
        <w:rPr>
          <w:color w:val="000000"/>
        </w:rPr>
        <w:t xml:space="preserve"> </w:t>
      </w:r>
      <w:r>
        <w:rPr>
          <w:rFonts w:ascii="Times New Roman;sans-serif" w:hAnsi="Times New Roman;sans-serif"/>
          <w:b w:val="false"/>
          <w:color w:val="000000"/>
          <w:sz w:val="22"/>
        </w:rPr>
        <w:t>shall be deemed payment in respect of such participation.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(iii)If any New Vehicle Floorplan Lender fails to make available to the Administrative Agent for the account of the New Vehicle Floorplan Swing Line Lender any amount required to be paid by such New Vehicle Floorplan Lender pursuant to the foregoing provisions of this </w:t>
      </w:r>
      <w:r>
        <w:rPr>
          <w:rFonts w:ascii="Times New Roman;sans-serif" w:hAnsi="Times New Roman;sans-serif"/>
          <w:b w:val="false"/>
          <w:color w:val="000000"/>
          <w:sz w:val="22"/>
          <w:u w:val="single"/>
        </w:rPr>
        <w:t>Section 2.07(c)</w:t>
      </w:r>
      <w:r>
        <w:rPr>
          <w:color w:val="000000"/>
        </w:rPr>
        <w:t xml:space="preserve"> </w:t>
      </w:r>
      <w:r>
        <w:rPr>
          <w:rFonts w:ascii="Times New Roman;sans-serif" w:hAnsi="Times New Roman;sans-serif"/>
          <w:b w:val="false"/>
          <w:color w:val="000000"/>
          <w:sz w:val="22"/>
        </w:rPr>
        <w:t xml:space="preserve">by the time specified in </w:t>
      </w:r>
      <w:r>
        <w:rPr>
          <w:rFonts w:ascii="Times New Roman;sans-serif" w:hAnsi="Times New Roman;sans-serif"/>
          <w:b w:val="false"/>
          <w:color w:val="000000"/>
          <w:sz w:val="22"/>
          <w:u w:val="single"/>
        </w:rPr>
        <w:t>Section 2.07(c)(i)</w:t>
      </w:r>
      <w:r>
        <w:rPr>
          <w:rFonts w:ascii="Times New Roman;sans-serif" w:hAnsi="Times New Roman;sans-serif"/>
          <w:b w:val="false"/>
          <w:color w:val="000000"/>
          <w:sz w:val="22"/>
        </w:rPr>
        <w:t xml:space="preserve">, the New Vehicle Floorplan Swing Line Lender shall be entitled to recover from such New Vehicle Floorplan Lender (acting through the Administrative Agent), on demand, such amount with interest thereon for the period from the date such payment is required to the date on which such payment is immediately available to the New Vehicle Floorplan Swing Line Lender at a rate per annum equal to the greater of the Federal Funds Rate and a rate determined by the New Vehicle Floorplan Swing Line Lender in accordance with banking industry rules on interbank compensation,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any administrative, processing or similar fees charged by the New Vehicle Floorplan Swing Line Lender in connection with the foregoing. If such New Vehicle Floorplan Lender pays such amount (with interest and fees as aforesaid), the amount so paid shall constitute such New Vehicle Floorplan Lender’s New Vehicle Floorplan Committed Loan included in the relevant New Vehicle Floorplan Committed Borrowing or funded participation in the relevant New Vehicle Floorplan Swing Line Loan, as the case may be. A certificate of the New Vehicle Floorplan Swing Line Lender submitted to any New Vehicle Floorplan Lender (through the Administrative Agent) with respect to any amounts owing under this clause (iii) shall be conclusive absent manifest error.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(iv)Each New Vehicle Floorplan Lender’s obligation to make New Vehicle Floorplan Committed Loans or to purchase and fund risk participations in New Vehicle Floorplan Swing Line Loans pursuant to this </w:t>
      </w:r>
      <w:r>
        <w:rPr>
          <w:rFonts w:ascii="Times New Roman;sans-serif" w:hAnsi="Times New Roman;sans-serif"/>
          <w:b w:val="false"/>
          <w:color w:val="000000"/>
          <w:sz w:val="22"/>
          <w:u w:val="single"/>
        </w:rPr>
        <w:t>Section 2.07(c)</w:t>
      </w:r>
      <w:r>
        <w:rPr>
          <w:color w:val="000000"/>
        </w:rPr>
        <w:t xml:space="preserve"> </w:t>
      </w:r>
      <w:r>
        <w:rPr>
          <w:rFonts w:ascii="Times New Roman;sans-serif" w:hAnsi="Times New Roman;sans-serif"/>
          <w:b w:val="false"/>
          <w:color w:val="000000"/>
          <w:sz w:val="22"/>
        </w:rPr>
        <w:t xml:space="preserve">shall be absolute and unconditional and shall not be affected by any circumstance, including (A) any setoff, counterclaim, recoupment, defense or other right which such New Vehicle Floorplan Lender may have against the New Vehicle Floorplan Swing Line Lender, the Company or any other Person for any reason whatsoever, (B) the occurrence or continuance of a Default, or (C) any other occurrence, event or condition, whether or not similar to any of the foregoing;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each New Vehicle Floorplan Lender’s obligation to make New Vehicle Floorplan Committed Loans pursuant to this </w:t>
      </w:r>
      <w:r>
        <w:rPr>
          <w:rFonts w:ascii="Times New Roman;sans-serif" w:hAnsi="Times New Roman;sans-serif"/>
          <w:b w:val="false"/>
          <w:color w:val="000000"/>
          <w:sz w:val="22"/>
          <w:u w:val="single"/>
        </w:rPr>
        <w:t>Section 2.07(c)</w:t>
      </w:r>
      <w:r>
        <w:rPr>
          <w:color w:val="000000"/>
        </w:rPr>
        <w:t xml:space="preserve"> </w:t>
      </w:r>
      <w:r>
        <w:rPr>
          <w:rFonts w:ascii="Times New Roman;sans-serif" w:hAnsi="Times New Roman;sans-serif"/>
          <w:b w:val="false"/>
          <w:color w:val="000000"/>
          <w:sz w:val="22"/>
        </w:rPr>
        <w:t xml:space="preserve">is subject to the conditions set forth in </w:t>
      </w:r>
      <w:r>
        <w:rPr>
          <w:rFonts w:ascii="Times New Roman;sans-serif" w:hAnsi="Times New Roman;sans-serif"/>
          <w:b w:val="false"/>
          <w:color w:val="000000"/>
          <w:sz w:val="22"/>
          <w:u w:val="single"/>
        </w:rPr>
        <w:t>Section 4.02</w:t>
      </w:r>
      <w:r>
        <w:rPr>
          <w:rFonts w:ascii="Times New Roman;sans-serif" w:hAnsi="Times New Roman;sans-serif"/>
          <w:b w:val="false"/>
          <w:color w:val="000000"/>
          <w:sz w:val="22"/>
        </w:rPr>
        <w:t>. No such funding of risk participations shall relieve or otherwise impair the obligation of the New Vehicle Borrowers (jointly and severally) to repay New Vehicle Floorplan Swing Line Loans, together with interest as provided herein.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u w:val="single"/>
        </w:rPr>
        <w:t>Repayment of Participations</w:t>
      </w:r>
      <w:r>
        <w:rPr>
          <w:rFonts w:ascii="Times New Roman;sans-serif" w:hAnsi="Times New Roman;sans-serif"/>
          <w:b w:val="false"/>
          <w:color w:val="000000"/>
          <w:sz w:val="22"/>
        </w:rPr>
        <w:t>.</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367665"/>
                <wp:effectExtent l="0" t="0" r="0" b="0"/>
                <wp:wrapNone/>
                <wp:docPr id="254" name="Frame24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81</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(i)At any time after any New Vehicle Floorplan Lender has purchased and funded a risk participation in a New Vehicle Floorplan Swing Line Loan, if the New Vehicle Floorplan Swing Line Lender receives any payment on account of such New Vehicle Floorplan Swing Line Loan, the New Vehicle Floorplan Swing Line Lender will distribute to such Lender its Applicable New Vehicle Floorplan Percentage of such payment (appropriately adjusted, in the case of interest payments, to reflect the period of time during which such Lender’s risk participation was funded) in the same funds as those received by the New Vehicle Floorplan Swing Line Lender.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(ii)If any payment received by the New Vehicle Floorplan Swing Line Lender in respect of principal or interest on any New Vehicle Floorplan Swing Line Loan (other than a New Vehicle Floorplan Overdraft) is required to be returned by the New Vehicle Floorplan Swing Line Lender under any of the circumstances described in </w:t>
      </w:r>
      <w:r>
        <w:rPr>
          <w:rFonts w:ascii="Times New Roman;sans-serif" w:hAnsi="Times New Roman;sans-serif"/>
          <w:b w:val="false"/>
          <w:color w:val="000000"/>
          <w:sz w:val="22"/>
          <w:u w:val="single"/>
        </w:rPr>
        <w:t>Section 10.05</w:t>
      </w:r>
      <w:r>
        <w:rPr>
          <w:color w:val="000000"/>
        </w:rPr>
        <w:t xml:space="preserve"> </w:t>
      </w:r>
      <w:r>
        <w:rPr>
          <w:rFonts w:ascii="Times New Roman;sans-serif" w:hAnsi="Times New Roman;sans-serif"/>
          <w:b w:val="false"/>
          <w:color w:val="000000"/>
          <w:sz w:val="22"/>
        </w:rPr>
        <w:t xml:space="preserve">(including pursuant to any settlement entered into by the New Vehicle Floorplan Swing Line Lender in its discretion), each New Vehicle Floorplan Lender shall pay to the New Vehicle Floorplan Swing Line Lender its Applicable New Vehicle Floorplan Percentage thereof on demand of the Administrative Agent,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interest thereon from the date of such demand to the date such amount is returned, at a rate per annum equal to the Federal Funds Rate. The Administrative Agent will make such demand upon the request of the New Vehicle Floorplan Swing Line Lender. The obligations of the New Vehicle Floorplan Lenders under this clause shall survive the payment in full of the Obligations and the termination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u w:val="single"/>
        </w:rPr>
        <w:t>Interest for Account of New Vehicle Floorplan Swing Line Lender</w:t>
      </w:r>
      <w:r>
        <w:rPr>
          <w:rFonts w:ascii="Times New Roman;sans-serif" w:hAnsi="Times New Roman;sans-serif"/>
          <w:b w:val="false"/>
          <w:color w:val="000000"/>
          <w:sz w:val="22"/>
        </w:rPr>
        <w:t xml:space="preserve">. The New Vehicle Floorplan Swing Line Lender shall be responsible for invoicing the New Vehicle Borrowers for interest on the New Vehicle Floorplan Swing Line Loans. Until each New Vehicle Floorplan Lender funds its Daily Simple SOFR Committed Loan or risk participation pursuant to this </w:t>
      </w:r>
      <w:r>
        <w:rPr>
          <w:rFonts w:ascii="Times New Roman;sans-serif" w:hAnsi="Times New Roman;sans-serif"/>
          <w:b w:val="false"/>
          <w:color w:val="000000"/>
          <w:sz w:val="22"/>
          <w:u w:val="single"/>
        </w:rPr>
        <w:t>Section 2.07</w:t>
      </w:r>
      <w:r>
        <w:rPr>
          <w:color w:val="000000"/>
        </w:rPr>
        <w:t xml:space="preserve"> </w:t>
      </w:r>
      <w:r>
        <w:rPr>
          <w:rFonts w:ascii="Times New Roman;sans-serif" w:hAnsi="Times New Roman;sans-serif"/>
          <w:b w:val="false"/>
          <w:color w:val="000000"/>
          <w:sz w:val="22"/>
        </w:rPr>
        <w:t>to refinance such Lender’s Applicable New Vehicle Floorplan Percentage of any New Vehicle Floorplan Swing Line Loan, interest in respect of such Applicable New Vehicle Floorplan Percentage shall be solely for the account of the New Vehicle Floorplan Swing Line Lender.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Payments Directly to New Vehicle Floorplan Swing Line Lender</w:t>
      </w:r>
      <w:r>
        <w:rPr>
          <w:rFonts w:ascii="Times New Roman;sans-serif" w:hAnsi="Times New Roman;sans-serif"/>
          <w:b w:val="false"/>
          <w:color w:val="000000"/>
          <w:sz w:val="22"/>
        </w:rPr>
        <w:t>. Each New Vehicle Borrower shall make all payments of principal and interest in respect of the New Vehicle Floorplan Swing Line Loans directly to the New Vehicle Floorplan Swing Line Lender.</w:t>
      </w:r>
    </w:p>
    <w:p>
      <w:pPr>
        <w:pStyle w:val="TextBody"/>
        <w:bidi w:val="0"/>
        <w:spacing w:lineRule="auto" w:line="240" w:before="0" w:after="240"/>
        <w:ind w:left="0" w:right="0" w:firstLine="720"/>
        <w:jc w:val="both"/>
        <w:rPr/>
      </w:pPr>
      <w:r>
        <w:rPr>
          <w:rFonts w:ascii="Times New Roman;sans-serif" w:hAnsi="Times New Roman;sans-serif"/>
          <w:b/>
          <w:color w:val="000000"/>
          <w:sz w:val="22"/>
        </w:rPr>
        <w:t>2.08</w:t>
      </w:r>
      <w:r>
        <w:rPr>
          <w:rFonts w:ascii="Times New Roman;sans-serif" w:hAnsi="Times New Roman;sans-serif"/>
          <w:b/>
          <w:color w:val="000000"/>
          <w:sz w:val="22"/>
        </w:rPr>
        <w:t>New Vehicle Floorplan Overdrafts</w:t>
      </w:r>
      <w:r>
        <w:rPr>
          <w:rFonts w:ascii="Times New Roman;sans-serif" w:hAnsi="Times New Roman;sans-serif"/>
          <w:b w:val="false"/>
          <w:color w:val="000000"/>
          <w:sz w:val="22"/>
        </w:rPr>
        <w:t xml:space="preserve">. Notwithstanding the foregoing provisions of </w:t>
      </w:r>
      <w:r>
        <w:rPr>
          <w:rFonts w:ascii="Times New Roman;sans-serif" w:hAnsi="Times New Roman;sans-serif"/>
          <w:b w:val="false"/>
          <w:color w:val="000000"/>
          <w:sz w:val="22"/>
          <w:u w:val="single"/>
        </w:rPr>
        <w:t>Sections 2.05</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2.06</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2.07</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if the New Vehicle Floorplan Swing Line Lender has (acting in its discretion), according to the terms hereof, taken action to suspend or terminate Payment Commitments and/or Payoff Letter Commitments and such Payment Commitments and/or Payoff Letter Commitments, as the case may be, have in fact been suspended or terminated in accordance with their respective terms, then the New Vehicle Floorplan Swing Line Lender shall not fund any draft with respect to such Payment Commitments and/or Payoff Letter Commitments;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if on any day the conditions precedent set forth in </w:t>
      </w:r>
      <w:r>
        <w:rPr>
          <w:rFonts w:ascii="Times New Roman;sans-serif" w:hAnsi="Times New Roman;sans-serif"/>
          <w:b w:val="false"/>
          <w:color w:val="000000"/>
          <w:sz w:val="22"/>
          <w:u w:val="single"/>
        </w:rPr>
        <w:t>Section 4.03</w:t>
      </w:r>
      <w:r>
        <w:rPr>
          <w:color w:val="000000"/>
        </w:rPr>
        <w:t xml:space="preserve"> </w:t>
      </w:r>
      <w:r>
        <w:rPr>
          <w:rFonts w:ascii="Times New Roman;sans-serif" w:hAnsi="Times New Roman;sans-serif"/>
          <w:b w:val="false"/>
          <w:color w:val="000000"/>
          <w:sz w:val="22"/>
        </w:rPr>
        <w:t xml:space="preserve">have been satisfied and a draft with respect to a Payment Commitment or a Payoff Letter Commitment is presented for payment (or a New Vehicle Floorplan Swing Line Loan may be funded pursuant to </w:t>
      </w:r>
      <w:r>
        <w:rPr>
          <w:rFonts w:ascii="Times New Roman;sans-serif" w:hAnsi="Times New Roman;sans-serif"/>
          <w:b w:val="false"/>
          <w:color w:val="000000"/>
          <w:sz w:val="22"/>
          <w:u w:val="single"/>
        </w:rPr>
        <w:t>Section 6.11(b)(iii)</w:t>
      </w:r>
      <w:r>
        <w:rPr>
          <w:rFonts w:ascii="Times New Roman;sans-serif" w:hAnsi="Times New Roman;sans-serif"/>
          <w:b w:val="false"/>
          <w:color w:val="000000"/>
          <w:sz w:val="22"/>
        </w:rPr>
        <w:t xml:space="preserve">), the payment of which would cause (i) (A) the Outstanding Amount of all New Vehicle Floorplan Committed Loans,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(B) the Outstanding Amount of all New Vehicle Floorplan Swing Line Loans,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(C) the aggregate principal amount of all Requests for Credit Extensions of New Vehicle Floorplan Loans outstanding as of such day to exceed the Aggregate New Vehicle Floorplan Commitments as of such day or (ii) the Outstanding Amount of New Vehicle Floorplan Swing Line Loans to exceed the New Vehicle Floorplan Swing Line Sublimit, then, in such event: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(i)the Company or any New Vehicle Borrower may either immediately reduce any pending Requests for Credit Extensions (if any) of a New Vehicle Floorplan Committed Loan or make a payment of principal on New Vehicle Floorplan Committed Loans and/or New Vehicle Floorplan Swing Line Loans in an amount which would prevent the aggregate amounts described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367665"/>
                <wp:effectExtent l="0" t="0" r="0" b="0"/>
                <wp:wrapNone/>
                <wp:docPr id="255" name="Frame25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82</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 (A), (B) and (C) above from exceeding the Aggregate New Vehicle Floorplan Commitments; or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(ii)the Company may request an increase in the Aggregate New Vehicle Floorplan Commitments pursuant to </w:t>
      </w:r>
      <w:r>
        <w:rPr>
          <w:rFonts w:ascii="Times New Roman;sans-serif" w:hAnsi="Times New Roman;sans-serif"/>
          <w:b w:val="false"/>
          <w:color w:val="000000"/>
          <w:sz w:val="22"/>
          <w:u w:val="single"/>
        </w:rPr>
        <w:t>Section 2.22</w:t>
      </w:r>
      <w:r>
        <w:rPr>
          <w:rFonts w:ascii="Times New Roman;sans-serif" w:hAnsi="Times New Roman;sans-serif"/>
          <w:b w:val="false"/>
          <w:color w:val="000000"/>
          <w:sz w:val="22"/>
        </w:rPr>
        <w:t>, and such Payment Commitment or Payoff Letter Commitment shall be funded to the extent of such increase in accordance with said Section; or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(iii)regardless of whether the conditions of </w:t>
      </w:r>
      <w:r>
        <w:rPr>
          <w:rFonts w:ascii="Times New Roman;sans-serif" w:hAnsi="Times New Roman;sans-serif"/>
          <w:b w:val="false"/>
          <w:color w:val="000000"/>
          <w:sz w:val="22"/>
          <w:u w:val="single"/>
        </w:rPr>
        <w:t>Sections 4.02</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4.03</w:t>
      </w:r>
      <w:r>
        <w:rPr>
          <w:color w:val="000000"/>
        </w:rPr>
        <w:t xml:space="preserve"> </w:t>
      </w:r>
      <w:r>
        <w:rPr>
          <w:rFonts w:ascii="Times New Roman;sans-serif" w:hAnsi="Times New Roman;sans-serif"/>
          <w:b w:val="false"/>
          <w:color w:val="000000"/>
          <w:sz w:val="22"/>
        </w:rPr>
        <w:t xml:space="preserve">have otherwise been met, the New Vehicle Floorplan Swing Line Lender may in its sole and absolute discretion, but shall not be obligated to, fund the payment due under such Payment Commitment or Payoff Letter Commitment (or the New Vehicle Floorplan Swing Line Loan pursuant to </w:t>
      </w:r>
      <w:r>
        <w:rPr>
          <w:rFonts w:ascii="Times New Roman;sans-serif" w:hAnsi="Times New Roman;sans-serif"/>
          <w:b w:val="false"/>
          <w:color w:val="000000"/>
          <w:sz w:val="22"/>
          <w:u w:val="single"/>
        </w:rPr>
        <w:t>Section 6.11(b)(iii)</w:t>
      </w:r>
      <w:r>
        <w:rPr>
          <w:rFonts w:ascii="Times New Roman;sans-serif" w:hAnsi="Times New Roman;sans-serif"/>
          <w:b w:val="false"/>
          <w:color w:val="000000"/>
          <w:sz w:val="22"/>
        </w:rPr>
        <w:t>) in whole or in part (the amount of any such funding made by the New Vehicle Floorplan Swing Line Lender, the “</w:t>
      </w:r>
      <w:r>
        <w:rPr>
          <w:rFonts w:ascii="Times New Roman;sans-serif" w:hAnsi="Times New Roman;sans-serif"/>
          <w:b w:val="false"/>
          <w:color w:val="000000"/>
          <w:sz w:val="22"/>
          <w:u w:val="single"/>
        </w:rPr>
        <w:t>New Vehicle Floorplan Overdraft</w:t>
      </w:r>
      <w:r>
        <w:rPr>
          <w:color w:val="000000"/>
        </w:rPr>
        <w:t>”</w:t>
      </w:r>
      <w:r>
        <w:rPr>
          <w:rFonts w:ascii="Times New Roman;sans-serif" w:hAnsi="Times New Roman;sans-serif"/>
          <w:b w:val="false"/>
          <w:color w:val="000000"/>
          <w:sz w:val="22"/>
        </w:rPr>
        <w:t xml:space="preserve">). Nothing in this Agreement shall be construed as a commitment by or as requiring the New Vehicle Floorplan Swing Line Lender to fund any such New Vehicle Floorplan Overdraft; or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(iv)within five (5) Business Days after funding a New Vehicle Floorplan Overdraft, if the conditions to making a New Vehicle Floorplan Committed Loan are satisfied, the New Vehicle Floorplan Swing Line Lender (or, during any Asbury New Vehicle Control Period, the Company) shall request a New Vehicle Floorplan Committed Borrowing pursuant to </w:t>
      </w:r>
      <w:r>
        <w:rPr>
          <w:rFonts w:ascii="Times New Roman;sans-serif" w:hAnsi="Times New Roman;sans-serif"/>
          <w:b w:val="false"/>
          <w:color w:val="000000"/>
          <w:sz w:val="22"/>
          <w:u w:val="single"/>
        </w:rPr>
        <w:t>Section 2.06(a)</w:t>
      </w:r>
      <w:r>
        <w:rPr>
          <w:color w:val="000000"/>
        </w:rPr>
        <w:t xml:space="preserve"> </w:t>
      </w:r>
      <w:r>
        <w:rPr>
          <w:rFonts w:ascii="Times New Roman;sans-serif" w:hAnsi="Times New Roman;sans-serif"/>
          <w:b w:val="false"/>
          <w:color w:val="000000"/>
          <w:sz w:val="22"/>
        </w:rPr>
        <w:t xml:space="preserve">in an amount equal to the lesser of (i) the amount of such New Vehicle Floorplan Overdraft and (ii) the maximum amount then available to be borrowed under the New Vehicle Floorplan Commitments, and such New Vehicle Floorplan Committed Borrowing shall be applied to refinance the amount of such New Vehicle Floorplan Overdraft (or portion thereof, applicable). </w:t>
      </w:r>
    </w:p>
    <w:p>
      <w:pPr>
        <w:pStyle w:val="TextBody"/>
        <w:bidi w:val="0"/>
        <w:spacing w:lineRule="auto" w:line="240" w:before="0" w:after="240"/>
        <w:ind w:left="0" w:right="0" w:hanging="720"/>
        <w:jc w:val="both"/>
        <w:rPr/>
      </w:pPr>
      <w:r>
        <w:rPr>
          <w:rFonts w:ascii="Times New Roman;sans-serif" w:hAnsi="Times New Roman;sans-serif"/>
          <w:b/>
          <w:color w:val="000000"/>
          <w:sz w:val="22"/>
        </w:rPr>
        <w:t>2.09Electronic Processing and New Vehicle Floorplan Offset Account</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Electronic Processing</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The New Vehicle Borrowers may request New Vehicle Floorplan Loans electronically by access to Administrative Agent’s web based floorplan on-line system (“</w:t>
      </w:r>
      <w:r>
        <w:rPr>
          <w:rFonts w:ascii="Times New Roman;sans-serif" w:hAnsi="Times New Roman;sans-serif"/>
          <w:b w:val="false"/>
          <w:color w:val="000000"/>
          <w:sz w:val="22"/>
          <w:u w:val="single"/>
        </w:rPr>
        <w:t>Floorplan On-line System</w:t>
      </w:r>
      <w:r>
        <w:rPr>
          <w:color w:val="000000"/>
        </w:rPr>
        <w:t>”</w:t>
      </w:r>
      <w:r>
        <w:rPr>
          <w:rFonts w:ascii="Times New Roman;sans-serif" w:hAnsi="Times New Roman;sans-serif"/>
          <w:b w:val="false"/>
          <w:color w:val="000000"/>
          <w:sz w:val="22"/>
        </w:rPr>
        <w:t xml:space="preserve">) in accordance with and subject to the terms and conditions established between the Administrative Agent, the New Vehicle Floorplan Swing Line Lender and the Company from time to time. In connection with the New Vehicle Floorplan Facility, interest, curtailments and other payments pursuant to </w:t>
      </w:r>
      <w:r>
        <w:rPr>
          <w:rFonts w:ascii="Times New Roman;sans-serif" w:hAnsi="Times New Roman;sans-serif"/>
          <w:b w:val="false"/>
          <w:color w:val="000000"/>
          <w:sz w:val="22"/>
          <w:u w:val="single"/>
        </w:rPr>
        <w:t>Section 2.16(b)</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2.18(b)</w:t>
      </w:r>
      <w:r>
        <w:rPr>
          <w:color w:val="000000"/>
        </w:rPr>
        <w:t xml:space="preserve"> </w:t>
      </w:r>
      <w:r>
        <w:rPr>
          <w:rFonts w:ascii="Times New Roman;sans-serif" w:hAnsi="Times New Roman;sans-serif"/>
          <w:b w:val="false"/>
          <w:color w:val="000000"/>
          <w:sz w:val="22"/>
        </w:rPr>
        <w:t xml:space="preserve">or the Fee Letters or otherwise in respect of each New Vehicle, shall be automatically debited (i) if the applicable New Vehicle Borrower’s account is with Bank of America, on the Automatic Debit Date of each month and (ii) if the applicable New Vehicle Borrower’s account is not with Bank of America, one Business Day prior to the Automatic Debit Date of each month, in each case, pursuant to on-line procedures established and agreed to from time to time between such New Vehicle Borrower, the Administrative Agent and the New Vehicle Floorplan Swing Line Lender, including without limitation, automatic debits to cure Out of Balance conditions pursuant to </w:t>
      </w:r>
      <w:r>
        <w:rPr>
          <w:rFonts w:ascii="Times New Roman;sans-serif" w:hAnsi="Times New Roman;sans-serif"/>
          <w:b w:val="false"/>
          <w:color w:val="000000"/>
          <w:sz w:val="22"/>
          <w:u w:val="single"/>
        </w:rPr>
        <w:t>Section 8.04</w:t>
      </w:r>
      <w:r>
        <w:rPr>
          <w:rFonts w:ascii="Times New Roman;sans-serif" w:hAnsi="Times New Roman;sans-serif"/>
          <w:b w:val="false"/>
          <w:color w:val="000000"/>
          <w:sz w:val="22"/>
        </w:rPr>
        <w:t>. The New Vehicle Borrowers have requested access to the Floorplan On-line System to retrieve monthly bills, to permit the New Vehicle Borrowers to access certain account information relating to the New Vehicle Floorplan Loans and to facilitate the making of any payments or advances on the New Vehicle Floorplan Loans by authorizing the Administrative Agent and the New Vehicle Floorplan Swing Line Lender to debit or credit any one or more of the New Vehicle Borrowers’ deposit accounts with the Administrative Agent or the New Vehicle Floorplan Swing Line Lender. In consideration for the Administrative Agent’s and the New Vehicle Floorplan Swing Line Lender’s granting to the New Vehicle Borrowers access to the Floorplan On-line System to view loan account information and make payments, the New Vehicle Borrowers acknowledge responsibility for the security of such New Vehicle Borrowers’ passwords and other information necessary for access to Floorplan On-line System, and the Company and each New Vehicle Borrower fully, finally, and forever releases and discharges the Administrative Agent, the New Vehicle Floorplan Swing Line Lender and their employees, agents, and representatives from any and all causes of action, claims, debts, demands, and liabilities, of whatever kind or nature, in law or equity that the Company or any New Vehicle Borrower may now or hereafter have, in any way relating to the Company or any New Vehicle’s Borrower’s access to, or use of, the Floorplan On-line System, other than those arising out of the gross negligence, bad faith or willful misconduct of the Administrative Agent or the New Vehicle Floorplan Swing Line Lender.</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367665"/>
                <wp:effectExtent l="0" t="0" r="0" b="0"/>
                <wp:wrapNone/>
                <wp:docPr id="256" name="Frame25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83</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New Vehicle Floorplan Offset Account</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Creation of Account</w:t>
      </w:r>
      <w:r>
        <w:rPr>
          <w:rFonts w:ascii="Times New Roman;sans-serif" w:hAnsi="Times New Roman;sans-serif"/>
          <w:b w:val="false"/>
          <w:color w:val="000000"/>
          <w:sz w:val="22"/>
        </w:rPr>
        <w:t>. The Administrative Agent has established for the New Vehicle Borrowers a flooring line aggregate interest reduction account (the “</w:t>
      </w:r>
      <w:r>
        <w:rPr>
          <w:rFonts w:ascii="Times New Roman;sans-serif" w:hAnsi="Times New Roman;sans-serif"/>
          <w:b w:val="false"/>
          <w:color w:val="000000"/>
          <w:sz w:val="22"/>
          <w:u w:val="single"/>
        </w:rPr>
        <w:t>New Vehicle Floorplan Offset Account</w:t>
      </w:r>
      <w:r>
        <w:rPr>
          <w:color w:val="000000"/>
        </w:rPr>
        <w:t>”</w:t>
      </w:r>
      <w:r>
        <w:rPr>
          <w:rFonts w:ascii="Times New Roman;sans-serif" w:hAnsi="Times New Roman;sans-serif"/>
          <w:b w:val="false"/>
          <w:color w:val="000000"/>
          <w:sz w:val="22"/>
        </w:rPr>
        <w:t xml:space="preserve">). The New Vehicle Floorplan Offset Account is not a deposit account, and the New Vehicle Borrowers shall have no right or interest in any amounts in such account. The New Vehicle Floorplan Offset Account is intended to permit voluntary reductions in the principal amount of New Vehicle Floorplan Loans outstanding under this Agreement. Any amounts paid by the New Vehicle Borrowers into the New Vehicle Floorplan Offset Account will be available for re-advance to the New Vehicle Borrowers only in accordance with this </w:t>
      </w:r>
      <w:r>
        <w:rPr>
          <w:rFonts w:ascii="Times New Roman;sans-serif" w:hAnsi="Times New Roman;sans-serif"/>
          <w:b w:val="false"/>
          <w:color w:val="000000"/>
          <w:sz w:val="22"/>
          <w:u w:val="single"/>
        </w:rPr>
        <w:t>Section 2.09(b)</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Payments and Advances</w:t>
      </w:r>
      <w:r>
        <w:rPr>
          <w:rFonts w:ascii="Times New Roman;sans-serif" w:hAnsi="Times New Roman;sans-serif"/>
          <w:b w:val="false"/>
          <w:color w:val="000000"/>
          <w:sz w:val="22"/>
        </w:rPr>
        <w:t xml:space="preserve">. The New Vehicle Borrowers may, at their discretion, make payments to the New Vehicle Floorplan Offset Account, which payments shall represent and be deemed to be prepayments of New Vehicle Floorplan Loans for the pro rata benefit of the New Vehicle Floorplan Lenders,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Company shall notify the Administrative Agent of each such payment (which notification shall be made either before or promptly after such payment and may be accomplished through an electronic system acceptable to the Administrative Agent or pursuant to any applicable New Vehicle Autoborrow Agreement). The Administrative Agent may, in its sole discretion, distribute to Lenders as an actual prepayment of their outstanding New Vehicle Floorplan Loans any amounts received into the New Vehicle Floorplan Offset Account,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distributions shall not be deemed to reduce the size of the New Vehicle Floorplan Offset Account. So long as there is no continuing Default under this Agreement, amounts in the New Vehicle Floorplan Offset Account may be readvanced to the New Vehicle Borrowers (each such readvance, a “</w:t>
      </w:r>
      <w:r>
        <w:rPr>
          <w:rFonts w:ascii="Times New Roman;sans-serif" w:hAnsi="Times New Roman;sans-serif"/>
          <w:b w:val="false"/>
          <w:color w:val="000000"/>
          <w:sz w:val="22"/>
          <w:u w:val="single"/>
        </w:rPr>
        <w:t>New Vehicle Floorplan Offset Account Advance</w:t>
      </w:r>
      <w:r>
        <w:rPr>
          <w:color w:val="000000"/>
        </w:rPr>
        <w:t>”</w:t>
      </w:r>
      <w:r>
        <w:rPr>
          <w:rFonts w:ascii="Times New Roman;sans-serif" w:hAnsi="Times New Roman;sans-serif"/>
          <w:b w:val="false"/>
          <w:color w:val="000000"/>
          <w:sz w:val="22"/>
        </w:rPr>
        <w:t xml:space="preserve">) upon request by the Company,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Company shall promptly notify the Administrative Agent of each such New Vehicle Floorplan Offset Account Advance (which notification shall be made either before or promptly after such New Vehicle Floorplan Offset Account Advance and may be accomplished through an electronic system acceptable to the Administrative Agent or pursuant to any applicable New Vehicle Autoborrow Agreement). The New Vehicle Floorplan Offset Account Advances shall be subject to all the terms and conditions of this </w:t>
      </w:r>
      <w:r>
        <w:rPr>
          <w:rFonts w:ascii="Times New Roman;sans-serif" w:hAnsi="Times New Roman;sans-serif"/>
          <w:b w:val="false"/>
          <w:color w:val="000000"/>
          <w:sz w:val="22"/>
          <w:u w:val="single"/>
        </w:rPr>
        <w:t>Section 2.09(b)</w:t>
      </w:r>
      <w:r>
        <w:rPr>
          <w:rFonts w:ascii="Times New Roman;sans-serif" w:hAnsi="Times New Roman;sans-serif"/>
          <w:b w:val="false"/>
          <w:color w:val="000000"/>
          <w:sz w:val="22"/>
        </w:rPr>
        <w:t xml:space="preserve">. Each New Vehicle Floorplan Offset Account Advance shall be made as a Daily Simple SOFR Loan, subject to conversion to a different Type in accordance with the terms of this Agreement (except to the extent that such New Vehicle Floorplan Offset Account Advance is made using a New Vehicle Floorplan Swing Line Loan pursuant to </w:t>
      </w:r>
      <w:r>
        <w:rPr>
          <w:rFonts w:ascii="Times New Roman;sans-serif" w:hAnsi="Times New Roman;sans-serif"/>
          <w:b w:val="false"/>
          <w:color w:val="000000"/>
          <w:sz w:val="22"/>
          <w:u w:val="single"/>
        </w:rPr>
        <w:t>Section 6.11(b)(iii)</w:t>
      </w:r>
      <w:r>
        <w:rPr>
          <w:rFonts w:ascii="Times New Roman;sans-serif" w:hAnsi="Times New Roman;sans-serif"/>
          <w:b w:val="false"/>
          <w:color w:val="000000"/>
          <w:sz w:val="22"/>
        </w:rPr>
        <w:t>). Each payment to the New Vehicle Floorplan Offset Account and each New Vehicle Floorplan Offset Account Advance shall be in an amount of at least $1,000,000. The amount credited to the New Vehicle Floorplan Offset Account shall be reduced by the amount of New Vehicle Floorplan Offset Account Advances from time to time.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(iii)</w:t>
      </w:r>
      <w:r>
        <w:rPr>
          <w:rFonts w:ascii="Times New Roman;sans-serif" w:hAnsi="Times New Roman;sans-serif"/>
          <w:b w:val="false"/>
          <w:color w:val="000000"/>
          <w:sz w:val="22"/>
          <w:u w:val="single"/>
        </w:rPr>
        <w:t>Application to Reduce Principal</w:t>
      </w:r>
      <w:r>
        <w:rPr>
          <w:rFonts w:ascii="Times New Roman;sans-serif" w:hAnsi="Times New Roman;sans-serif"/>
          <w:b w:val="false"/>
          <w:color w:val="000000"/>
          <w:sz w:val="22"/>
        </w:rPr>
        <w:t>. For purposes of computing the interest due with respect to Total New Vehicle Floorplan Outstandings for any day, the Outstanding Amount of New Vehicle Floorplan Loans on such day shall be reduced by the Floorplan Interest Offset as of the close of business on such day (such reduction, the “</w:t>
      </w:r>
      <w:r>
        <w:rPr>
          <w:rFonts w:ascii="Times New Roman;sans-serif" w:hAnsi="Times New Roman;sans-serif"/>
          <w:b w:val="false"/>
          <w:color w:val="000000"/>
          <w:sz w:val="22"/>
          <w:u w:val="single"/>
        </w:rPr>
        <w:t>Applicable Floorplan Principal Reduction</w:t>
      </w:r>
      <w:r>
        <w:rPr>
          <w:color w:val="000000"/>
        </w:rPr>
        <w:t>”</w:t>
      </w:r>
      <w:r>
        <w:rPr>
          <w:rFonts w:ascii="Times New Roman;sans-serif" w:hAnsi="Times New Roman;sans-serif"/>
          <w:b w:val="false"/>
          <w:color w:val="000000"/>
          <w:sz w:val="22"/>
        </w:rPr>
        <w:t xml:space="preserve">) and interest will be determined as provided in </w:t>
      </w:r>
      <w:r>
        <w:rPr>
          <w:rFonts w:ascii="Times New Roman;sans-serif" w:hAnsi="Times New Roman;sans-serif"/>
          <w:b w:val="false"/>
          <w:color w:val="000000"/>
          <w:sz w:val="22"/>
          <w:u w:val="single"/>
        </w:rPr>
        <w:t>Section 2.16(b)</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notwithstanding the amount on deposit in the New Vehicle Floorplan Offset Account at any time, the maximum amount of the Applicable Floorplan Principal Reduction under this </w:t>
      </w:r>
      <w:r>
        <w:rPr>
          <w:rFonts w:ascii="Times New Roman;sans-serif" w:hAnsi="Times New Roman;sans-serif"/>
          <w:b w:val="false"/>
          <w:color w:val="000000"/>
          <w:sz w:val="22"/>
          <w:u w:val="single"/>
        </w:rPr>
        <w:t>Section 2.09</w:t>
      </w:r>
      <w:r>
        <w:rPr>
          <w:color w:val="000000"/>
        </w:rPr>
        <w:t xml:space="preserve"> </w:t>
      </w:r>
      <w:r>
        <w:rPr>
          <w:rFonts w:ascii="Times New Roman;sans-serif" w:hAnsi="Times New Roman;sans-serif"/>
          <w:b w:val="false"/>
          <w:color w:val="000000"/>
          <w:sz w:val="22"/>
        </w:rPr>
        <w:t xml:space="preserve">for any day shall be limited to an amount equal to the Outstanding Amount of New Vehicle Floorplan Loans on such day. Notwithstanding anything herein to the contrary: (A) the Applicable Floorplan Principal Reduction on any day: (1) shall be deemed to reduce the Outstanding Amount of New Vehicle Floorplan Committed Loans for purposes of calculating the commitment fee for such day under </w:t>
      </w:r>
      <w:r>
        <w:rPr>
          <w:rFonts w:ascii="Times New Roman;sans-serif" w:hAnsi="Times New Roman;sans-serif"/>
          <w:b w:val="false"/>
          <w:color w:val="000000"/>
          <w:sz w:val="22"/>
          <w:u w:val="single"/>
        </w:rPr>
        <w:t>Section 2.17</w:t>
      </w:r>
      <w:r>
        <w:rPr>
          <w:color w:val="000000"/>
        </w:rPr>
        <w:t xml:space="preserve"> </w:t>
      </w:r>
      <w:r>
        <w:rPr>
          <w:rFonts w:ascii="Times New Roman;sans-serif" w:hAnsi="Times New Roman;sans-serif"/>
          <w:b w:val="false"/>
          <w:color w:val="000000"/>
          <w:sz w:val="22"/>
        </w:rPr>
        <w:t xml:space="preserve">and (2) (to the extent that amounts in the New Vehicle Floorplan Offset Account have been distributed to any Lenders as a prepayment of their New Vehicle Floorplan Loans) shall reduce the Outstanding Amount of New Vehicle Floorplan Loans for purposes of determining any remaining availability under the New Vehicle Floorplan Commitment; and (B) the Applicable Floorplan Principal Reduction shall </w:t>
      </w:r>
      <w:r>
        <w:rPr>
          <w:rFonts w:ascii="Times New Roman;sans-serif" w:hAnsi="Times New Roman;sans-serif"/>
          <w:b w:val="false"/>
          <w:color w:val="000000"/>
          <w:sz w:val="22"/>
          <w:u w:val="single"/>
        </w:rPr>
        <w:t>not</w:t>
      </w:r>
      <w:r>
        <w:rPr>
          <w:rFonts w:ascii="Times New Roman;sans-serif" w:hAnsi="Times New Roman;sans-serif"/>
          <w:b w:val="false"/>
          <w:color w:val="000000"/>
          <w:sz w:val="22"/>
        </w:rPr>
        <w:t>: (1) limit or modify any principal payment requirements; (2) be used for the satisfaction of any curtailment requirements or (3) modify any other terms set forth elsewhere in this Agreement.</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367665"/>
                <wp:effectExtent l="0" t="0" r="0" b="0"/>
                <wp:wrapNone/>
                <wp:docPr id="257" name="Frame25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84</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(iv)</w:t>
      </w:r>
      <w:r>
        <w:rPr>
          <w:rFonts w:ascii="Times New Roman;sans-serif" w:hAnsi="Times New Roman;sans-serif"/>
          <w:b w:val="false"/>
          <w:color w:val="000000"/>
          <w:sz w:val="22"/>
          <w:u w:val="single"/>
        </w:rPr>
        <w:t>Termination of New Vehicle Floorplan Offset Account</w:t>
      </w:r>
      <w:r>
        <w:rPr>
          <w:rFonts w:ascii="Times New Roman;sans-serif" w:hAnsi="Times New Roman;sans-serif"/>
          <w:b w:val="false"/>
          <w:color w:val="000000"/>
          <w:sz w:val="22"/>
        </w:rPr>
        <w:t xml:space="preserve">. At any time, upon ten days written notice to the Company, the Administrative Agent may terminate the New Vehicle Floorplan Offset Account provided by this </w:t>
      </w:r>
      <w:r>
        <w:rPr>
          <w:rFonts w:ascii="Times New Roman;sans-serif" w:hAnsi="Times New Roman;sans-serif"/>
          <w:b w:val="false"/>
          <w:color w:val="000000"/>
          <w:sz w:val="22"/>
          <w:u w:val="single"/>
        </w:rPr>
        <w:t>Section 2.09(b)</w:t>
      </w:r>
      <w:r>
        <w:rPr>
          <w:color w:val="000000"/>
        </w:rPr>
        <w:t xml:space="preserve"> </w:t>
      </w:r>
      <w:r>
        <w:rPr>
          <w:rFonts w:ascii="Times New Roman;sans-serif" w:hAnsi="Times New Roman;sans-serif"/>
          <w:b w:val="false"/>
          <w:color w:val="000000"/>
          <w:sz w:val="22"/>
        </w:rPr>
        <w:t>if the Administrative Agent determines, in its reasonable discretion, that continuation of the New Vehicle Floorplan Offset Account would have an adverse effect on the Administrative Agent or any New Vehicle</w:t>
      </w:r>
      <w:r>
        <w:rPr>
          <w:color w:val="000000"/>
          <w:u w:val="single"/>
        </w:rPr>
        <w:t xml:space="preserve"> </w:t>
      </w:r>
      <w:r>
        <w:rPr>
          <w:rFonts w:ascii="Times New Roman;sans-serif" w:hAnsi="Times New Roman;sans-serif"/>
          <w:b w:val="false"/>
          <w:color w:val="000000"/>
          <w:sz w:val="22"/>
        </w:rPr>
        <w:t xml:space="preserve">Floorplan Lender. In addition, the Administrative Agent may terminate the New Vehicle Floorplan Offset Account without prior notice upon the occurrence and during the continuance of any Event of Default. Upon any such termination of the New Vehicle Floorplan Offset Account, the amounts on deposit therein shall be applied to the prepayment of New Vehicle Floorplan Loans under </w:t>
      </w:r>
      <w:r>
        <w:rPr>
          <w:rFonts w:ascii="Times New Roman;sans-serif" w:hAnsi="Times New Roman;sans-serif"/>
          <w:b w:val="false"/>
          <w:color w:val="000000"/>
          <w:sz w:val="22"/>
          <w:u w:val="single"/>
        </w:rPr>
        <w:t>Section 2.13</w:t>
      </w:r>
      <w:r>
        <w:rPr>
          <w:rFonts w:ascii="Times New Roman;sans-serif" w:hAnsi="Times New Roman;sans-serif"/>
          <w:b w:val="false"/>
          <w:color w:val="000000"/>
          <w:sz w:val="22"/>
        </w:rPr>
        <w:t xml:space="preserve">, or, at the option of the Company, so long as no Event of Default has occurred and is continuing, remitted to the Company on behalf of the New Vehicle Borrowers. </w:t>
      </w:r>
    </w:p>
    <w:p>
      <w:pPr>
        <w:pStyle w:val="TextBody"/>
        <w:bidi w:val="0"/>
        <w:spacing w:lineRule="auto" w:line="240" w:before="0" w:after="240"/>
        <w:ind w:left="0" w:right="0" w:firstLine="720"/>
        <w:jc w:val="both"/>
        <w:rPr/>
      </w:pPr>
      <w:r>
        <w:rPr>
          <w:rFonts w:ascii="Times New Roman;sans-serif" w:hAnsi="Times New Roman;sans-serif"/>
          <w:b/>
          <w:color w:val="000000"/>
          <w:sz w:val="22"/>
        </w:rPr>
        <w:t>2.10</w:t>
      </w:r>
      <w:r>
        <w:rPr>
          <w:rFonts w:ascii="Times New Roman;sans-serif" w:hAnsi="Times New Roman;sans-serif"/>
          <w:b/>
          <w:color w:val="000000"/>
          <w:sz w:val="22"/>
        </w:rPr>
        <w:t>Used Vehicle Floorplan Committed Loans</w:t>
      </w:r>
      <w:r>
        <w:rPr>
          <w:rFonts w:ascii="Times New Roman;sans-serif" w:hAnsi="Times New Roman;sans-serif"/>
          <w:b w:val="false"/>
          <w:color w:val="000000"/>
          <w:sz w:val="22"/>
        </w:rPr>
        <w:t>. Subject to the terms and conditions set forth herein, each Used Vehicle Floorplan Lender severally agrees to make loans (each such loan, a “</w:t>
      </w:r>
      <w:r>
        <w:rPr>
          <w:rFonts w:ascii="Times New Roman;sans-serif" w:hAnsi="Times New Roman;sans-serif"/>
          <w:b w:val="false"/>
          <w:color w:val="000000"/>
          <w:sz w:val="22"/>
          <w:u w:val="single"/>
        </w:rPr>
        <w:t>Used Vehicle Floorplan Committed Loan</w:t>
      </w:r>
      <w:r>
        <w:rPr>
          <w:color w:val="000000"/>
        </w:rPr>
        <w:t>”</w:t>
      </w:r>
      <w:r>
        <w:rPr>
          <w:rFonts w:ascii="Times New Roman;sans-serif" w:hAnsi="Times New Roman;sans-serif"/>
          <w:b w:val="false"/>
          <w:color w:val="000000"/>
          <w:sz w:val="22"/>
        </w:rPr>
        <w:t xml:space="preserve">) to the Used Vehicle Borrowers from time to time, on any Business Day during the Availability Period, in an aggregate amount not to exceed at any time outstanding the amount of such Used Vehicle Floorplan Lender’s Used Vehicle Floorplan Commitment;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after giving effect to any Used Vehicle Floorplan Committed Borrowing, (i) the Total Outstandings shall not exceed the Aggregate Commitments, (ii) the Total Used Vehicle Floorplan Outstandings shall not exceed the lesser of the Aggregate Used Vehicle Floorplan Commitments or the Used Vehicle Floorplan Borrowing Base, and (iii) the aggregate Outstanding Amount of the Used Vehicle Floorplan Committed Loans of any Used Vehicle Floorplan Lender,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such Lender’s Applicable Used Vehicle Floorplan Percentage of the Outstanding Amount of all Used Vehicle Floorplan Swing Line Loans shall not exceed such Lender’s Used Vehicle Floorplan Commitment. Within the limits of each Used Vehicle Floorplan Lender’s Used Vehicle Floorplan Commitment, and subject to the other terms and conditions hereof, the Used Vehicle Borrowers may borrow under this </w:t>
      </w:r>
      <w:r>
        <w:rPr>
          <w:rFonts w:ascii="Times New Roman;sans-serif" w:hAnsi="Times New Roman;sans-serif"/>
          <w:b w:val="false"/>
          <w:color w:val="000000"/>
          <w:sz w:val="22"/>
          <w:u w:val="single"/>
        </w:rPr>
        <w:t>Section 2.10</w:t>
      </w:r>
      <w:r>
        <w:rPr>
          <w:rFonts w:ascii="Times New Roman;sans-serif" w:hAnsi="Times New Roman;sans-serif"/>
          <w:b w:val="false"/>
          <w:color w:val="000000"/>
          <w:sz w:val="22"/>
        </w:rPr>
        <w:t xml:space="preserve">, prepay under </w:t>
      </w:r>
      <w:r>
        <w:rPr>
          <w:rFonts w:ascii="Times New Roman;sans-serif" w:hAnsi="Times New Roman;sans-serif"/>
          <w:b w:val="false"/>
          <w:color w:val="000000"/>
          <w:sz w:val="22"/>
          <w:u w:val="single"/>
        </w:rPr>
        <w:t>Section 2.13</w:t>
      </w:r>
      <w:r>
        <w:rPr>
          <w:rFonts w:ascii="Times New Roman;sans-serif" w:hAnsi="Times New Roman;sans-serif"/>
          <w:b w:val="false"/>
          <w:color w:val="000000"/>
          <w:sz w:val="22"/>
        </w:rPr>
        <w:t xml:space="preserve">, and reborrow under this </w:t>
      </w:r>
      <w:r>
        <w:rPr>
          <w:rFonts w:ascii="Times New Roman;sans-serif" w:hAnsi="Times New Roman;sans-serif"/>
          <w:b w:val="false"/>
          <w:color w:val="000000"/>
          <w:sz w:val="22"/>
          <w:u w:val="single"/>
        </w:rPr>
        <w:t>Section 2.10</w:t>
      </w:r>
      <w:r>
        <w:rPr>
          <w:rFonts w:ascii="Times New Roman;sans-serif" w:hAnsi="Times New Roman;sans-serif"/>
          <w:b w:val="false"/>
          <w:color w:val="000000"/>
          <w:sz w:val="22"/>
        </w:rPr>
        <w:t>. Used Vehicle Floorplan Committed Loans may be Base Rate Loans or Daily Simple SOFR Loans, as further provided herein.</w:t>
      </w:r>
    </w:p>
    <w:p>
      <w:pPr>
        <w:pStyle w:val="TextBody"/>
        <w:bidi w:val="0"/>
        <w:spacing w:lineRule="auto" w:line="240" w:before="0" w:after="240"/>
        <w:ind w:left="0" w:right="0" w:hanging="720"/>
        <w:jc w:val="both"/>
        <w:rPr/>
      </w:pPr>
      <w:r>
        <w:rPr>
          <w:rFonts w:ascii="Times New Roman;sans-serif" w:hAnsi="Times New Roman;sans-serif"/>
          <w:b/>
          <w:color w:val="000000"/>
          <w:sz w:val="22"/>
        </w:rPr>
        <w:t>2.11Borrowings, Conversions and Continuations of Used Vehicle Floorplan Committed Loans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Each Used Vehicle Floorplan Committed Borrowing and each conversion of Used Vehicle Floorplan Committed Loans from one Type to the other, shall be made upon the Company’s irrevocable notice to the Administrative Agent, which may be given by (A) telephone, or (B) a Used Vehicle Floorplan Committed Loan Notice; provided that any telephonic notice must be confirmed promptly by delivery to the Administrative Agent of a Used Vehicle Floorplan Committed Loan Notice. Each such Used Vehicle Floorplan Committed Loan Notice must be received by the Administrative Agent not later than 1:00 p.m. (i) one Business Day prior to the requested date of any Used Vehicle Floorplan Borrowing of Daily Simple SOFR Loans or of any conversion of Daily Simple SOFR Loans to Base Rate Committed Loans or of any conversion of Base Rate Committed Loans to Daily Simple SOFR Loans, and (ii) one Business Day prior to the requested date of any Borrowing of Base Rate Committed Loans. Each Borrowing of or conversion to Daily Simple SOFR Loans shall be in a principal amount of $5,000,000 or a whole multiple of $1,000,000 in excess thereof. Except as provided in Section 2.11(c), each Borrowing of or conversion to Base Rate Committed Loans shall be in a principal amount of $1,000,000 or a whole multiple of $100,000 in excess thereof. Each Used Vehicle Floorplan Committed Loan Notice shall specify (i) whether the Company is requesting a Used Vehicle Floorplan Committed Borrowing, a conversion of Used Vehicle Floorplan Committed Loans from one Type to the other, (ii) the requested date of the Borrowing or conversion, as the case may be (which shall be a Business Day), (iii) the principal amount of Used Vehicle Floorplan Committed Loans to be borrowed or converted, (iv) the Type of Used Vehicle Floorplan Committed Loans to be borrowed or to which existing Used Vehicle Floorplan Committed Loans are to be converted and (v) the applicable Borrower. If the Company fails to provide a timely Used Vehicle Floorplan Committed Loan Notice requesting a conversion of Daily Simple SOFR Loans to Base Rate Loans, such Loans shall, subject to Article III, continue as Daily Simple SOFR Loans. If the Company fails to specify a Type of Used Vehicle Floorplan Committed Loan in a Used Vehicle Floorplan Committed Loan Notice, then the applicable Used Vehicle Floorplan Committed Loans shall, subject to Article III, be made as, or converted to, Daily Simple SOFR Loans.</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367665"/>
                <wp:effectExtent l="0" t="0" r="0" b="0"/>
                <wp:wrapNone/>
                <wp:docPr id="258" name="Frame25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85</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Following receipt of a Used Vehicle Floorplan Committed Loan Notice, the Administrative Agent shall promptly notify each Used Vehicle Floorplan Lender of the amount of its Applicable Used Vehicle Floorplan Percentage of the applicable Used Vehicle Floorplan Committed Loans. Each Lender shall make the amount of its Used Vehicle Floorplan Committed Loan available to the Administrative Agent in immediately available funds at the Administrative Agent’s Office not later than 1:00 p.m. on the Business Day specified in the applicable Used Vehicle Floorplan Committed Loan Notice. Upon satisfaction of the applicable conditions set forth in </w:t>
      </w:r>
      <w:r>
        <w:rPr>
          <w:rFonts w:ascii="Times New Roman;sans-serif" w:hAnsi="Times New Roman;sans-serif"/>
          <w:b w:val="false"/>
          <w:color w:val="000000"/>
          <w:sz w:val="22"/>
          <w:u w:val="single"/>
        </w:rPr>
        <w:t>Section 4.02</w:t>
      </w:r>
      <w:r>
        <w:rPr>
          <w:color w:val="000000"/>
        </w:rPr>
        <w:t xml:space="preserve"> </w:t>
      </w:r>
      <w:r>
        <w:rPr>
          <w:rFonts w:ascii="Times New Roman;sans-serif" w:hAnsi="Times New Roman;sans-serif"/>
          <w:b w:val="false"/>
          <w:color w:val="000000"/>
          <w:sz w:val="22"/>
        </w:rPr>
        <w:t xml:space="preserve">(and, if such Borrowing is an initial Credit Extension, </w:t>
      </w:r>
      <w:r>
        <w:rPr>
          <w:rFonts w:ascii="Times New Roman;sans-serif" w:hAnsi="Times New Roman;sans-serif"/>
          <w:b w:val="false"/>
          <w:color w:val="000000"/>
          <w:sz w:val="22"/>
          <w:u w:val="single"/>
        </w:rPr>
        <w:t>Section 4.01</w:t>
      </w:r>
      <w:r>
        <w:rPr>
          <w:rFonts w:ascii="Times New Roman;sans-serif" w:hAnsi="Times New Roman;sans-serif"/>
          <w:b w:val="false"/>
          <w:color w:val="000000"/>
          <w:sz w:val="22"/>
        </w:rPr>
        <w:t>), the Administrative Agent shall make all funds so received available to the applicable Borrower in like funds as received by the Administrative Agent by crediting the account of such Borrower on the books of Bank of America with the amount of such funds.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At any time that Base Rate Loans are outstanding, the Administrative Agent shall notify the Company and the Used Vehicle Floorplan Lenders of any change in Bank of America’s prime rate used in determining the Base Rate promptly following the public announcement of such change.</w:t>
      </w:r>
    </w:p>
    <w:p>
      <w:pPr>
        <w:pStyle w:val="TextBody"/>
        <w:bidi w:val="0"/>
        <w:spacing w:lineRule="auto" w:line="240" w:before="0" w:after="240"/>
        <w:ind w:left="0" w:right="0" w:hanging="720"/>
        <w:jc w:val="both"/>
        <w:rPr/>
      </w:pPr>
      <w:r>
        <w:rPr>
          <w:rFonts w:ascii="Times New Roman;sans-serif" w:hAnsi="Times New Roman;sans-serif"/>
          <w:b/>
          <w:color w:val="000000"/>
          <w:sz w:val="22"/>
        </w:rPr>
        <w:t>2.12Used Vehicle Floorplan Swing Line Loans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The Used Vehicle Floorplan Swing Line</w:t>
      </w:r>
      <w:r>
        <w:rPr>
          <w:rFonts w:ascii="Times New Roman;sans-serif" w:hAnsi="Times New Roman;sans-serif"/>
          <w:b w:val="false"/>
          <w:color w:val="000000"/>
          <w:sz w:val="22"/>
        </w:rPr>
        <w:t xml:space="preserve">. Subject to the terms and conditions set forth herein and in the Used Vehicle Autoborrow Agreement, the Used Vehicle Floorplan Swing Line Lender agrees, in reliance upon the agreements of the other Used Vehicle Floorplan Lenders set forth in this </w:t>
      </w:r>
      <w:r>
        <w:rPr>
          <w:rFonts w:ascii="Times New Roman;sans-serif" w:hAnsi="Times New Roman;sans-serif"/>
          <w:b w:val="false"/>
          <w:color w:val="000000"/>
          <w:sz w:val="22"/>
          <w:u w:val="single"/>
        </w:rPr>
        <w:t>Section 2.12</w:t>
      </w:r>
      <w:r>
        <w:rPr>
          <w:rFonts w:ascii="Times New Roman;sans-serif" w:hAnsi="Times New Roman;sans-serif"/>
          <w:b w:val="false"/>
          <w:color w:val="000000"/>
          <w:sz w:val="22"/>
        </w:rPr>
        <w:t>, to make loans (each such loan, a “</w:t>
      </w:r>
      <w:r>
        <w:rPr>
          <w:rFonts w:ascii="Times New Roman;sans-serif" w:hAnsi="Times New Roman;sans-serif"/>
          <w:b w:val="false"/>
          <w:color w:val="000000"/>
          <w:sz w:val="22"/>
          <w:u w:val="single"/>
        </w:rPr>
        <w:t>Used Vehicle Floorplan Swing Line Loan</w:t>
      </w:r>
      <w:r>
        <w:rPr>
          <w:color w:val="000000"/>
        </w:rPr>
        <w:t>”</w:t>
      </w:r>
      <w:r>
        <w:rPr>
          <w:rFonts w:ascii="Times New Roman;sans-serif" w:hAnsi="Times New Roman;sans-serif"/>
          <w:b w:val="false"/>
          <w:color w:val="000000"/>
          <w:sz w:val="22"/>
        </w:rPr>
        <w:t xml:space="preserve">) to the Company from time to time on any Business Day during the Availability Period in an aggregate amount not to exceed at any time outstanding the amount of the Used Vehicle Floorplan Swing Line Sublimit, notwithstanding the fact that such Used Vehicle Floorplan Swing Line Loans, when aggregated with the Applicable Used Vehicle Floorplan Percentage of the Outstanding Amount of Used Vehicle Floorplan Committed Loans of the Used Vehicle Floorplan Lender acting as Used Vehicle Floorplan Swing Line Lender, may exceed the amount of such Used Vehicle Floorplan Lender’s Used Vehicle Floorplan Commitment;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(i) after giving effect to any Used Vehicle Floorplan Swing Line Loan (x) the Total Outstandings shall not exceed the Aggregate Commitments, (y) the Total Used Vehicle Floorplan Outstandings shall not exceed the lesser of the Aggregate Used Vehicle Floorplan Commitments or the Used Vehicle Floorplan Borrowing Base, and (z) the aggregate Outstanding Amount of the Used Vehicle Floorplan Committed Loans of any Used Vehicle Floorplan Lender,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such Lender’s Applicable Used Vehicle Floorplan Percentage of the Outstanding Amount of all Used Vehicle Floorplan Swing Line Loans shall not exceed such Lender’s Used Vehicle Floorplan Commitment, and (ii) the Used Vehicle Floorplan Swing Line Lender shall not be under any obligation to make any such Used Vehicle Floorplan Swing Line Loan if any Lender is at such time a Defaulting Lender, unless the Used Vehicle Floorplan Swing Line Lender has entered into arrangements, including the delivery of Cash Collateral, satisfactory to the Used Vehicle Floorplan Swing Line Lender (in its sole discretion) with the Company or such Defaulting Lender to eliminate such Used Vehicle Floorplan Swing Line Lender’s actual or potential Fronting Exposure (after giving effect to </w:t>
      </w:r>
      <w:r>
        <w:rPr>
          <w:rFonts w:ascii="Times New Roman;sans-serif" w:hAnsi="Times New Roman;sans-serif"/>
          <w:b w:val="false"/>
          <w:color w:val="000000"/>
          <w:sz w:val="22"/>
          <w:u w:val="single"/>
        </w:rPr>
        <w:t>Section 2.27(a)(iv)</w:t>
      </w:r>
      <w:r>
        <w:rPr>
          <w:rFonts w:ascii="Times New Roman;sans-serif" w:hAnsi="Times New Roman;sans-serif"/>
          <w:b w:val="false"/>
          <w:color w:val="000000"/>
          <w:sz w:val="22"/>
        </w:rPr>
        <w:t xml:space="preserve">) with respect to the Defaulting Lender arising from either the Used Vehicle Floorplan Swing Line Loan then proposed to be made or that Used Vehicle Floorplan Swing Line Loan and all other Used Vehicle Floorplan Swing Line Loans then outstanding as to which the Used Vehicle Floorplan Swing Line Lender has actual or potential Fronting Exposure, as it may elect in its sole discretion; and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(subject to the terms of any Used Vehicle Autoborrow Agreement that may be in effect) the Company shall not use the proceeds of any Used Vehicle Floorplan Swing Line Loan to refinance any outstanding Used Vehicle Floorplan Swing Line Loan. Within the foregoing limits, and subject to the other terms and conditions hereof, the Company, may borrow under this </w:t>
      </w:r>
      <w:r>
        <w:rPr>
          <w:rFonts w:ascii="Times New Roman;sans-serif" w:hAnsi="Times New Roman;sans-serif"/>
          <w:b w:val="false"/>
          <w:color w:val="000000"/>
          <w:sz w:val="22"/>
          <w:u w:val="single"/>
        </w:rPr>
        <w:t>Section 2.12</w:t>
      </w:r>
      <w:r>
        <w:rPr>
          <w:rFonts w:ascii="Times New Roman;sans-serif" w:hAnsi="Times New Roman;sans-serif"/>
          <w:b w:val="false"/>
          <w:color w:val="000000"/>
          <w:sz w:val="22"/>
        </w:rPr>
        <w:t xml:space="preserve">, prepay under </w:t>
      </w:r>
      <w:r>
        <w:rPr>
          <w:rFonts w:ascii="Times New Roman;sans-serif" w:hAnsi="Times New Roman;sans-serif"/>
          <w:b w:val="false"/>
          <w:color w:val="000000"/>
          <w:sz w:val="22"/>
          <w:u w:val="single"/>
        </w:rPr>
        <w:t>Section 2.13</w:t>
      </w:r>
      <w:r>
        <w:rPr>
          <w:rFonts w:ascii="Times New Roman;sans-serif" w:hAnsi="Times New Roman;sans-serif"/>
          <w:b w:val="false"/>
          <w:color w:val="000000"/>
          <w:sz w:val="22"/>
        </w:rPr>
        <w:t xml:space="preserve">, and reborrow under this </w:t>
      </w:r>
      <w:r>
        <w:rPr>
          <w:rFonts w:ascii="Times New Roman;sans-serif" w:hAnsi="Times New Roman;sans-serif"/>
          <w:b w:val="false"/>
          <w:color w:val="000000"/>
          <w:sz w:val="22"/>
          <w:u w:val="single"/>
        </w:rPr>
        <w:t>Section 2.12</w:t>
      </w:r>
      <w:r>
        <w:rPr>
          <w:rFonts w:ascii="Times New Roman;sans-serif" w:hAnsi="Times New Roman;sans-serif"/>
          <w:b w:val="false"/>
          <w:color w:val="000000"/>
          <w:sz w:val="22"/>
        </w:rPr>
        <w:t>. Each Used Vehicle Floorplan Swing Line Loan may be a Base Rate Loan or a Daily Simple SOFR Loan. Immediately upon the making of a Used Vehicle Floorplan Swing Line Loan, each Used Vehicle Floorplan Lender shall be deemed to, and hereby irrevocably and unconditionally agrees to, purchase from the Used Vehicle Floorplan Swing Line Lender a risk participation in such Used Vehicle Floorplan Swing Line Loan in an amount equal to the product of such Lender’s Applicable Used Vehicle Floorplan Percentage times the amount of such Used Vehicle Floorplan Swing Line Loan.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Borrowing Procedures</w:t>
      </w:r>
      <w:r>
        <w:rPr>
          <w:rFonts w:ascii="Times New Roman;sans-serif" w:hAnsi="Times New Roman;sans-serif"/>
          <w:b w:val="false"/>
          <w:color w:val="000000"/>
          <w:sz w:val="22"/>
        </w:rPr>
        <w:t xml:space="preserve">. At any time a Used Vehicle Autoborrow Agreement is not in effect, each Used Vehicle Floorplan Swing Line Borrowing and each conversion of Used Vehicle Floorplan Swing Line Loans from one type to the other shall be made upon the Company’s irrevocable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367665"/>
                <wp:effectExtent l="0" t="0" r="0" b="0"/>
                <wp:wrapNone/>
                <wp:docPr id="259" name="Frame25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86</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notice to the Used Vehicle Floorplan Swing Line Lender and the Administrative Agent, which may be given by (A) telephone or (B) by a Used Vehicle Floorplan Swing Line Loan Notice. Each such Used Vehicle Floorplan Swing Line Loan Notice must be received by the Used Vehicle Floorplan Swing Line Lender and the Administrative Agent not later than 1:00 p.m. on the requested borrowing date or date of any conversion of Daily Simple SOFR Loans to Base Rate Loans or of any conversion of Base Rate Loans to Daily Simple SOFR Loans, and in each case shall specify (i) the amount to be borrowed, which shall be a minimum of $100,000, (ii) the requested borrowing date, which shall be a Business Day and (iii) the Type of Used Vehicle Floorplan Swing Line Loan to be borrowed or to which existing Used Vehicle Floorplan Swing Line Loans are to be converted. Promptly after receipt by the Used Vehicle Floorplan Swing Line Lender of any Used Vehicle Floorplan Swing Line Loan Notice, the Used Vehicle Floorplan Swing Line Lender will confirm with the Administrative Agent (by telephone or in writing) that the Administrative Agent has also received such Used Vehicle Floorplan Swing Line Loan Notice and, if not, the Used Vehicle Floorplan Swing Line Lender will notify the Administrative Agent (by telephone or in writing) of the contents thereof. Unless the Used Vehicle Floorplan Swing Line Lender has received notice (by telephone or in writing) from the Administrative Agent (including at the request of any Used Vehicle Floorplan Lender) prior to 2:00 p.m. on the date of the proposed Used Vehicle Floorplan Swing Line Borrowing (A) directing the Used Vehicle Floorplan Swing Line Lender not to make such Used Vehicle Floorplan Swing Line Loan as a result of the limitations set forth in the proviso to the first sentence of </w:t>
      </w:r>
      <w:r>
        <w:rPr>
          <w:rFonts w:ascii="Times New Roman;sans-serif" w:hAnsi="Times New Roman;sans-serif"/>
          <w:b w:val="false"/>
          <w:color w:val="000000"/>
          <w:sz w:val="22"/>
          <w:u w:val="single"/>
        </w:rPr>
        <w:t>Section 2.12(a)</w:t>
      </w:r>
      <w:r>
        <w:rPr>
          <w:rFonts w:ascii="Times New Roman;sans-serif" w:hAnsi="Times New Roman;sans-serif"/>
          <w:b w:val="false"/>
          <w:color w:val="000000"/>
          <w:sz w:val="22"/>
        </w:rPr>
        <w:t>, or (B) that one or more of the applicable conditions specified in Article IV is not then satisfied, then, subject to the terms and conditions hereof, the Used Vehicle Floorplan Swing Line Lender will, not later than 3:00 p.m. on the borrowing date specified in such Used Vehicle Floorplan Swing Line Loan Notice, make the amount of its Used Vehicle Floorplan Swing Line Loan available to the Company at its office by crediting the account of the Company on the books of the Used Vehicle Floorplan Swing Line Lender in immediately available funds. If the Company fails to provide a timely Used Vehicle Floorplan Swing Line Loan Notice requesting a conversion of Daily Simple SOFR Loans to Base Rate Loans, such Loans shall, subject to Article III, continue as Daily Simple SOFR Loans. If the Company fails to specify a Type of Used Vehicle Floorplan Swing Line Loan in a Used Vehicle Floorplan Swing Line Loan Notice, then the applicable Used Vehicle Floorplan Swing Line Loan shall, subject to Article III, be made as a Daily Simple SOFR Loan.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In order to facilitate the borrowing of Used Vehicle Floorplan Swing Line Loans, the Company and the Used Vehicle Floorplan Swing Line Lender may mutually agree to, and are hereby authorized to, enter into an Autoborrow Agreement in form and substance reasonably satisfactory to the Administrative Agent and the Used Vehicle Floorplan Swing Line Lender (the “</w:t>
      </w:r>
      <w:r>
        <w:rPr>
          <w:rFonts w:ascii="Times New Roman;sans-serif" w:hAnsi="Times New Roman;sans-serif"/>
          <w:b w:val="false"/>
          <w:color w:val="000000"/>
          <w:sz w:val="22"/>
          <w:u w:val="single"/>
        </w:rPr>
        <w:t>Used Vehicle Autoborrow Agreement</w:t>
      </w:r>
      <w:r>
        <w:rPr>
          <w:color w:val="000000"/>
        </w:rPr>
        <w:t>”</w:t>
      </w:r>
      <w:r>
        <w:rPr>
          <w:rFonts w:ascii="Times New Roman;sans-serif" w:hAnsi="Times New Roman;sans-serif"/>
          <w:b w:val="false"/>
          <w:color w:val="000000"/>
          <w:sz w:val="22"/>
        </w:rPr>
        <w:t>) providing for the automatic advance by the Used Vehicle Floorplan Swing Line Lender of Used Vehicle Floorplan Swing Line Loans under the conditions set forth in such agreement, which shall be in addition to the conditions set forth herein (each such advance, a “</w:t>
      </w:r>
      <w:r>
        <w:rPr>
          <w:rFonts w:ascii="Times New Roman;sans-serif" w:hAnsi="Times New Roman;sans-serif"/>
          <w:b w:val="false"/>
          <w:color w:val="000000"/>
          <w:sz w:val="22"/>
          <w:u w:val="single"/>
        </w:rPr>
        <w:t>Used Vehicle Autoborrow Advance</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in no event shall the Company be entitled to Used Vehicle Autoborrow Advances pursuant to a Used Vehicle Autoborrow Agreement at any time a Revolving Autoborrow Agreement or a New Vehicle Autoborrow Agreement is in place and (ii) the Company may, once per calendar year and upon 30 days advance notice to the Administrative Agent, the Revolving Swing Line Lender, the New Vehicle Floorplan Swing Line Lender and the Used Vehicle Floorplan Swing Line Lender and upon the payment to the Administrative Agent of a $10,000 fee (which fee may be waived in the sole discretion of the Administrative Agent), alternate between having a Revolving Autoborrow Agreement, a New Vehicle Autoborrow Agreement or a Used Vehicle Autoborrow Agreement in place. At any time such a Used Vehicle Autoborrow Agreement is in effect, the requirements for Used Vehicle Floorplan Swing Line Borrowings set forth in the immediately preceding paragraph shall not apply, and all Used Vehicle Floorplan Swing Line Borrowings shall be made in accordance with the Used Vehicle Autoborrow Agreement, until the right to such Used Vehicle Floorplan Swing Line Borrowings is suspended or terminated hereunder or in accordance with the terms of the Used Vehicle Autoborrow Agreement. Solely for purposes of determining the availability of Used Vehicle Floorplan Committed Loans (other than Used Vehicle Floorplan Committed Loans used to refinance Used Vehicle Floorplan Swing Line Loans) and for determining the Total Used Vehicle Floorplan Outstandings in connection with </w:t>
      </w:r>
      <w:r>
        <w:rPr>
          <w:rFonts w:ascii="Times New Roman;sans-serif" w:hAnsi="Times New Roman;sans-serif"/>
          <w:b w:val="false"/>
          <w:color w:val="000000"/>
          <w:sz w:val="22"/>
          <w:u w:val="single"/>
        </w:rPr>
        <w:t>Section 2.14</w:t>
      </w:r>
      <w:r>
        <w:rPr>
          <w:rFonts w:ascii="Times New Roman;sans-serif" w:hAnsi="Times New Roman;sans-serif"/>
          <w:b w:val="false"/>
          <w:color w:val="000000"/>
          <w:sz w:val="22"/>
        </w:rPr>
        <w:t xml:space="preserve">, at any time during which a Used Vehicle Autoborrow Agreement is in effect, the Outstanding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367665"/>
                <wp:effectExtent l="0" t="0" r="0" b="0"/>
                <wp:wrapNone/>
                <wp:docPr id="260" name="Frame25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Amount of all Used Vehicle Floorplan Swing Line Loans shall be deemed to be the amount of the Used Vehicle Floorplan Swing Line Sublimit. For purposes of any Used Vehicle Floorplan Swing Line Borrowing pursuant to the Used Vehicle Autoborrow Agreement, all references to Bank of America shall be deemed to be a reference to Bank of America, in its capacity as Used Vehicle Floorplan Swing Line Lender hereunder.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Refinancing of Used Vehicle Floorplan Swing Line Loans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(i)The Used Vehicle Floorplan Swing Line Lender at any time in its sole and absolute discretion may request, on behalf of the Company (which hereby irrevocably authorizes the Used Vehicle Floorplan Swing Line Lender to so request on its behalf), that each Used Vehicle Floorplan Lender make a Daily Simple SOFR Committed Loan in an amount equal to such Used Vehicle Floorplan Lender’s Applicable Used Vehicle Floorplan Percentage of the amount of Used Vehicle Floorplan Swing Line Loans then outstanding;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Used Vehicle Floorplan Swing Line Lender intends to request each Used Vehicle Floorplan Lender to make such Daily Simple SOFR Committed Loans no less frequently than once in any given calendar month. Such request shall be made in writing (which written request shall be deemed to be a Used Vehicle Floorplan Committed Loan Notice for purposes hereof) and in accordance with the requirements of </w:t>
      </w:r>
      <w:r>
        <w:rPr>
          <w:rFonts w:ascii="Times New Roman;sans-serif" w:hAnsi="Times New Roman;sans-serif"/>
          <w:b w:val="false"/>
          <w:color w:val="000000"/>
          <w:sz w:val="22"/>
          <w:u w:val="single"/>
        </w:rPr>
        <w:t>Section 2.11</w:t>
      </w:r>
      <w:r>
        <w:rPr>
          <w:rFonts w:ascii="Times New Roman;sans-serif" w:hAnsi="Times New Roman;sans-serif"/>
          <w:b w:val="false"/>
          <w:color w:val="000000"/>
          <w:sz w:val="22"/>
        </w:rPr>
        <w:t xml:space="preserve">, without regard to the minimum and multiples specified therein for the principal amount of Daily Simple SOFR Loans, but subject to the unutilized portion of the Aggregate Used Vehicle Floorplan Commitments and the conditions set forth in </w:t>
      </w:r>
      <w:r>
        <w:rPr>
          <w:rFonts w:ascii="Times New Roman;sans-serif" w:hAnsi="Times New Roman;sans-serif"/>
          <w:b w:val="false"/>
          <w:color w:val="000000"/>
          <w:sz w:val="22"/>
          <w:u w:val="single"/>
        </w:rPr>
        <w:t>Section 4.02</w:t>
      </w:r>
      <w:r>
        <w:rPr>
          <w:rFonts w:ascii="Times New Roman;sans-serif" w:hAnsi="Times New Roman;sans-serif"/>
          <w:b w:val="false"/>
          <w:color w:val="000000"/>
          <w:sz w:val="22"/>
        </w:rPr>
        <w:t xml:space="preserve">. Each Used Vehicle Floorplan Lender shall make an amount equal to its Applicable Used Vehicle Floorplan Percentage of the amount specified in such Used Vehicle Floorplan Committed Loan Notice available to the Administrative Agent in immediately available funds (and the Administrative Agent may apply Cash Collateral available with respect to the applicable Used Vehicle Floorplan Swing Line Loan) for the account of the Used Vehicle Floorplan Swing Line Lender at the Administrative Agent’s Office not later than 1:00 p.m. on the day specified in such Used Vehicle Floorplan Committed Loan Notice (or, if later, one Business Day after the Used Vehicle Floorplan Swing Line Lender delivers such notice), whereupon, subject to </w:t>
      </w:r>
      <w:r>
        <w:rPr>
          <w:rFonts w:ascii="Times New Roman;sans-serif" w:hAnsi="Times New Roman;sans-serif"/>
          <w:b w:val="false"/>
          <w:color w:val="000000"/>
          <w:sz w:val="22"/>
          <w:u w:val="single"/>
        </w:rPr>
        <w:t>Section 2.12(c)(ii)</w:t>
      </w:r>
      <w:r>
        <w:rPr>
          <w:rFonts w:ascii="Times New Roman;sans-serif" w:hAnsi="Times New Roman;sans-serif"/>
          <w:b w:val="false"/>
          <w:color w:val="000000"/>
          <w:sz w:val="22"/>
        </w:rPr>
        <w:t>, each Used Vehicle Floorplan Lender that so makes funds available shall be deemed to have made a Daily Simple SOFR Committed Loan to the Company in such amount. The Administrative Agent shall remit the funds so received to the Used Vehicle Floorplan Swing Line Lender.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(ii)If for any reason any Used Vehicle Floorplan Swing Line Loan cannot be refinanced by such a Used Vehicle Floorplan Committed Borrowing in accordance with </w:t>
      </w:r>
      <w:r>
        <w:rPr>
          <w:rFonts w:ascii="Times New Roman;sans-serif" w:hAnsi="Times New Roman;sans-serif"/>
          <w:b w:val="false"/>
          <w:color w:val="000000"/>
          <w:sz w:val="22"/>
          <w:u w:val="single"/>
        </w:rPr>
        <w:t>Section 2.12(c)(i)</w:t>
      </w:r>
      <w:r>
        <w:rPr>
          <w:rFonts w:ascii="Times New Roman;sans-serif" w:hAnsi="Times New Roman;sans-serif"/>
          <w:b w:val="false"/>
          <w:color w:val="000000"/>
          <w:sz w:val="22"/>
        </w:rPr>
        <w:t xml:space="preserve">, the request for Daily Simple SOFR Used Vehicle Floorplan Committed Loans submitted by the Used Vehicle Floorplan Swing Line Lender as set forth herein shall be deemed to be a request by the Used Vehicle Floorplan Swing Line Lender that each of the Used Vehicle Floorplan Lenders fund its risk participation in the relevant Used Vehicle Floorplan Swing Line Loan and each Lender’s payment to the Administrative Agent for the account of the Used Vehicle Floorplan Swing Line Lender pursuant to </w:t>
      </w:r>
      <w:r>
        <w:rPr>
          <w:rFonts w:ascii="Times New Roman;sans-serif" w:hAnsi="Times New Roman;sans-serif"/>
          <w:b w:val="false"/>
          <w:color w:val="000000"/>
          <w:sz w:val="22"/>
          <w:u w:val="single"/>
        </w:rPr>
        <w:t>Section 2.12(c)(i)</w:t>
      </w:r>
      <w:r>
        <w:rPr>
          <w:color w:val="000000"/>
        </w:rPr>
        <w:t xml:space="preserve"> </w:t>
      </w:r>
      <w:r>
        <w:rPr>
          <w:rFonts w:ascii="Times New Roman;sans-serif" w:hAnsi="Times New Roman;sans-serif"/>
          <w:b w:val="false"/>
          <w:color w:val="000000"/>
          <w:sz w:val="22"/>
        </w:rPr>
        <w:t>shall be deemed payment in respect of such participation.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(iii)If any Used Vehicle Floorplan Lender fails to make available to the Administrative Agent for the account of the Used Vehicle Floorplan Swing Line Lender any amount required to be paid by such Used Vehicle Floorplan Lender pursuant to the foregoing provisions of this </w:t>
      </w:r>
      <w:r>
        <w:rPr>
          <w:rFonts w:ascii="Times New Roman;sans-serif" w:hAnsi="Times New Roman;sans-serif"/>
          <w:b w:val="false"/>
          <w:color w:val="000000"/>
          <w:sz w:val="22"/>
          <w:u w:val="single"/>
        </w:rPr>
        <w:t>Section 2.12(c)</w:t>
      </w:r>
      <w:r>
        <w:rPr>
          <w:color w:val="000000"/>
        </w:rPr>
        <w:t xml:space="preserve"> </w:t>
      </w:r>
      <w:r>
        <w:rPr>
          <w:rFonts w:ascii="Times New Roman;sans-serif" w:hAnsi="Times New Roman;sans-serif"/>
          <w:b w:val="false"/>
          <w:color w:val="000000"/>
          <w:sz w:val="22"/>
        </w:rPr>
        <w:t xml:space="preserve">by the time specified in </w:t>
      </w:r>
      <w:r>
        <w:rPr>
          <w:rFonts w:ascii="Times New Roman;sans-serif" w:hAnsi="Times New Roman;sans-serif"/>
          <w:b w:val="false"/>
          <w:color w:val="000000"/>
          <w:sz w:val="22"/>
          <w:u w:val="single"/>
        </w:rPr>
        <w:t>Section 2.12(c)(i)</w:t>
      </w:r>
      <w:r>
        <w:rPr>
          <w:rFonts w:ascii="Times New Roman;sans-serif" w:hAnsi="Times New Roman;sans-serif"/>
          <w:b w:val="false"/>
          <w:color w:val="000000"/>
          <w:sz w:val="22"/>
        </w:rPr>
        <w:t xml:space="preserve">, the Used Vehicle Floorplan Swing Line Lender shall be entitled to recover from such Used Vehicle Floorplan Lender (acting through the Administrative Agent), on demand, such amount with interest thereon for the period from the date such payment is required to the date on which such payment is immediately available to the Used Vehicle Floorplan Swing Line Lender at a rate per annum equal to the greater of the Federal Funds Rate and a rate determined by the Used Vehicle Floorplan Swing Line Lender in accordance with banking industry rules on interbank compensation,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any administrative, processing or similar fees charged by the Used Vehicle Floorplan Swing Line Lender in connection with the foregoing. If such Used Vehicle Floorplan Lender pays such amount (with interest and fees as aforesaid), the amount so paid shall constitute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367665"/>
                <wp:effectExtent l="0" t="0" r="0" b="0"/>
                <wp:wrapNone/>
                <wp:docPr id="261" name="Frame25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88</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such Used Vehicle Floorplan Lender’s Committed Loan included in the relevant Used Vehicle Floorplan Committed Borrower or funded participation in the relevant Used Vehicle Floorplan Swing Line Loan, as the case may be. A certificate of the Used Vehicle Floorplan Swing Line Lender submitted to any Used Vehicle Floorplan Lender (through the Administrative Agent) with respect to any amounts owing under this clause (iii) shall be conclusive absent manifest error.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(iv)Each Used Vehicle Floorplan Lender’s obligation to make Used Vehicle Floorplan Committed Loans or to purchase and fund risk participations in Used Vehicle Floorplan Swing Line Loans pursuant to this </w:t>
      </w:r>
      <w:r>
        <w:rPr>
          <w:rFonts w:ascii="Times New Roman;sans-serif" w:hAnsi="Times New Roman;sans-serif"/>
          <w:b w:val="false"/>
          <w:color w:val="000000"/>
          <w:sz w:val="22"/>
          <w:u w:val="single"/>
        </w:rPr>
        <w:t>Section 2.12(c)</w:t>
      </w:r>
      <w:r>
        <w:rPr>
          <w:color w:val="000000"/>
        </w:rPr>
        <w:t xml:space="preserve"> </w:t>
      </w:r>
      <w:r>
        <w:rPr>
          <w:rFonts w:ascii="Times New Roman;sans-serif" w:hAnsi="Times New Roman;sans-serif"/>
          <w:b w:val="false"/>
          <w:color w:val="000000"/>
          <w:sz w:val="22"/>
        </w:rPr>
        <w:t xml:space="preserve">shall be absolute and unconditional and shall not be affected by any circumstance, including (A) any setoff, counterclaim, recoupment, defense or other right which such Used Vehicle Floorplan Lender may have against the Used Vehicle Floorplan Swing Line Lender, the Company or any other Person for any reason whatsoever, (B) the occurrence or continuance of a Default, or (C) any other occurrence, event or condition, whether or not similar to any of the foregoing;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each Used Vehicle Floorplan Lender’s obligation to make Used Vehicle Floorplan Committed Loans pursuant to this </w:t>
      </w:r>
      <w:r>
        <w:rPr>
          <w:rFonts w:ascii="Times New Roman;sans-serif" w:hAnsi="Times New Roman;sans-serif"/>
          <w:b w:val="false"/>
          <w:color w:val="000000"/>
          <w:sz w:val="22"/>
          <w:u w:val="single"/>
        </w:rPr>
        <w:t>Section 2.12(c)</w:t>
      </w:r>
      <w:r>
        <w:rPr>
          <w:color w:val="000000"/>
        </w:rPr>
        <w:t xml:space="preserve"> </w:t>
      </w:r>
      <w:r>
        <w:rPr>
          <w:rFonts w:ascii="Times New Roman;sans-serif" w:hAnsi="Times New Roman;sans-serif"/>
          <w:b w:val="false"/>
          <w:color w:val="000000"/>
          <w:sz w:val="22"/>
        </w:rPr>
        <w:t xml:space="preserve">is subject to the conditions set forth in </w:t>
      </w:r>
      <w:r>
        <w:rPr>
          <w:rFonts w:ascii="Times New Roman;sans-serif" w:hAnsi="Times New Roman;sans-serif"/>
          <w:b w:val="false"/>
          <w:color w:val="000000"/>
          <w:sz w:val="22"/>
          <w:u w:val="single"/>
        </w:rPr>
        <w:t>Section 4.02</w:t>
      </w:r>
      <w:r>
        <w:rPr>
          <w:rFonts w:ascii="Times New Roman;sans-serif" w:hAnsi="Times New Roman;sans-serif"/>
          <w:b w:val="false"/>
          <w:color w:val="000000"/>
          <w:sz w:val="22"/>
        </w:rPr>
        <w:t>. No such funding of risk participations shall relieve or otherwise impair the obligation of the Company to repay Used Vehicle Floorplan Swing Line Loans, together with interest as provided herein.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Repayment of Participations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(i)At any time after any Used Vehicle Floorplan Lender has purchased and funded a risk participation in a Used Vehicle Floorplan Swing Line Loan, if the Used Vehicle Floorplan Swing Line Lender receives any payment on account of such Used Vehicle Floorplan Swing Line Loan, the Used Vehicle Floorplan Swing Line Lender will distribute to such Used Vehicle Floorplan Lender its Applicable Used Vehicle Floorplan Percentage of such payment (appropriately adjusted, in the case of interest payments, to reflect the period of time during which such Used Vehicle Floorplan Lender’s risk participation was funded) in the same funds as those received by the Used Vehicle Floorplan Swing Line Lender.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(ii)If any payment received by the Used Vehicle Floorplan Swing Line Lender in respect of principal or interest on any Used Vehicle Floorplan Swing Line Loan is required to be returned by the Used Vehicle Floorplan Swing Line Lender under any of the circumstances described in </w:t>
      </w:r>
      <w:r>
        <w:rPr>
          <w:rFonts w:ascii="Times New Roman;sans-serif" w:hAnsi="Times New Roman;sans-serif"/>
          <w:b w:val="false"/>
          <w:color w:val="000000"/>
          <w:sz w:val="22"/>
          <w:u w:val="single"/>
        </w:rPr>
        <w:t>Section 10.05</w:t>
      </w:r>
      <w:r>
        <w:rPr>
          <w:color w:val="000000"/>
        </w:rPr>
        <w:t xml:space="preserve"> </w:t>
      </w:r>
      <w:r>
        <w:rPr>
          <w:rFonts w:ascii="Times New Roman;sans-serif" w:hAnsi="Times New Roman;sans-serif"/>
          <w:b w:val="false"/>
          <w:color w:val="000000"/>
          <w:sz w:val="22"/>
        </w:rPr>
        <w:t xml:space="preserve">(including pursuant to any settlement entered into by the Used Vehicle Floorplan Swing Line Lender in its discretion), each Used Vehicle Floorplan Lender shall pay to the Used Vehicle Floorplan Swing Line Lender its Applicable Used Vehicle Floorplan Percentage thereof on demand of the Administrative Agent,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interest thereon from the date of such demand to the date such amount is returned, at a rate per annum equal to the Federal Funds Rate. The Administrative Agent will make such demand upon the request of the Used Vehicle Floorplan Swing Line Lender. The obligations of the Used Vehicle Floorplan Lenders under this clause shall survive the payment in full of the Obligations and the termination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Interest for Account of Used Vehicle Floorplan Swing Line Lender</w:t>
      </w:r>
      <w:r>
        <w:rPr>
          <w:rFonts w:ascii="Times New Roman;sans-serif" w:hAnsi="Times New Roman;sans-serif"/>
          <w:b w:val="false"/>
          <w:color w:val="000000"/>
          <w:sz w:val="22"/>
        </w:rPr>
        <w:t xml:space="preserve">. The Used Vehicle Floorplan Swing Line Lender shall be responsible for invoicing the Company for interest on the Used Vehicle Floorplan Swing Line Loans. Until each Used Vehicle Floorplan Lender funds its Daily Simple SOFR Committed Loan or risk participation pursuant to this </w:t>
      </w:r>
      <w:r>
        <w:rPr>
          <w:rFonts w:ascii="Times New Roman;sans-serif" w:hAnsi="Times New Roman;sans-serif"/>
          <w:b w:val="false"/>
          <w:color w:val="000000"/>
          <w:sz w:val="22"/>
          <w:u w:val="single"/>
        </w:rPr>
        <w:t>Section 2.12</w:t>
      </w:r>
      <w:r>
        <w:rPr>
          <w:color w:val="000000"/>
        </w:rPr>
        <w:t xml:space="preserve"> </w:t>
      </w:r>
      <w:r>
        <w:rPr>
          <w:rFonts w:ascii="Times New Roman;sans-serif" w:hAnsi="Times New Roman;sans-serif"/>
          <w:b w:val="false"/>
          <w:color w:val="000000"/>
          <w:sz w:val="22"/>
        </w:rPr>
        <w:t>to refinance such Used Vehicle Floorplan Lender’s Applicable Used Vehicle Floorplan Percentage of any Used Vehicle Floorplan Swing Line Loan, interest in respect of such Applicable Used Vehicle Floorplan Percentage shall be solely for the account of the Used Vehicle Floorplan Swing Line Lender.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Payments Directly to Used Vehicle Floorplan Swing Line Lender</w:t>
      </w:r>
      <w:r>
        <w:rPr>
          <w:rFonts w:ascii="Times New Roman;sans-serif" w:hAnsi="Times New Roman;sans-serif"/>
          <w:b w:val="false"/>
          <w:color w:val="000000"/>
          <w:sz w:val="22"/>
        </w:rPr>
        <w:t>. The Company shall make all payments of principal and interest in respect of the Used Vehicle Floorplan Swing Line Loans directly to the Used Vehicle Floorplan Swing Line Lender.</w:t>
      </w:r>
    </w:p>
    <w:p>
      <w:pPr>
        <w:pStyle w:val="TextBody"/>
        <w:bidi w:val="0"/>
        <w:spacing w:lineRule="auto" w:line="240" w:before="0" w:after="240"/>
        <w:ind w:left="0" w:right="0" w:hanging="720"/>
        <w:jc w:val="both"/>
        <w:rPr/>
      </w:pPr>
      <w:r>
        <w:rPr>
          <w:rFonts w:ascii="Times New Roman;sans-serif" w:hAnsi="Times New Roman;sans-serif"/>
          <w:b/>
          <w:color w:val="000000"/>
          <w:sz w:val="22"/>
        </w:rPr>
        <w:t>2.13Prepayments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In addition to the required payments of principal of Revolving Loans, New Vehicle Floorplan Loans and Used Vehicle Floorplan Loans set forth in </w:t>
      </w:r>
      <w:r>
        <w:rPr>
          <w:rFonts w:ascii="Times New Roman;sans-serif" w:hAnsi="Times New Roman;sans-serif"/>
          <w:b w:val="false"/>
          <w:color w:val="000000"/>
          <w:sz w:val="22"/>
          <w:u w:val="single"/>
        </w:rPr>
        <w:t>Section 2.15</w:t>
      </w:r>
      <w:r>
        <w:rPr>
          <w:color w:val="000000"/>
        </w:rPr>
        <w:t xml:space="preserve"> </w:t>
      </w:r>
      <w:r>
        <w:rPr>
          <w:rFonts w:ascii="Times New Roman;sans-serif" w:hAnsi="Times New Roman;sans-serif"/>
          <w:b w:val="false"/>
          <w:color w:val="000000"/>
          <w:sz w:val="22"/>
        </w:rPr>
        <w:t xml:space="preserve">and prepayments of New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367665"/>
                <wp:effectExtent l="0" t="0" r="0" b="0"/>
                <wp:wrapNone/>
                <wp:docPr id="262" name="Frame25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89</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Vehicle Floorplan Loans (solely for the purposes of calculating interest on such Loans) made by payments by the New Vehicle Borrowers into the New Vehicle Floorplan Offset Account pursuant to </w:t>
      </w:r>
      <w:r>
        <w:rPr>
          <w:rFonts w:ascii="Times New Roman;sans-serif" w:hAnsi="Times New Roman;sans-serif"/>
          <w:b w:val="false"/>
          <w:color w:val="000000"/>
          <w:sz w:val="22"/>
          <w:u w:val="single"/>
        </w:rPr>
        <w:t>Section 2.09</w:t>
      </w:r>
      <w:r>
        <w:rPr>
          <w:rFonts w:ascii="Times New Roman;sans-serif" w:hAnsi="Times New Roman;sans-serif"/>
          <w:b w:val="false"/>
          <w:color w:val="000000"/>
          <w:sz w:val="22"/>
        </w:rPr>
        <w:t xml:space="preserve">, the Company may, pursuant to delivery by the Company to the Administrative Agent of a Notice of Loan Prepayment, at any time or from time to time voluntarily prepay Revolving Committed Loans, New Vehicle Floorplan Committed Loans or Used Vehicle Floorplan Committed Loans in whole or in part without premium or penalty;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such notice must be received by the Administrative Agent not later than 1:00 p.m. on the date of prepayment of such Loans; (ii) any prepayment of Loans shall be in a principal amount of $500,000 or a whole multiple of $100,000 in excess thereof or, in each case, if less, the entire principal amount thereof then outstanding. Each such notice shall specify the date and amount of such prepayment, whether such prepayment is applicable to the Revolving Committed Loans, New Vehicle Floorplan Committed Loans or Used Vehicle Floorplan Committed Loans and the Type(s) of Loans to be prepaid. The Administrative Agent will promptly notify each applicable Lender of its receipt of each such notice, and of the amount of such Lender’s Applicable Revolving Percentage, Applicable New Vehicle Floorplan Percentage or Applicable Used Vehicle Floorplan Percentage, as applicable, of such prepayment. If such notice is given by the Company, the Company shall make such prepayment and the payment amount specified in such notice shall be due and payable on the date specified therein. Subject to </w:t>
      </w:r>
      <w:r>
        <w:rPr>
          <w:rFonts w:ascii="Times New Roman;sans-serif" w:hAnsi="Times New Roman;sans-serif"/>
          <w:b w:val="false"/>
          <w:color w:val="000000"/>
          <w:sz w:val="22"/>
          <w:u w:val="single"/>
        </w:rPr>
        <w:t>Section 2.27</w:t>
      </w:r>
      <w:r>
        <w:rPr>
          <w:rFonts w:ascii="Times New Roman;sans-serif" w:hAnsi="Times New Roman;sans-serif"/>
          <w:b w:val="false"/>
          <w:color w:val="000000"/>
          <w:sz w:val="22"/>
        </w:rPr>
        <w:t>, each such prepayment of Revolving Committed Loans of the Revolving Lenders shall be applied in accordance with their respective Applicable Revolving Percentages; each such prepayment of New Vehicle Floorplan Committed Loans of the New Vehicle Floorplan Lenders shall be applied in accordance with their respective Applicable New Vehicle Floorplan Percentages; and each such prepayment of Used Vehicle Floorplan Committed Loans of the Used Vehicle Floorplan Lenders shall be applied in accordance with their respective Applicable Used Vehicle Floorplan Percentages.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At any time during which a Revolving Autoborrow Agreement is not in effect, the Company may, pursuant to delivery by the Company to the Revolving Swing Line Lender of a Notice of Loan Prepayment (with a copy to the Administrative Agent), at any time or from time to time, voluntarily prepay Revolving Swing Line Loans in whole or in part without premium or penalty;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such notice must be received by the Revolving Swing Line Lender and the Administrative Agent not later than 1:00 p.m. on the date of the prepayment, and (ii) any such prepayment shall be in a minimum principal amount of $100,000 (or, if less, the entire principal amount thereof outstanding). Each such notice shall specify the date and amount of such prepayment. If such notice is given by the Company, the Company shall make such prepayment and the payment amount specified in such notice shall be due and payable on the date specified therein.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Subject to the terms of any New Vehicle Autoborrow Agreement, the Company may, at any time or from time to time, voluntarily prepay New Vehicle Floorplan Swing Line Loans in whole or in part without premium or penalty,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Company has entered the amount of such prepayment and other required information (including the make, model and vehicle identification number of each respective New Vehicle) in the Floorplan On-Line System not later than 7:00 p.m. on the date of the prepayment. The Company shall make such prepayment and the payment amount entered by the Company shall be due and payable on the date such information is timely entered in the Floorplan On-Line System.</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At any time during which a Used Vehicle Autoborrow Agreement is not in effect, the Company may, pursuant to delivery by the Company to the Used Vehicle Floorplan Swing Line Lender of a Notice of Loan Prepayment (with a copy to the Administrative Agent), at any time or from time to time, voluntarily prepay Used Vehicle Floorplan Swing Line Loans in whole or in part without premium or penalty;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such notice must be received by the Used Vehicle Floorplan Swing Line Lender not later than 1:00 p.m. on the date of the prepayment and (ii) any such prepayment shall be in a minimum principal amount of $100,000 (or, if less, the entire principal amount thereof outstanding). Each such notice shall specify the date and amount of such prepayment. If such notice is given by the Company, the Company shall make such prepayment and the payment amount specified in such notice shall be due and payable on the dated specified therein.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 xml:space="preserve">If for any reason the Total Revolving Outstandings at any time exceed the lesser of (1) the Revolving Borrowing Base or (2) the Aggregate Revolving Commitments then in effect, the Company shall immediately prepay Loans and/or Cash Collateralize the L/C Obligations in an aggregate amount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367665"/>
                <wp:effectExtent l="0" t="0" r="0" b="0"/>
                <wp:wrapNone/>
                <wp:docPr id="263" name="Frame25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90</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equal to such excess;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the Company shall not be required to Cash Collateralize the L/C Obligations pursuant to this </w:t>
      </w:r>
      <w:r>
        <w:rPr>
          <w:rFonts w:ascii="Times New Roman;sans-serif" w:hAnsi="Times New Roman;sans-serif"/>
          <w:b w:val="false"/>
          <w:color w:val="000000"/>
          <w:sz w:val="22"/>
          <w:u w:val="single"/>
        </w:rPr>
        <w:t>Section 2.13(e)</w:t>
      </w:r>
      <w:r>
        <w:rPr>
          <w:color w:val="000000"/>
        </w:rPr>
        <w:t xml:space="preserve"> </w:t>
      </w:r>
      <w:r>
        <w:rPr>
          <w:rFonts w:ascii="Times New Roman;sans-serif" w:hAnsi="Times New Roman;sans-serif"/>
          <w:b w:val="false"/>
          <w:color w:val="000000"/>
          <w:sz w:val="22"/>
        </w:rPr>
        <w:t>unless after the prepayment in full of the Revolving Loans the Total Revolving Outstandings exceed the lesser of (1) the Revolving Borrowing Base or (2) the Aggregate Revolving Commitments then in effect.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If for any reason the Total New Vehicle Floorplan Outstandings at any time exceed the Aggregate New Vehicle Floorplan Commitments then in effect, the Borrowers (jointly and severally) shall immediately prepay New Vehicle Floorplan Loans in an aggregate amount sufficient to eliminate such excess.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If for any reason the Total Used Vehicle Floorplan Outstandings at any time exceed the lesser of the Aggregate Used Vehicle Floorplan Commitments then in effect or the Used Vehicle Floorplan Borrowing Base then in effect, the Borrowers (jointly and severally) shall immediately prepay Used Vehicle Floorplan Loans in an aggregate amount sufficient to eliminate such excess.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If for any reason the aggregate Outstanding Amount of Revolving Swing Line Loans exceeds the Revolving Swing Line Sublimit, the Company shall immediately prepay Revolving Swing Line Loans in an aggregate amount sufficient to eliminate such excess.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If for any reason, the Outstanding Amount of New Vehicle Floorplan Loans exceeds any applicable Within Line Limitation (unless otherwise agreed to by the Administrative Agent), the Borrowers (jointly and severally) shall immediately prepay New Vehicle Floorplan Loans in an aggregate amount sufficient to eliminate such excess.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rPr>
        <w:t>If for any reason the aggregate Outstanding Amount of Used Vehicle Floorplan Swing Line Loans exceeds the Used Vehicle Floorplan Swing Line Sublimit, the Company shall immediately prepay Used Vehicle Floorplan Swing Line Loans in an aggregate amount sufficient to eliminate such excess.</w:t>
      </w:r>
    </w:p>
    <w:p>
      <w:pPr>
        <w:pStyle w:val="TextBody"/>
        <w:bidi w:val="0"/>
        <w:spacing w:lineRule="auto" w:line="240" w:before="0" w:after="240"/>
        <w:ind w:left="0" w:right="0" w:hanging="720"/>
        <w:jc w:val="both"/>
        <w:rPr/>
      </w:pPr>
      <w:r>
        <w:rPr>
          <w:rFonts w:ascii="Times New Roman;sans-serif" w:hAnsi="Times New Roman;sans-serif"/>
          <w:b/>
          <w:color w:val="000000"/>
          <w:sz w:val="22"/>
        </w:rPr>
        <w:t>2.14Termination, Reduction or Conversion of Commitments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The Company may, upon notice to the Administrative Agent, terminate the Aggregate Revolving Commitments, Aggregate New Vehicle Floorplan Commitments or the Aggregate Used Vehicle Floorplan Commitments, or from time to time permanently reduce the Aggregate Revolving Commitments, Aggregate New Vehicle Floorplan Commitments or the Aggregate Used Vehicle Floorplan Commitments;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any such notice shall be received by the Administrative Agent not later than 1:00 p.m. fifteen (15) days prior to the date of termination or reduction, (ii) any such partial reduction shall be in an aggregate amount of $10,000,000 or any whole multiple of $1,000,000 in excess thereof, (iii) the Company shall not terminate or reduce the Aggregate Revolving Commitments if, after giving effect thereto and to any concurrent prepayments hereunder, the Total Revolving Outstandings would exceed the lesser of the Aggregate Revolving Commitments or the Revolving Borrowing Base, (iv) the Company shall not terminate or reduce the Aggregate New Vehicle Floorplan Commitments if, after giving effect thereto and to any concurrent prepayments hereunder, the Total New Vehicle Floorplan Outstandings would exceed the Aggregate New Vehicle Floorplan Commitments, (v) the Company shall not terminate or reduce the Aggregate Used Vehicle Floorplan Commitments if, after giving effect thereto and to any concurrent prepayments hereunder, the Total Used Vehicle Floorplan Outstandings would exceed the lesser of the Aggregate Used Vehicle Floorplan Commitments or the Used Vehicle Floorplan Borrowing Base, (vi) if, after giving effect to any reduction of the Aggregate Revolving Commitments, the Letter of Credit Sublimit or the Revolving Swing Line Sublimit exceeds the amount of the Aggregate Revolving Commitments, such Sublimit shall be automatically reduced by the amount of such excess, (vii) if, after giving effect to any reduction of the Aggregate New Vehicle Floorplan Commitments, the New Vehicle Floorplan Swing Line Sublimit exceeds the amount of the Aggregate New Vehicle Floorplan Commitments, such Sublimit shall be automatically reduced by the amount of such excess, (viii) if, after giving effect to any reduction of the Aggregate Used Vehicle Floorplan Commitments, the Used Vehicle Floorplan Swing Line Sublimit exceeds the amount of the Aggregate Used Vehicle Floorplan Commitments, such Sublimit shall be automatically reduced by the amount of such excess and (ix) following any such termination or reduction (other than when the Aggregate Revolving Commitments are terminated in full), the Aggregate Revolving Commitments shall be no less than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367665"/>
                <wp:effectExtent l="0" t="0" r="0" b="0"/>
                <wp:wrapNone/>
                <wp:docPr id="264" name="Frame25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91</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$50,000,000 and no more than 40% of the Aggregate Commitments then in effect. In connection with any reduction of the Aggregate New Vehicle Floorplan Commitments, the New Vehicle Floorplan Swing Line Lender in its discretion may suspend and/or terminate all or a portion of the then outstanding Payment Commitments or Payoff Letter Commitments which shall be promptly selected by the Company, in an amount that corresponds to the size of said reduction. The Administrative Agent will promptly notify the applicable Lenders of any such notice of termination or reduction of the Aggregate Commitments. Any reduction of the Aggregate Revolving Commitments, Aggregate New Vehicle Floorplan Commitments or Used Vehicle Floorplan Commitments shall be applied to the Commitment of each Lender in accordance with (x) its respective Applicable Revolving Percentage, (y) its respective Applicable New Vehicle Floorplan Percentage and (z) its respective Applicable Used Vehicle Floorplan Percentage, as the case may be. All fees accrued until the effective date of any termination of the Aggregate Commitments shall be paid on the effective date of such termination.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At any time there exists any portion of the Aggregate Revolving Commitments in excess of the Total Revolving Outstandings (such excess amount being referred to as the “unused portion”), and provided that, unless otherwise approved by the Administrative Agent in its sole discretion, no Default shall have occurred and be continuing, the Company may, by delivering to the Administrative Agent and in the case of a conversion to New Vehicle Floorplan Commitments, the New Vehicle Floorplan Operations Group, a Conversion Notice in substantially the form of </w:t>
      </w:r>
      <w:r>
        <w:rPr>
          <w:rFonts w:ascii="Times New Roman;sans-serif" w:hAnsi="Times New Roman;sans-serif"/>
          <w:b w:val="false"/>
          <w:color w:val="000000"/>
          <w:sz w:val="22"/>
          <w:u w:val="single"/>
        </w:rPr>
        <w:t>Exhibit P</w:t>
      </w:r>
      <w:r>
        <w:rPr>
          <w:color w:val="000000"/>
        </w:rPr>
        <w:t xml:space="preserve"> </w:t>
      </w:r>
      <w:r>
        <w:rPr>
          <w:rFonts w:ascii="Times New Roman;sans-serif" w:hAnsi="Times New Roman;sans-serif"/>
          <w:b w:val="false"/>
          <w:color w:val="000000"/>
          <w:sz w:val="22"/>
        </w:rPr>
        <w:t xml:space="preserve">not less than five days prior to the date of such conversion, request the Administrative Agent and the Lenders to convert all or a part of such unused portion of the Aggregate Revolving Commitments into Aggregate New Vehicle Floorplan Commitments or Aggregate Used Vehicle Floorplan Commitments,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the Company shall not make such conversion if, after giving effect to all such conversions to occur at such time, (i) the Total Revolving Outstandings would exceed the lesser of (x) the Revolving Borrowing Base or (y) the Aggregate Revolving Commitments, (ii) the aggregate amount of Revolving Commitments converted to New Vehicle Floorplan Commitments or Used Vehicle Floorplan Commitments to occur at such time would exceed the lesser of (x) 40% of the Aggregate Commitments then in effect or (y) the Available Unused Revolving Commitments or (iii) the Aggregate Revolving Commitments would be less than $50,000,000 or more than 40% of the Aggregate Commitments then in effect,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further, following any such conversion, (i) the percentage of each Lender’s Commitment allocated to the Revolving Credit Facility shall be equal to the percentage of each other Lender’s Commitment allocated to the Revolving Credit Facility, (ii) the percentage of each Lender’s Commitment allocated to the New Vehicle Floorplan Facility shall be equal to the percentage of each other Lender’s Commitment allocated to the New Vehicle Floorplan Facility, (iii) the percentage of each Lender’s Commitment allocated to the Used Vehicle Floorplan Facility shall be equal to the percentage of each other Lender’s Commitment allocated to the Used Vehicle Floorplan Facility, and (iv) the commitment fee owing and accruing with respect to any Revolving Commitments converted into New Vehicle Floorplan Commitments or Used Vehicle Floorplan Commitments under this </w:t>
      </w:r>
      <w:r>
        <w:rPr>
          <w:rFonts w:ascii="Times New Roman;sans-serif" w:hAnsi="Times New Roman;sans-serif"/>
          <w:b w:val="false"/>
          <w:color w:val="000000"/>
          <w:sz w:val="22"/>
          <w:u w:val="single"/>
        </w:rPr>
        <w:t>Section 2.14(b)</w:t>
      </w:r>
      <w:r>
        <w:rPr>
          <w:color w:val="000000"/>
        </w:rPr>
        <w:t xml:space="preserve"> </w:t>
      </w:r>
      <w:r>
        <w:rPr>
          <w:rFonts w:ascii="Times New Roman;sans-serif" w:hAnsi="Times New Roman;sans-serif"/>
          <w:b w:val="false"/>
          <w:color w:val="000000"/>
          <w:sz w:val="22"/>
        </w:rPr>
        <w:t xml:space="preserve">shall be calculated at the Applicable Rate for commitment fees for New Vehicle Floorplan Commitments or Used Vehicle Floorplan Commitments, as the case may be. Following such notice from the Company to the Administrative Agent and, if applicable, the New Vehicle Floorplan Operations Group, and subject to the foregoing, the Aggregate New Vehicle Floorplan Commitments or Used Vehicle Floorplan Commitments, as the case may be, shall upon such request be increased by the amount so requested by the Company,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further that, the Aggregate Commitments after giving effect to such conversion shall not exceed the Aggregate Commitments in effect prior to giving effect to such conversion.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At any time there exists any portion of (x) the New Vehicle Floorplan Commitments in excess of the Total New Vehicle Floorplan Outstandings or (y) the Used Vehicle Floorplan Commitments in excess of the Total Used Vehicle Floorplan Outstandings (such excess amount in either of clause (x) or (y) being referred to as the “unused portion”), and provided that, unless otherwise approved by the Administrative Agent in its sole discretion, no Default shall have occurred and be continuing, the Company may, by delivering to the Administrative Agent a Conversion Notice in substantially the form of </w:t>
      </w:r>
      <w:r>
        <w:rPr>
          <w:rFonts w:ascii="Times New Roman;sans-serif" w:hAnsi="Times New Roman;sans-serif"/>
          <w:b w:val="false"/>
          <w:color w:val="000000"/>
          <w:sz w:val="22"/>
          <w:u w:val="single"/>
        </w:rPr>
        <w:t>Exhibit P</w:t>
      </w:r>
      <w:r>
        <w:rPr>
          <w:color w:val="000000"/>
        </w:rPr>
        <w:t xml:space="preserve"> </w:t>
      </w:r>
      <w:r>
        <w:rPr>
          <w:rFonts w:ascii="Times New Roman;sans-serif" w:hAnsi="Times New Roman;sans-serif"/>
          <w:b w:val="false"/>
          <w:color w:val="000000"/>
          <w:sz w:val="22"/>
        </w:rPr>
        <w:t xml:space="preserve">not less than five days prior to the date of such conversion, request the Administrative Agent and the Lenders to convert all or a part of such unused portion of the New Vehicle Floorplan Commitments or Used Vehicle Floorplan Commitments into Aggregate Revolving Commitments,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the Company shall not make such conversion if, after giving effect thereto, (i) the Total New Vehicle Floorplan Outstandings would exceed the Aggregate New Vehicle Floorplan Commitments, (ii) the Used Vehicle Floorplan Outstandings would exceed the lesser of (x) the Used Vehicle Floorplan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367665"/>
                <wp:effectExtent l="0" t="0" r="0" b="0"/>
                <wp:wrapNone/>
                <wp:docPr id="265" name="Frame26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92</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Borrowing Base or (y) the Aggregate Used Vehicle Floorplan Commitments or (iii) Revolving Commitments would be more than 40% of the Aggregate Commitments then in effect,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further, following any such conversion, (i) the percentage of each Lender’s Commitment allocated to the Revolving Credit Facility shall be equal to the percentage of each other Lender’s Commitment allocated to the Revolving Credit Facility, (ii) the percentage of each Lender’s Commitment allocated to the New Vehicle Floorplan Facility shall be equal to the percentage of each other Lender’s Commitment allocated to the New Vehicle Floorplan Facility, (iii) the percentage of each Lender’s Commitment allocated to the Used Vehicle Floorplan Facility shall be equal to the percentage of each other Lender’s Commitment allocated to the Used Vehicle Floorplan Facility, and (iv) the commitment fee owing and accruing with respect to any New Vehicle Floorplan Commitments or Used Vehicle Floorplan Commitments converted into Revolving Commitments under this </w:t>
      </w:r>
      <w:r>
        <w:rPr>
          <w:rFonts w:ascii="Times New Roman;sans-serif" w:hAnsi="Times New Roman;sans-serif"/>
          <w:b w:val="false"/>
          <w:color w:val="000000"/>
          <w:sz w:val="22"/>
          <w:u w:val="single"/>
        </w:rPr>
        <w:t>Section 2.14(c)</w:t>
      </w:r>
      <w:r>
        <w:rPr>
          <w:color w:val="000000"/>
        </w:rPr>
        <w:t xml:space="preserve"> </w:t>
      </w:r>
      <w:r>
        <w:rPr>
          <w:rFonts w:ascii="Times New Roman;sans-serif" w:hAnsi="Times New Roman;sans-serif"/>
          <w:b w:val="false"/>
          <w:color w:val="000000"/>
          <w:sz w:val="22"/>
        </w:rPr>
        <w:t xml:space="preserve">shall be calculated at the Applicable Rate for commitment fees for Revolving Commitments. Following such notice from the Company to the Administrative Agent and subject to the foregoing, the Aggregate Revolving Commitments shall upon such request be increased by the amount so requested by the Company,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further that, the Aggregate Commitments after giving effect to such conversion shall not exceed the Aggregate Commitments in effect prior to giving effect to such conversion.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In connection with the conversions and re-conversions described in </w:t>
      </w:r>
      <w:r>
        <w:rPr>
          <w:rFonts w:ascii="Times New Roman;sans-serif" w:hAnsi="Times New Roman;sans-serif"/>
          <w:b w:val="false"/>
          <w:color w:val="000000"/>
          <w:sz w:val="22"/>
          <w:u w:val="single"/>
        </w:rPr>
        <w:t>clauses (b)</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(c)</w:t>
      </w:r>
      <w:r>
        <w:rPr>
          <w:color w:val="000000"/>
        </w:rPr>
        <w:t xml:space="preserve"> </w:t>
      </w:r>
      <w:r>
        <w:rPr>
          <w:rFonts w:ascii="Times New Roman;sans-serif" w:hAnsi="Times New Roman;sans-serif"/>
          <w:b w:val="false"/>
          <w:color w:val="000000"/>
          <w:sz w:val="22"/>
        </w:rPr>
        <w:t xml:space="preserve">above, the requisite assignments of outstanding Loans shall be made in such amounts by and between the Lenders, and as directed by the Administrative Agent, to the extent necessary to keep the outstanding Revolving Committed Loans, New Vehicle Floorplan Committed Loans, or Used Vehicle Floorplan Committed Loans, as applicable, ratable with any revised Applicable Percentages with respect to the applicable Committed Loans arising from any such conversion or re-conversion with the same force and effect as if such assignments were evidenced by applicable Assignments and Assumptions but without the payment of any related assignment fee, and no other documents or instruments shall be, or shall be required to be, executed in connection with such assignments (all of which requirements are hereby waived). </w:t>
      </w:r>
    </w:p>
    <w:p>
      <w:pPr>
        <w:pStyle w:val="TextBody"/>
        <w:bidi w:val="0"/>
        <w:spacing w:lineRule="auto" w:line="240" w:before="0" w:after="240"/>
        <w:ind w:left="0" w:right="0" w:hanging="720"/>
        <w:jc w:val="both"/>
        <w:rPr/>
      </w:pPr>
      <w:r>
        <w:rPr>
          <w:rFonts w:ascii="Times New Roman;sans-serif" w:hAnsi="Times New Roman;sans-serif"/>
          <w:b/>
          <w:color w:val="000000"/>
          <w:sz w:val="22"/>
        </w:rPr>
        <w:t>2.15Repayment of Loans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Repayment of Revolving Loans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(i)The Company shall repay to the Revolving Lenders on the Maturity Date the aggregate principal amount of Revolving Committed Loans outstanding on such date.</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(ii)At any time the Revolving Autoborrow Agreement is in effect with respect to the Revolving Swing Line Loans, the Revolving Swing Line Loans shall be repaid (A) in accordance with the terms of such Revolving Autoborrow Agreement and (B) in any event, on the Maturity Date. At any time the Revolving Autoborrow Agreement is not in effect with respect to the Revolving Swing Line Loans, the Company shall repay each Revolving Swing Line Loan (X) at any time on demand by the Revolving Swing Line Lender and (Y) on the Maturity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Repayment of New Vehicle Floorplan Loans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(i)The New Vehicle Borrowers (jointly and severally) shall repay the New Vehicle Floorplan Committed Loans on the Maturity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(ii)At any time the New Vehicle Autoborrow Agreement is in effect with respect to the New Vehicle Floorplan Swing Line Loans, the New Vehicle Borrowers (jointly and severally) shall repay each New Vehicle Floorplan Swing Line Loan (A) in accordance with the terms of such New Vehicle Autoborrow Agreement and (B) on the Maturity Date. At any time the New Vehicle Autoborrow Agreement is not in effect with respect to the New Vehicle Floorplan Swing Line Loans, the New Vehicle Borrowers (jointly and severally) shall repay each New Vehicle Floorplan Swing Line Loan on the Maturity Date or promptly following any demand by the New Vehicle Floorplan Swing Line Lender,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the conditions to making a New Vehicle Floorplan Committed Loan are then satisfied, and if such demand is made at any time other than during an Asbury New Vehicle Control Period, the New Vehicle Floorplan Lender shall request a New Vehicle Floorplan Committed Borrowing to refinance such New Vehicle Floorplan Swing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367665"/>
                <wp:effectExtent l="0" t="0" r="0" b="0"/>
                <wp:wrapNone/>
                <wp:docPr id="266" name="Frame26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93</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Line Loan in full (or, if less, to the maximum extent then available under the New Vehicle Floorplan Committed Facility) prior to making a demand on the New Vehicle Borrowers, and (B) on the Maturity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(iii)The New Vehicle Borrowers (jointly and severally) shall pay in full an amount equal to the New Vehicle Non-Offset Floorplan Loan made with respect to any Floored New Vehicle (including any Demonstrator, Rental Vehicle, and other mileaged New Vehicle) that has been sold or leased (other than the ordinary course lease of a Rental Vehicle) by any New Vehicle Borrower: (A) (1) with respect to New Vehicles other than those described in (2) below, the earliest to occur of (x) fifteen (15) days after such sale or lease thereof or (y) with respect any New Vehicle for which cash has been received upon such sale or lease thereof, within five (5) days of the receipt of such cash, and (2) with respect to Fleet Vehicles, upon the earliest to occur of (aa) thirty (30) days after the date of such sale or lease (other than the ordinary course lease of a Rental Vehicle) and (bb) two (2) Business Days following receipt of proceeds from such sale or lease thereof. With respect to each Floored New Vehicle that has not been sold or leased, the New Vehicle Borrowers (jointly and severally) shall pay in full an amount equal to (i) in the case of any such New Vehicle held as Inventory, beginning 12 months after the date such New Vehicle is Deemed Floored, in monthly payments of 10% of the original amount of the New Vehicle Non-Offset Floorplan Loan relating to such New Vehicle for month 12, and 5% of the original amount of the New Vehicle Non-Offset Floorplan Loan relating to such New Vehicle for each of months 13 and 14, with the final payment in an amount equal to the remainder of the original amount of such New Vehicle Non-Offset Floorplan Loan (after giving effect to the foregoing curtailment payments described in this clause (i)) due 15 months after the date such New Vehicle is Deemed Floored, and (ii) in the case of each Demonstrator, Rental Vehicle, and other mileaged Floored New Vehicle, beginning with the first Automatic Debit Date occurring after the date such New Vehicle is Deemed To Be A Mileage Vehicle, monthly payments of 2% of the original amount of the New Vehicle Non-Offset Floorplan Loan relating to such New Vehicle, with the final payment in an amount equal to the remainder of the original amount of such New Vehicle Non-Offset Floorplan Loan (after giving effect to the foregoing curtailment payments described in this clause (ii)) due 24 months after the date such New Vehicle is Deemed Floored. Upon the funding thereof, any New Vehicle Floorplan Overdraft shall be due and payable in full by the New Vehicle Borrowers on the next following Business Day. The Borrowers agree and acknowledge that no New Vehicle Floorplan Offset Account Advance or Floorplan Offset Amount (or distribution thereof by the Administrative Agent pursuant to </w:t>
      </w:r>
      <w:r>
        <w:rPr>
          <w:rFonts w:ascii="Times New Roman;sans-serif" w:hAnsi="Times New Roman;sans-serif"/>
          <w:b w:val="false"/>
          <w:color w:val="000000"/>
          <w:sz w:val="22"/>
          <w:u w:val="single"/>
        </w:rPr>
        <w:t>Section 2.09(b)(ii)</w:t>
      </w:r>
      <w:r>
        <w:rPr>
          <w:rFonts w:ascii="Times New Roman;sans-serif" w:hAnsi="Times New Roman;sans-serif"/>
          <w:b w:val="false"/>
          <w:color w:val="000000"/>
          <w:sz w:val="22"/>
        </w:rPr>
        <w:t xml:space="preserve">) shall limit the payment requirements set forth in this </w:t>
      </w:r>
      <w:r>
        <w:rPr>
          <w:rFonts w:ascii="Times New Roman;sans-serif" w:hAnsi="Times New Roman;sans-serif"/>
          <w:b w:val="false"/>
          <w:color w:val="000000"/>
          <w:sz w:val="22"/>
          <w:u w:val="single"/>
        </w:rPr>
        <w:t>Section 2.15(b)(iii)</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(iv)Payments required to be made by any New Vehicle Borrower as set forth in </w:t>
      </w:r>
      <w:r>
        <w:rPr>
          <w:rFonts w:ascii="Times New Roman;sans-serif" w:hAnsi="Times New Roman;sans-serif"/>
          <w:b w:val="false"/>
          <w:color w:val="000000"/>
          <w:sz w:val="22"/>
          <w:u w:val="single"/>
        </w:rPr>
        <w:t>Section 2.15(b)(i)</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(ii)</w:t>
      </w:r>
      <w:r>
        <w:rPr>
          <w:color w:val="000000"/>
        </w:rPr>
        <w:t xml:space="preserve"> </w:t>
      </w:r>
      <w:r>
        <w:rPr>
          <w:rFonts w:ascii="Times New Roman;sans-serif" w:hAnsi="Times New Roman;sans-serif"/>
          <w:b w:val="false"/>
          <w:color w:val="000000"/>
          <w:sz w:val="22"/>
        </w:rPr>
        <w:t xml:space="preserve">shall be applied in the following order: (1) first, to the outstanding principal balance and then to accrued interest on any New Vehicle Floorplan Overdraft, (2) second, to the outstanding principal balance of New Vehicle Floorplan Swing Line Loans, and (3) finally, to the remaining outstanding principal balance of the New Vehicle Floor Plan Committed Loans. Payments required to be made by any New Vehicle Borrower as set forth in </w:t>
      </w:r>
      <w:r>
        <w:rPr>
          <w:rFonts w:ascii="Times New Roman;sans-serif" w:hAnsi="Times New Roman;sans-serif"/>
          <w:b w:val="false"/>
          <w:color w:val="000000"/>
          <w:sz w:val="22"/>
          <w:u w:val="single"/>
        </w:rPr>
        <w:t>Section 2.15(b)(iii)</w:t>
      </w:r>
      <w:r>
        <w:rPr>
          <w:color w:val="000000"/>
        </w:rPr>
        <w:t xml:space="preserve"> </w:t>
      </w:r>
      <w:r>
        <w:rPr>
          <w:rFonts w:ascii="Times New Roman;sans-serif" w:hAnsi="Times New Roman;sans-serif"/>
          <w:b w:val="false"/>
          <w:color w:val="000000"/>
          <w:sz w:val="22"/>
        </w:rPr>
        <w:t>shall be applied first to the outstanding principal balance and then to accrued interest on the New Vehicle Floorplan Loan with respect to the applicable New Vehicle, and then in the order set forth in the sentence above.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(v)In the event of any disputed or duplicate New Vehicle Floorplan Loan (each a “</w:t>
      </w:r>
      <w:r>
        <w:rPr>
          <w:rFonts w:ascii="Times New Roman;sans-serif" w:hAnsi="Times New Roman;sans-serif"/>
          <w:b w:val="false"/>
          <w:color w:val="000000"/>
          <w:sz w:val="22"/>
          <w:u w:val="single"/>
        </w:rPr>
        <w:t>Disputed Existing Loan</w:t>
      </w:r>
      <w:r>
        <w:rPr>
          <w:color w:val="000000"/>
        </w:rPr>
        <w:t>”</w:t>
      </w:r>
      <w:r>
        <w:rPr>
          <w:rFonts w:ascii="Times New Roman;sans-serif" w:hAnsi="Times New Roman;sans-serif"/>
          <w:b w:val="false"/>
          <w:color w:val="000000"/>
          <w:sz w:val="22"/>
        </w:rPr>
        <w:t>) being refinanced or paid down by any New Vehicle Floorplan Committed Loan or New Vehicle Floorplan Swing Line Loan in reliance on information provided by the Company, any Subsidiary or any existing lender pursuant to any audit, the Borrowers will (jointly and severally) upon demand, repay any New Vehicle Floorplan Committed Loan or New Vehicle Floorplan Swing Line Loan related to such Disputed Existing Loan, including accrued interest with respect to such New Vehicle Floorplan Committed Loan or New Vehicle Floorplan Swing Line Loan, regardless of whether such Disputed Existing Loan has been resolved with the prior lender.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(vi)Without limiting any other rights or obligations hereunder, interest, curtailment and other payments then due pursuant to this </w:t>
      </w:r>
      <w:r>
        <w:rPr>
          <w:rFonts w:ascii="Times New Roman;sans-serif" w:hAnsi="Times New Roman;sans-serif"/>
          <w:b w:val="false"/>
          <w:color w:val="000000"/>
          <w:sz w:val="22"/>
          <w:u w:val="single"/>
        </w:rPr>
        <w:t>Section 2.15(b)</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2.17(b)</w:t>
      </w:r>
      <w:r>
        <w:rPr>
          <w:color w:val="000000"/>
        </w:rPr>
        <w:t xml:space="preserve"> </w:t>
      </w:r>
      <w:r>
        <w:rPr>
          <w:rFonts w:ascii="Times New Roman;sans-serif" w:hAnsi="Times New Roman;sans-serif"/>
          <w:b w:val="false"/>
          <w:color w:val="000000"/>
          <w:sz w:val="22"/>
        </w:rPr>
        <w:t xml:space="preserve">shall be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367665"/>
                <wp:effectExtent l="0" t="0" r="0" b="0"/>
                <wp:wrapNone/>
                <wp:docPr id="267" name="Frame26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94</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automatically debited on the Automatic Debit Date of each month from a deposit account maintained by the applicable New Vehicle Borrower with Bank of America (or from any other account designated by the Company) pursuant to the Floorplan On-line System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such account is not held with Bank of America, the payments described in this clause (vi) shall be debited one Business Day prior to the Automatic Debit Date, and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further that if there are not sufficient funds in such account to pay such amounts, then the applicable New Vehicle Borrower shall pay such amounts in cash when due).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(vii)Payments made in respect of any New Vehicle Floorplan Loan must be made through the Floorplan On-Line System and shall not be effective unless (A) the Company has entered the amount of such payment and other required information (including the make, model and vehicle identification number of each respective New Vehicle) in the Floorplan On-Line System not later than 7:00 p.m. on the date of the payment, or (B) all New Vehicle Floorplan Loans are being simultaneously paid in full.</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(viii)So long as the New Vehicle Floorplan Swing Line Lender is also the Administrative Agent, all payments of principal on New Vehicle Floorplan Committed Loans shall be delivered to the New Vehicle Floorplan Swing Line Lender. Once the New Vehicle Floorplan Swing Line Lender has analyzed the outstanding principal amount of the applicable Loans and confirmed the VIN numbers of the related Vehicles, the New Vehicle Floorplan Swing Line Lender will turn such payment over to the Administrative Agent for application to the New Vehicle Floorplan Committed Loans. Any payment of New Vehicle Floorplan Loans must specify the VIN number of the applicable Vehicle unless all New Vehicle Floorplan Loans are being simultaneously paid in full.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Repayment of Used Vehicle Floorplan Loans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(i)The Used Vehicle Borrowers (jointly and severally) shall repay each Used Vehicle Floorplan Committed Loan on the Maturity Date.</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(ii)At any time the Used Vehicle Autoborrow Agreement is in effect with respect to the Used Vehicle Floorplan Swing Line Loans, the Used Vehicle Floorplan Swing Line Loans shall be repaid (A) in accordance with the terms of such Used Vehicle Autoborrow Agreement and (B) in any event, on the Maturity Date. At any time the Used Vehicle Autoborrow Agreement is not in effect with respect to the Used Vehicle Floorplan Swing Line Loans, the Used Vehicle Borrowers (jointly and severally) shall repay each Used Vehicle Floorplan Swing Line Loan on the Maturity Date or promptly following any demand by the Used Vehicle Floorplan Swing Line Lender.</w:t>
      </w:r>
    </w:p>
    <w:p>
      <w:pPr>
        <w:pStyle w:val="TextBody"/>
        <w:bidi w:val="0"/>
        <w:spacing w:lineRule="auto" w:line="240" w:before="0" w:after="240"/>
        <w:ind w:left="0" w:right="0" w:hanging="720"/>
        <w:jc w:val="both"/>
        <w:rPr/>
      </w:pPr>
      <w:r>
        <w:rPr>
          <w:rFonts w:ascii="Times New Roman;sans-serif" w:hAnsi="Times New Roman;sans-serif"/>
          <w:b/>
          <w:color w:val="000000"/>
          <w:sz w:val="22"/>
        </w:rPr>
        <w:t>2.16Interest</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Subject to the provisions of </w:t>
      </w:r>
      <w:r>
        <w:rPr>
          <w:rFonts w:ascii="Times New Roman;sans-serif" w:hAnsi="Times New Roman;sans-serif"/>
          <w:b w:val="false"/>
          <w:color w:val="000000"/>
          <w:sz w:val="22"/>
          <w:u w:val="single"/>
        </w:rPr>
        <w:t>subsections (b)</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(c)</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(d)</w:t>
      </w:r>
      <w:r>
        <w:rPr>
          <w:color w:val="000000"/>
        </w:rPr>
        <w:t xml:space="preserve"> </w:t>
      </w:r>
      <w:r>
        <w:rPr>
          <w:rFonts w:ascii="Times New Roman;sans-serif" w:hAnsi="Times New Roman;sans-serif"/>
          <w:b w:val="false"/>
          <w:color w:val="000000"/>
          <w:sz w:val="22"/>
        </w:rPr>
        <w:t xml:space="preserve">below, (i) each Daily Simple SOFR Committed Loan shall bear interest on the outstanding principal amount thereof from the applicable borrowing date at a rate per annum equal to Daily Simple SOFR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the Applicable Rate; (ii) each Base Rate Committed Loan shall bear interest on the outstanding principal amount thereof from the applicable borrowing date at a rate per annum equal to the Base Rate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the Applicable Rate; and (iii) each Swing Line Loan shall bear interest on the outstanding principal amount thereof from the applicable borrowing date at a rate per annum equal to Daily Simple SOFR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the Applicable Rate or the Base Rate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the Applicable Rate, as applicable.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Application of Floorplan Principal Reduction to New Vehicle Floorplan Loans</w:t>
      </w:r>
      <w:r>
        <w:rPr>
          <w:rFonts w:ascii="Times New Roman;sans-serif" w:hAnsi="Times New Roman;sans-serif"/>
          <w:b w:val="false"/>
          <w:color w:val="000000"/>
          <w:sz w:val="22"/>
        </w:rPr>
        <w:t xml:space="preserve">. Subject to the terms and conditions of </w:t>
      </w:r>
      <w:r>
        <w:rPr>
          <w:rFonts w:ascii="Times New Roman;sans-serif" w:hAnsi="Times New Roman;sans-serif"/>
          <w:b w:val="false"/>
          <w:color w:val="000000"/>
          <w:sz w:val="22"/>
          <w:u w:val="single"/>
        </w:rPr>
        <w:t>Section 2.09(b)</w:t>
      </w:r>
      <w:r>
        <w:rPr>
          <w:rFonts w:ascii="Times New Roman;sans-serif" w:hAnsi="Times New Roman;sans-serif"/>
          <w:b w:val="false"/>
          <w:color w:val="000000"/>
          <w:sz w:val="22"/>
        </w:rPr>
        <w:t xml:space="preserve">, the interest payable for any day with respect to the New Vehicle Floorplan Loans reduced by </w:t>
      </w:r>
      <w:r>
        <w:rPr>
          <w:rFonts w:ascii="Times New Roman;sans-serif" w:hAnsi="Times New Roman;sans-serif"/>
          <w:b w:val="false"/>
          <w:color w:val="000000"/>
          <w:sz w:val="22"/>
          <w:u w:val="single"/>
        </w:rPr>
        <w:t>Section 2.09(b)</w:t>
      </w:r>
      <w:r>
        <w:rPr>
          <w:color w:val="000000"/>
        </w:rPr>
        <w:t xml:space="preserve"> </w:t>
      </w:r>
      <w:r>
        <w:rPr>
          <w:rFonts w:ascii="Times New Roman;sans-serif" w:hAnsi="Times New Roman;sans-serif"/>
          <w:b w:val="false"/>
          <w:color w:val="000000"/>
          <w:sz w:val="22"/>
        </w:rPr>
        <w:t>will be reduced in an aggregate amount equal to (A) the Applicable Floorplan Principal Reduction for such day multiplied by (B) the per annum interest rate otherwise applicable to such New Vehicle Floorplan Loans for such day.</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367665"/>
                <wp:effectExtent l="0" t="0" r="0" b="0"/>
                <wp:wrapNone/>
                <wp:docPr id="268" name="Frame26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95</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(ii)If any amount (other than principal of any Loan) payable by any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(iii)Upon the request of the Required Lenders, while any Event of Default exists (other than as set forth in </w:t>
      </w:r>
      <w:r>
        <w:rPr>
          <w:rFonts w:ascii="Times New Roman;sans-serif" w:hAnsi="Times New Roman;sans-serif"/>
          <w:b w:val="false"/>
          <w:color w:val="000000"/>
          <w:sz w:val="22"/>
          <w:u w:val="single"/>
        </w:rPr>
        <w:t>clauses (c)(i)</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(c)(ii)</w:t>
      </w:r>
      <w:r>
        <w:rPr>
          <w:color w:val="000000"/>
        </w:rPr>
        <w:t xml:space="preserve"> </w:t>
      </w:r>
      <w:r>
        <w:rPr>
          <w:rFonts w:ascii="Times New Roman;sans-serif" w:hAnsi="Times New Roman;sans-serif"/>
          <w:b w:val="false"/>
          <w:color w:val="000000"/>
          <w:sz w:val="22"/>
        </w:rPr>
        <w:t>above), the applicable Borrowers shall pay interest on the principal amount of all outstanding Obligations hereunder at a fluctuating interest rate per annum at all times equal to the Default Rate to the fullest extent permitted by applicable Laws.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(iv)Accrued and unpaid interest on past due amounts (including interest on past due interest) shall be due and payable upon demand.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 </w:t>
      </w:r>
    </w:p>
    <w:p>
      <w:pPr>
        <w:pStyle w:val="TextBody"/>
        <w:bidi w:val="0"/>
        <w:spacing w:lineRule="auto" w:line="240" w:before="0" w:after="240"/>
        <w:ind w:left="0" w:right="0" w:hanging="720"/>
        <w:jc w:val="both"/>
        <w:rPr/>
      </w:pPr>
      <w:r>
        <w:rPr>
          <w:rFonts w:ascii="Times New Roman;sans-serif" w:hAnsi="Times New Roman;sans-serif"/>
          <w:b/>
          <w:color w:val="000000"/>
          <w:sz w:val="22"/>
        </w:rPr>
        <w:t>2.17Fees</w:t>
      </w:r>
      <w:r>
        <w:rPr>
          <w:rFonts w:ascii="Times New Roman;sans-serif" w:hAnsi="Times New Roman;sans-serif"/>
          <w:b w:val="false"/>
          <w:color w:val="000000"/>
          <w:sz w:val="22"/>
        </w:rPr>
        <w:t xml:space="preserve">. In addition to certain fees described in </w:t>
      </w:r>
      <w:r>
        <w:rPr>
          <w:rFonts w:ascii="Times New Roman;sans-serif" w:hAnsi="Times New Roman;sans-serif"/>
          <w:b w:val="false"/>
          <w:color w:val="000000"/>
          <w:sz w:val="22"/>
          <w:u w:val="single"/>
        </w:rPr>
        <w:t>subsections (h)</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(i)</w:t>
      </w:r>
      <w:r>
        <w:rPr>
          <w:color w:val="000000"/>
        </w:rPr>
        <w:t xml:space="preserve"> </w:t>
      </w:r>
      <w:r>
        <w:rPr>
          <w:rFonts w:ascii="Times New Roman;sans-serif" w:hAnsi="Times New Roman;sans-serif"/>
          <w:b w:val="false"/>
          <w:color w:val="000000"/>
          <w:sz w:val="22"/>
        </w:rPr>
        <w:t xml:space="preserve">of </w:t>
      </w:r>
      <w:r>
        <w:rPr>
          <w:rFonts w:ascii="Times New Roman;sans-serif" w:hAnsi="Times New Roman;sans-serif"/>
          <w:b w:val="false"/>
          <w:color w:val="000000"/>
          <w:sz w:val="22"/>
          <w:u w:val="single"/>
        </w:rPr>
        <w:t>Section 2.03</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Commitment Fees</w:t>
      </w:r>
      <w:r>
        <w:rPr>
          <w:rFonts w:ascii="Times New Roman;sans-serif" w:hAnsi="Times New Roman;sans-serif"/>
          <w:b w:val="false"/>
          <w:color w:val="000000"/>
          <w:sz w:val="22"/>
        </w:rPr>
        <w:t xml:space="preserve">. The Company shall pay to the Administrative Agent for the account of each Revolving Lender in accordance with its Applicable Revolving Percentage, a commitment fee equal to the Applicable Rate times the actual daily amount by which the Aggregate Revolving Commitments exceed the sum of (i) the Outstanding Amount of Revolving Committed Loans and (ii) the Outstanding Amount of L/C Obligations, subject to adjustment as provided in </w:t>
      </w:r>
      <w:r>
        <w:rPr>
          <w:rFonts w:ascii="Times New Roman;sans-serif" w:hAnsi="Times New Roman;sans-serif"/>
          <w:b w:val="false"/>
          <w:color w:val="000000"/>
          <w:sz w:val="22"/>
          <w:u w:val="single"/>
        </w:rPr>
        <w:t>Section 2.27</w:t>
      </w:r>
      <w:r>
        <w:rPr>
          <w:rFonts w:ascii="Times New Roman;sans-serif" w:hAnsi="Times New Roman;sans-serif"/>
          <w:b w:val="false"/>
          <w:color w:val="000000"/>
          <w:sz w:val="22"/>
        </w:rPr>
        <w:t xml:space="preserve">. The Borrowers (jointly and severally) shall pay to the Administrative Agent for the account of each New Vehicle Floorplan Lender in accordance with its Applicable New Vehicle Floorplan Percentage, a commitment fee equal to the Applicable Rate times the actual daily amount by which the Aggregate New Vehicle Floorplan Commitments exceed the Outstanding Amount of New Vehicle Floorplan Committed Loans (as calculated after giving effect to any Applicable Floorplan Principal Reduction in accordance with </w:t>
      </w:r>
      <w:r>
        <w:rPr>
          <w:rFonts w:ascii="Times New Roman;sans-serif" w:hAnsi="Times New Roman;sans-serif"/>
          <w:b w:val="false"/>
          <w:color w:val="000000"/>
          <w:sz w:val="22"/>
          <w:u w:val="single"/>
        </w:rPr>
        <w:t>Section 2.09</w:t>
      </w:r>
      <w:r>
        <w:rPr>
          <w:rFonts w:ascii="Times New Roman;sans-serif" w:hAnsi="Times New Roman;sans-serif"/>
          <w:b w:val="false"/>
          <w:color w:val="000000"/>
          <w:sz w:val="22"/>
        </w:rPr>
        <w:t xml:space="preserve">), subject to adjustment as provided in </w:t>
      </w:r>
      <w:r>
        <w:rPr>
          <w:rFonts w:ascii="Times New Roman;sans-serif" w:hAnsi="Times New Roman;sans-serif"/>
          <w:b w:val="false"/>
          <w:color w:val="000000"/>
          <w:sz w:val="22"/>
          <w:u w:val="single"/>
        </w:rPr>
        <w:t>Section 2.27</w:t>
      </w:r>
      <w:r>
        <w:rPr>
          <w:rFonts w:ascii="Times New Roman;sans-serif" w:hAnsi="Times New Roman;sans-serif"/>
          <w:b w:val="false"/>
          <w:color w:val="000000"/>
          <w:sz w:val="22"/>
        </w:rPr>
        <w:t xml:space="preserve">. The Borrowers (jointly and severally) shall pay to the Administrative Agent for the account of each Used Vehicle Floorplan Lender in accordance with its Applicable Used Vehicle Floorplan Percentage, a commitment fee equal to the Applicable Rate times the actual daily amount by which the Aggregate Used Vehicle Floorplan Commitments exceed the Outstanding Amount of Used Vehicle Floorplan Committed Loans, subject to adjustment as provided in </w:t>
      </w:r>
      <w:r>
        <w:rPr>
          <w:rFonts w:ascii="Times New Roman;sans-serif" w:hAnsi="Times New Roman;sans-serif"/>
          <w:b w:val="false"/>
          <w:color w:val="000000"/>
          <w:sz w:val="22"/>
          <w:u w:val="single"/>
        </w:rPr>
        <w:t>Section 2.27</w:t>
      </w:r>
      <w:r>
        <w:rPr>
          <w:rFonts w:ascii="Times New Roman;sans-serif" w:hAnsi="Times New Roman;sans-serif"/>
          <w:b w:val="false"/>
          <w:color w:val="000000"/>
          <w:sz w:val="22"/>
        </w:rPr>
        <w:t xml:space="preserve">. The commitment fees shall accrue at all times during the Availability Period, including at any time during which one or more of the conditions in </w:t>
      </w:r>
      <w:r>
        <w:rPr>
          <w:rFonts w:ascii="Times New Roman;sans-serif" w:hAnsi="Times New Roman;sans-serif"/>
          <w:b w:val="false"/>
          <w:color w:val="000000"/>
          <w:sz w:val="22"/>
          <w:u w:val="single"/>
        </w:rPr>
        <w:t>Article IV</w:t>
      </w:r>
      <w:r>
        <w:rPr>
          <w:color w:val="000000"/>
        </w:rPr>
        <w:t xml:space="preserve"> </w:t>
      </w:r>
      <w:r>
        <w:rPr>
          <w:rFonts w:ascii="Times New Roman;sans-serif" w:hAnsi="Times New Roman;sans-serif"/>
          <w:b w:val="false"/>
          <w:color w:val="000000"/>
          <w:sz w:val="22"/>
        </w:rPr>
        <w:t>is not met, and shall be due and payable quarterly in arrears on the next succeeding Automatic Debit Date after the end of each March, June, September and December, commencing with the first such date to occur after the Closing Date, and on the Maturity Date. The commitment fees shall be calculated quarterly in arrears, and if there is any change in the respective Applicable Rate during any quarter, the actual daily amount shall be computed and multiplied by such Applicable Rate separately for each period during such quarter that such Applicable Rate was in effect. For purposes of clarity, Revolving Swing Line Loans, New Vehicle Floorplan Swing Line Loans, Used Vehicle Floorplan Swing Line Loans and amounts in any New Vehicle Floorplan Offset Account shall not be included in calculating the Outstanding Amount of Revolving Committed Loans, New Vehicle Floorplan Committed Loans or Used Vehicle Floorplan Committed Loans used in determining the commitment fees set forth above.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Other Fees</w:t>
      </w:r>
      <w:r>
        <w:rPr>
          <w:rFonts w:ascii="Times New Roman;sans-serif" w:hAnsi="Times New Roman;sans-serif"/>
          <w:b w:val="false"/>
          <w:color w:val="000000"/>
          <w:sz w:val="22"/>
        </w:rPr>
        <w:t xml:space="preserve">.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367665"/>
                <wp:effectExtent l="0" t="0" r="0" b="0"/>
                <wp:wrapNone/>
                <wp:docPr id="269" name="Frame26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96</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(i)The Company shall pay to the Arranger and the Administrative Agent for their own respective accounts (or for the accounts of the Lenders, as applicable) fees in the amounts and at the times specified in the Fee Letters. Such fees shall be fully earned when paid and shall not be refundable for any reason whatsoever.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(ii)The Company shall pay to the Lenders such fees as shall have been separately agreed upon in writing in the amounts and at the times so specified. Such fees shall be fully earned when paid and shall not be refundable for any reason whatsoever.</w:t>
      </w:r>
    </w:p>
    <w:p>
      <w:pPr>
        <w:pStyle w:val="TextBody"/>
        <w:bidi w:val="0"/>
        <w:spacing w:lineRule="auto" w:line="240" w:before="0" w:after="240"/>
        <w:ind w:left="0" w:right="0" w:hanging="720"/>
        <w:jc w:val="both"/>
        <w:rPr/>
      </w:pPr>
      <w:r>
        <w:rPr>
          <w:rFonts w:ascii="Times New Roman;sans-serif" w:hAnsi="Times New Roman;sans-serif"/>
          <w:b/>
          <w:color w:val="000000"/>
          <w:sz w:val="22"/>
        </w:rPr>
        <w:t>2.18Computation of Interest and Fees; Retroactive Adjustments of Applicable Rate</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All computations of interest for Base Rate Loans (including Base Rate Loans determined by reference to Daily Simple SOFR)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any Loan that is repaid on the same day on which it is made shall, subject to </w:t>
      </w:r>
      <w:r>
        <w:rPr>
          <w:rFonts w:ascii="Times New Roman;sans-serif" w:hAnsi="Times New Roman;sans-serif"/>
          <w:b w:val="false"/>
          <w:color w:val="000000"/>
          <w:sz w:val="22"/>
          <w:u w:val="single"/>
        </w:rPr>
        <w:t>Section 2.20(a)</w:t>
      </w:r>
      <w:r>
        <w:rPr>
          <w:rFonts w:ascii="Times New Roman;sans-serif" w:hAnsi="Times New Roman;sans-serif"/>
          <w:b w:val="false"/>
          <w:color w:val="000000"/>
          <w:sz w:val="22"/>
        </w:rPr>
        <w:t>, bear interest for one day. Each determination by the Administrative Agent of an interest rate or fee hereunder shall be conclusive and binding for all purposes, absent manifest error.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If, as a result of any restatement of or other adjustment to the financial statements of the Company or for any other reason, the Company or the Lenders determine that (i) the Consolidated Total Lease Adjusted Leverage Ratio as calculated by the Company as of any applicable date was inaccurate and (ii) a proper calculation of the Consolidated Total Lease Adjusted Leverage Ratio would have resulted in higher pricing for such period, the Company shall immediately and retroactively be obligated to pay to the Administrative Agent for the account of the applicable Lenders or the applicable L/C Issuer, as the case may be, promptly on demand by the Administrative Agent (or, after the occurrence of an actual or deemed entry of an order for relief with respect to the Company under the Bankruptcy Code of the United States, automatically and without further action by the Administrative Agent, any Lender or any L/C Issuer), an amount equal to the excess of the amount of interest and fees that should have been paid for such period over the amount of interest and fees actually paid for such period. This paragraph shall not limit the rights of the Administrative Agent, any Lender or any L/C Issuer, as the case may be, under </w:t>
      </w:r>
      <w:r>
        <w:rPr>
          <w:rFonts w:ascii="Times New Roman;sans-serif" w:hAnsi="Times New Roman;sans-serif"/>
          <w:b w:val="false"/>
          <w:color w:val="000000"/>
          <w:sz w:val="22"/>
          <w:u w:val="single"/>
        </w:rPr>
        <w:t>Section 2.03(e)(iii)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2.03(i)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2.17(b)</w:t>
      </w:r>
      <w:r>
        <w:rPr>
          <w:color w:val="000000"/>
        </w:rPr>
        <w:t xml:space="preserve"> </w:t>
      </w:r>
      <w:r>
        <w:rPr>
          <w:rFonts w:ascii="Times New Roman;sans-serif" w:hAnsi="Times New Roman;sans-serif"/>
          <w:b w:val="false"/>
          <w:color w:val="000000"/>
          <w:sz w:val="22"/>
        </w:rPr>
        <w:t xml:space="preserve">or under </w:t>
      </w:r>
      <w:r>
        <w:rPr>
          <w:rFonts w:ascii="Times New Roman;sans-serif" w:hAnsi="Times New Roman;sans-serif"/>
          <w:b w:val="false"/>
          <w:color w:val="000000"/>
          <w:sz w:val="22"/>
          <w:u w:val="single"/>
        </w:rPr>
        <w:t>Article VIII</w:t>
      </w:r>
      <w:r>
        <w:rPr>
          <w:rFonts w:ascii="Times New Roman;sans-serif" w:hAnsi="Times New Roman;sans-serif"/>
          <w:b w:val="false"/>
          <w:color w:val="000000"/>
          <w:sz w:val="22"/>
        </w:rPr>
        <w:t>. The Company’s obligations under this paragraph shall survive the termination of the Aggregate Commitments and the repayment of all other Obligations hereunder.</w:t>
      </w:r>
    </w:p>
    <w:p>
      <w:pPr>
        <w:pStyle w:val="TextBody"/>
        <w:bidi w:val="0"/>
        <w:spacing w:lineRule="auto" w:line="240" w:before="0" w:after="240"/>
        <w:ind w:left="0" w:right="0" w:hanging="720"/>
        <w:jc w:val="both"/>
        <w:rPr/>
      </w:pPr>
      <w:r>
        <w:rPr>
          <w:rFonts w:ascii="Times New Roman;sans-serif" w:hAnsi="Times New Roman;sans-serif"/>
          <w:b/>
          <w:color w:val="000000"/>
          <w:sz w:val="22"/>
        </w:rPr>
        <w:t>2.19Evidence of Debt</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Borrowers and the interest and payments thereon. Any failure to so record or any error in doing so shall not</w:t>
      </w:r>
      <w:r>
        <w:rPr>
          <w:rFonts w:ascii="Times New Roman;sans-serif" w:hAnsi="Times New Roman;sans-serif"/>
          <w:b w:val="false"/>
          <w:color w:val="000000"/>
          <w:sz w:val="22"/>
          <w:u w:val="single"/>
        </w:rPr>
        <w:t>, however</w:t>
      </w:r>
      <w:r>
        <w:rPr>
          <w:rFonts w:ascii="Times New Roman;sans-serif" w:hAnsi="Times New Roman;sans-serif"/>
          <w:b w:val="false"/>
          <w:color w:val="000000"/>
          <w:sz w:val="22"/>
        </w:rPr>
        <w:t>, limit or otherwise affect the obligation of the Borrowers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respective Borrowers under each Facility shall execute and deliver to such Lender (through the Administrative Agent) (i) a Revolving Note, which shall evidence such Lender’s Revolving Loans, (ii) a New Vehicle Floorplan Note, which shall evidence such Lender’s New Vehicle Floorplan Loans, and (iii) a Used Vehicle Floorplan Note, which shall evidence such Lender’s Used Vehicle Floorplan Loans, in each case in addition to such accounts or records. Each Lender may attach schedules to its Notes and endorse thereon the date, Type (if applicable), amount and maturity of its Loans and payments with respect thereto.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In addition to the accounts and records referred to in subsection (a), each Lender and the Administrative Agent shall maintain in accordance with its usual practice accounts or records evidencing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367665"/>
                <wp:effectExtent l="0" t="0" r="0" b="0"/>
                <wp:wrapNone/>
                <wp:docPr id="270" name="Frame26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97</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purchases and sales by such Lender of participations in Letters of Credit, Revolving Swing Line Loans, New Vehicle Floorplan Swing Line Loans and Used Vehicle Floorplan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pStyle w:val="TextBody"/>
        <w:bidi w:val="0"/>
        <w:spacing w:lineRule="auto" w:line="240" w:before="0" w:after="240"/>
        <w:ind w:left="0" w:right="0" w:hanging="720"/>
        <w:jc w:val="both"/>
        <w:rPr/>
      </w:pPr>
      <w:r>
        <w:rPr>
          <w:rFonts w:ascii="Times New Roman;sans-serif" w:hAnsi="Times New Roman;sans-serif"/>
          <w:b/>
          <w:color w:val="000000"/>
          <w:sz w:val="22"/>
        </w:rPr>
        <w:t>2.20Payments Generally; Administrative Agent’s Clawback</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General</w:t>
      </w:r>
      <w:r>
        <w:rPr>
          <w:rFonts w:ascii="Times New Roman;sans-serif" w:hAnsi="Times New Roman;sans-serif"/>
          <w:b w:val="false"/>
          <w:color w:val="000000"/>
          <w:sz w:val="22"/>
        </w:rPr>
        <w:t>. All payments to be made by any Borrower shall be made free and clear of and without condition or deduction for any counterclaim, defense, recoupment or setoff. Except as otherwise expressly provided herein, all payments by any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Revolving Percentage, Applicable New Vehicle Floorplan Percentage or Applicable Used Vehicle Floorplan Percentage, as applicable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Subject to the terms of any New Vehicle Autoborrow Agreement, all payments to be made by any Borrower hereunder to the New Vehicle Floorplan Swing Line Lender shall be made as follows: upon a New Vehicle Borrower entering information into the Floorplan On-Line System authorizing the New Vehicle Floorplan Swing Line Lender to debit any amount from such Borrower’s deposit account, such amount will be deemed received by the New Vehicle Floorplan Swing Line Lender at the following times depending on whether the deposit account is maintained at Bank of America and when the request is entered pursuant to the Floorplan On-Line System:</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(i)if the deposit account is maintained at Bank of America, the amount will be deemed received (A) on the same Business Day if the request is entered prior to 7:00 p.m. on that day, or (B) on the next Business Day if the request is entered at or after 7:00 p.m. or is entered on a day that is not a Business Day; and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(ii)if the deposit account is maintained at any Person other than Bank of America, the amount will be deemed received (A) on the following Business Day if the request is received prior to 7:00 p.m. on a Business Day, or (B) two Business Days later if the request is entered at or after 7:00 p.m. or is entered on a day that is not a Business Day.</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If any payment to be made by any Borrower shall come due on a day other than a Business Day, payment shall be made on the next following Business Day, and such extension of time shall be reflected in computing interest or fees, as the case may be.</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Funding by Lenders; Presumption by Administrative Agent</w:t>
      </w:r>
      <w:r>
        <w:rPr>
          <w:rFonts w:ascii="Times New Roman;sans-serif" w:hAnsi="Times New Roman;sans-serif"/>
          <w:b w:val="false"/>
          <w:color w:val="000000"/>
          <w:sz w:val="22"/>
        </w:rPr>
        <w:t xml:space="preserve">. Unless the Administrative Agent shall have received notice from a Lender prior to 12:00 noon on the date of any Committed Borrowing that such Lender will not make available to the Administrative Agent such Lender’s share of such Committed Borrowing, the Administrative Agent may assume that such Lender has made such share available on such date in accordance with </w:t>
      </w:r>
      <w:r>
        <w:rPr>
          <w:rFonts w:ascii="Times New Roman;sans-serif" w:hAnsi="Times New Roman;sans-serif"/>
          <w:b w:val="false"/>
          <w:color w:val="000000"/>
          <w:sz w:val="22"/>
          <w:u w:val="single"/>
        </w:rPr>
        <w:t>Section 2.02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Section 2.06</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2.11</w:t>
      </w:r>
      <w:r>
        <w:rPr>
          <w:color w:val="000000"/>
        </w:rPr>
        <w:t xml:space="preserve"> </w:t>
      </w:r>
      <w:r>
        <w:rPr>
          <w:rFonts w:ascii="Times New Roman;sans-serif" w:hAnsi="Times New Roman;sans-serif"/>
          <w:b w:val="false"/>
          <w:color w:val="000000"/>
          <w:sz w:val="22"/>
        </w:rPr>
        <w:t xml:space="preserve">and may, in reliance upon such assumption, make available to the Company or applicable Vehicle Borrower a corresponding amount. In such event, if a Lender has not in fact made its share of the applicable Committed Borrowing available to the Administrative Agent, then the applicable Lender, the Company and the other Borrowers severally agree to pay to the Administrative Agent forthwith on demand such corresponding amount in immediately available funds with interest thereon, for each day from and including the date such amount is made available to the Company or applicable Vehicle Borrower to but excluding the date of payment to the Administrative Agent, at (A) in the case of a payment to be made by such Lender, the greater of the Federal Funds Rate and a rate determined by the Administrative Agent in accordance with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367665"/>
                <wp:effectExtent l="0" t="0" r="0" b="0"/>
                <wp:wrapNone/>
                <wp:docPr id="271" name="Frame26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98</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banking industry rules on interbank compensation,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any administrative, processing or similar fees customarily charged by the Administrative Agent in connection with the foregoing, and (B) in the case of a payment to be made by the Company or any other Borrower, the interest rate applicable to Base Rate Loans. If the Company or any other Borrower and such Lender shall pay such interest to the Administrative Agent for the same or an overlapping period, the Administrative Agent shall promptly remit to the Company or applicable Vehicle Borrower the amount of such interest paid by the Company or such Borrower for such period. If such Lender pays its share of the applicable Committed Borrowing to the Administrative Agent, then the amount so paid shall constitute such Lender’s Loan included in such Committed Borrowing. Any payment by the Company or any other Borrower shall be without prejudice to any claim the Company or any other Borrower may have against a Lender that shall have failed to make such payment to the Administrative Agent.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Payments by Borrowers; Presumptions by Administrative Agent</w:t>
      </w:r>
      <w:r>
        <w:rPr>
          <w:rFonts w:ascii="Times New Roman;sans-serif" w:hAnsi="Times New Roman;sans-serif"/>
          <w:b w:val="false"/>
          <w:color w:val="000000"/>
          <w:sz w:val="22"/>
        </w:rPr>
        <w:t xml:space="preserve">. Unless the Administrative Agent shall have received notice from the Company (on its own behalf or on behalf of another Borrower) prior to the date on which any payment is due to the Administrative Agent for the account of the Lenders or any L/C Issuer hereunder that such Borrower will not make such payment, the Administrative Agent may assume that such Borrower has made such payment on such date in accordance herewith and may, in reliance upon such assumption, distribute to the Lenders or such L/C Issuer, as the case may be, the amount due. </w:t>
      </w:r>
    </w:p>
    <w:p>
      <w:pPr>
        <w:pStyle w:val="TextBody"/>
        <w:bidi w:val="0"/>
        <w:spacing w:lineRule="auto" w:line="288" w:before="0" w:after="240"/>
        <w:jc w:val="both"/>
        <w:rPr/>
      </w:pPr>
      <w:r>
        <w:rPr>
          <w:rFonts w:ascii="Times New Roman;sans-serif" w:hAnsi="Times New Roman;sans-serif"/>
          <w:b w:val="false"/>
          <w:color w:val="000000"/>
          <w:sz w:val="22"/>
        </w:rPr>
        <w:t>(iii)With respect to</w:t>
      </w:r>
      <w:r>
        <w:rPr>
          <w:color w:val="000000"/>
        </w:rPr>
        <w:t xml:space="preserve"> </w:t>
      </w:r>
      <w:r>
        <w:rPr>
          <w:rFonts w:ascii="Times New Roman;sans-serif" w:hAnsi="Times New Roman;sans-serif"/>
          <w:b w:val="false"/>
          <w:color w:val="000000"/>
          <w:sz w:val="22"/>
        </w:rPr>
        <w:t>any payment that</w:t>
      </w:r>
      <w:r>
        <w:rPr>
          <w:color w:val="000000"/>
        </w:rPr>
        <w:t xml:space="preserve"> </w:t>
      </w:r>
      <w:r>
        <w:rPr>
          <w:rFonts w:ascii="Times New Roman;sans-serif" w:hAnsi="Times New Roman;sans-serif"/>
          <w:b w:val="false"/>
          <w:color w:val="000000"/>
          <w:sz w:val="22"/>
        </w:rPr>
        <w:t>the Administrative Agent makes for the account of the Lenders or any L/C Issuer hereunder as to which the Administrative Agent determines (which determination shall be conclusive absent manifest error) that any of the following applies (such payment referred to as the “</w:t>
      </w:r>
      <w:r>
        <w:rPr>
          <w:rFonts w:ascii="Times New Roman;sans-serif" w:hAnsi="Times New Roman;sans-serif"/>
          <w:b w:val="false"/>
          <w:color w:val="000000"/>
          <w:sz w:val="22"/>
          <w:u w:val="single"/>
        </w:rPr>
        <w:t>Rescindable Amount</w:t>
      </w:r>
      <w:r>
        <w:rPr>
          <w:color w:val="000000"/>
        </w:rPr>
        <w:t>”</w:t>
      </w:r>
      <w:r>
        <w:rPr>
          <w:rFonts w:ascii="Times New Roman;sans-serif" w:hAnsi="Times New Roman;sans-serif"/>
          <w:b w:val="false"/>
          <w:color w:val="000000"/>
          <w:sz w:val="22"/>
        </w:rPr>
        <w:t>): (1) the Borrowers have not in fact made such payment; (2) the Administrative Agent has made a payment in excess of the amount so paid by the Borrowers (whether or not then owed); or (3) the Administrative agent has for any reason otherwise erroneously made such payment: then each of the Lenders or the applicable L/C Issuer, as the case may be, severally agrees to repay to the Administrative Agent forthwith on demand the Rescindable Amount so distributed to such Lender or such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notice of the Administrative Agent to any Lender or any Borrower with respect to any amount owing under this subsection (b) shall be conclusive, absent manifest error.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Failure to Satisfy Conditions Precedent</w:t>
      </w:r>
      <w:r>
        <w:rPr>
          <w:rFonts w:ascii="Times New Roman;sans-serif" w:hAnsi="Times New Roman;sans-serif"/>
          <w:b w:val="false"/>
          <w:color w:val="000000"/>
          <w:sz w:val="22"/>
        </w:rPr>
        <w:t xml:space="preserve">. If any Lender makes available to the Administrative Agent funds for any Loan to be made by such Lender to any Borrower as provided in the foregoing provisions of this </w:t>
      </w:r>
      <w:r>
        <w:rPr>
          <w:rFonts w:ascii="Times New Roman;sans-serif" w:hAnsi="Times New Roman;sans-serif"/>
          <w:b w:val="false"/>
          <w:color w:val="000000"/>
          <w:sz w:val="22"/>
          <w:u w:val="single"/>
        </w:rPr>
        <w:t>Article II</w:t>
      </w:r>
      <w:r>
        <w:rPr>
          <w:rFonts w:ascii="Times New Roman;sans-serif" w:hAnsi="Times New Roman;sans-serif"/>
          <w:b w:val="false"/>
          <w:color w:val="000000"/>
          <w:sz w:val="22"/>
        </w:rPr>
        <w:t xml:space="preserve">, and such funds are not made available to such Borrower by the Administrative Agent because the conditions to the applicable Credit Extension set forth in </w:t>
      </w:r>
      <w:r>
        <w:rPr>
          <w:rFonts w:ascii="Times New Roman;sans-serif" w:hAnsi="Times New Roman;sans-serif"/>
          <w:b w:val="false"/>
          <w:color w:val="000000"/>
          <w:sz w:val="22"/>
          <w:u w:val="single"/>
        </w:rPr>
        <w:t>Article IV</w:t>
      </w:r>
      <w:r>
        <w:rPr>
          <w:color w:val="000000"/>
        </w:rPr>
        <w:t xml:space="preserve"> </w:t>
      </w:r>
      <w:r>
        <w:rPr>
          <w:rFonts w:ascii="Times New Roman;sans-serif" w:hAnsi="Times New Roman;sans-serif"/>
          <w:b w:val="false"/>
          <w:color w:val="000000"/>
          <w:sz w:val="22"/>
        </w:rPr>
        <w:t>are not satisfied or waived in accordance with the terms hereof, the Administrative Agent shall return such funds (in like funds as received from such Lender) to such Lender, without interest.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Obligations of Lenders Several</w:t>
      </w:r>
      <w:r>
        <w:rPr>
          <w:rFonts w:ascii="Times New Roman;sans-serif" w:hAnsi="Times New Roman;sans-serif"/>
          <w:b w:val="false"/>
          <w:color w:val="000000"/>
          <w:sz w:val="22"/>
        </w:rPr>
        <w:t xml:space="preserve">. The obligations of the Lenders in each Facility hereunder to make Committed Loans with respect to such Facility, to fund participations in the applicable Swing Line Loans under such Facility and, if applicable, Letters of Credit and to make payments pursuant to </w:t>
      </w:r>
      <w:r>
        <w:rPr>
          <w:rFonts w:ascii="Times New Roman;sans-serif" w:hAnsi="Times New Roman;sans-serif"/>
          <w:b w:val="false"/>
          <w:color w:val="000000"/>
          <w:sz w:val="22"/>
          <w:u w:val="single"/>
        </w:rPr>
        <w:t>Section 10.04(c)</w:t>
      </w:r>
      <w:r>
        <w:rPr>
          <w:color w:val="000000"/>
        </w:rPr>
        <w:t xml:space="preserve"> </w:t>
      </w:r>
      <w:r>
        <w:rPr>
          <w:rFonts w:ascii="Times New Roman;sans-serif" w:hAnsi="Times New Roman;sans-serif"/>
          <w:b w:val="false"/>
          <w:color w:val="000000"/>
          <w:sz w:val="22"/>
        </w:rPr>
        <w:t xml:space="preserve">are several and not joint within each such Facility. The failure of any Lender to make any Committed Loan, to fund any such participation or to make any payment under </w:t>
      </w:r>
      <w:r>
        <w:rPr>
          <w:rFonts w:ascii="Times New Roman;sans-serif" w:hAnsi="Times New Roman;sans-serif"/>
          <w:b w:val="false"/>
          <w:color w:val="000000"/>
          <w:sz w:val="22"/>
          <w:u w:val="single"/>
        </w:rPr>
        <w:t>Section 10.04(c)</w:t>
      </w:r>
      <w:r>
        <w:rPr>
          <w:color w:val="000000"/>
        </w:rPr>
        <w:t xml:space="preserve"> </w:t>
      </w:r>
      <w:r>
        <w:rPr>
          <w:rFonts w:ascii="Times New Roman;sans-serif" w:hAnsi="Times New Roman;sans-serif"/>
          <w:b w:val="false"/>
          <w:color w:val="000000"/>
          <w:sz w:val="22"/>
        </w:rPr>
        <w:t xml:space="preserve">on any date required hereunder shall not relieve any other Lender of its corresponding obligation to do so on such date, and no Lender shall be responsible for the failure of any other Lender to so make its Committed Loan, to purchase its participation or to make its payment under </w:t>
      </w:r>
      <w:r>
        <w:rPr>
          <w:rFonts w:ascii="Times New Roman;sans-serif" w:hAnsi="Times New Roman;sans-serif"/>
          <w:b w:val="false"/>
          <w:color w:val="000000"/>
          <w:sz w:val="22"/>
          <w:u w:val="single"/>
        </w:rPr>
        <w:t>Section 10.04(c)</w:t>
      </w:r>
      <w:r>
        <w:rPr>
          <w:rFonts w:ascii="Times New Roman;sans-serif" w:hAnsi="Times New Roman;sans-serif"/>
          <w:b w:val="false"/>
          <w:color w:val="000000"/>
          <w:sz w:val="22"/>
        </w:rPr>
        <w:t>.</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367665"/>
                <wp:effectExtent l="0" t="0" r="0" b="0"/>
                <wp:wrapNone/>
                <wp:docPr id="272" name="Frame26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99</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Funding Source</w:t>
      </w:r>
      <w:r>
        <w:rPr>
          <w:rFonts w:ascii="Times New Roman;sans-serif" w:hAnsi="Times New Roman;sans-serif"/>
          <w:b w:val="false"/>
          <w:color w:val="000000"/>
          <w:sz w:val="22"/>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Insufficient Funds</w:t>
      </w:r>
      <w:r>
        <w:rPr>
          <w:rFonts w:ascii="Times New Roman;sans-serif" w:hAnsi="Times New Roman;sans-serif"/>
          <w:b w:val="false"/>
          <w:color w:val="000000"/>
          <w:sz w:val="22"/>
        </w:rPr>
        <w:t>. If at any time insufficient funds are received by and available to the Administrative Agent to pay fully all amounts of principal, L/C Borrowings, interest and fees then due hereunder, such funds shall be applied (i) first, toward payment of interest and fees then due hereunder, ratably among the parties entitled thereto in accordance with the amounts of interest and fees then due to such parties, and (ii) second, toward payment of principal and L/C Borrowings then due hereunder, ratably among the parties entitled thereto in accordance with the amounts of principal and L/C Borrowings then due to such parties.</w:t>
      </w:r>
    </w:p>
    <w:p>
      <w:pPr>
        <w:pStyle w:val="TextBody"/>
        <w:bidi w:val="0"/>
        <w:spacing w:lineRule="auto" w:line="240" w:before="0" w:after="240"/>
        <w:ind w:left="0" w:right="0" w:firstLine="720"/>
        <w:jc w:val="both"/>
        <w:rPr/>
      </w:pPr>
      <w:r>
        <w:rPr>
          <w:rFonts w:ascii="Times New Roman;sans-serif" w:hAnsi="Times New Roman;sans-serif"/>
          <w:b/>
          <w:color w:val="000000"/>
          <w:sz w:val="22"/>
        </w:rPr>
        <w:t>2.21</w:t>
      </w:r>
      <w:r>
        <w:rPr>
          <w:rFonts w:ascii="Times New Roman;sans-serif" w:hAnsi="Times New Roman;sans-serif"/>
          <w:b/>
          <w:color w:val="000000"/>
          <w:sz w:val="22"/>
        </w:rPr>
        <w:t>Sharing of Payments by Lenders</w:t>
      </w:r>
      <w:r>
        <w:rPr>
          <w:rFonts w:ascii="Times New Roman;sans-serif" w:hAnsi="Times New Roman;sans-serif"/>
          <w:b w:val="false"/>
          <w:color w:val="000000"/>
          <w:sz w:val="22"/>
        </w:rPr>
        <w:t xml:space="preserve">. If any Lender shall, by exercising any right of setoff or counterclaim or otherwise, obtain payment in respect of any principal of or interest on any of the Revolving Committed Loans, New Vehicle Floorplan Committed Loans, or Used Vehicle Floorplan Committed Loans made by it, or the participations in L/C Obligations, Revolving Swing Line Loans, New Vehicle Floorplan Swing Line Loans or Used Vehicle Floorplan Swing Line Loans held by it resulting in such Lender’s receiving payment of a proportion of the aggregate amount of such Revolving Committed Loans, New Vehicle Floorplan Committed Loans, or Used Vehicle Floorplan Committed Loans or participations and accrued interest thereon greater than its pro rata share thereof as provided herein, then the Lender receiving such greater proportion shall (a) notify the Administrative Agent of such fact, and (b) purchase from the other applicable Lenders (in the respective Revolving Facility, New Vehicle Floorplan Facility or Used Vehicle Floorplan Facility) (for cash at face value) participations in the applicable Revolving Committed Loans, New Vehicle Floorplan Committed Loans, or Used Vehicle Floorplan Committed Loans and subparticipations in L/C Obligations, Revolving Swing Line Loans, New Vehicle Floorplan Swing Line Loans or Used Vehicle Floorplan Swing Line Loans of the other Lenders, or make such other adjustments as shall be equitable, so that the benefit of all such payments shall be shared by the Lenders ratably in accordance with the aggregate amount of principal of and accrued interest on their respective Committed Loans and other amounts owing them,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(ii)the provisions of this Section shall not be construed to apply to (x) any payment made by or on behalf of any Borrower pursuant to and in accordance with the express terms of this Agreement (including the application of funds arising from the existence of a Defaulting Lender, or payments made under this Agreement to a Non-Extending Lender on its Maturity Date) (y) the application of Cash Collateral provided for in </w:t>
      </w:r>
      <w:r>
        <w:rPr>
          <w:rFonts w:ascii="Times New Roman;sans-serif" w:hAnsi="Times New Roman;sans-serif"/>
          <w:b w:val="false"/>
          <w:color w:val="000000"/>
          <w:sz w:val="22"/>
          <w:u w:val="single"/>
        </w:rPr>
        <w:t>Section 2.26</w:t>
      </w:r>
      <w:r>
        <w:rPr>
          <w:rFonts w:ascii="Times New Roman;sans-serif" w:hAnsi="Times New Roman;sans-serif"/>
          <w:b w:val="false"/>
          <w:color w:val="000000"/>
          <w:sz w:val="22"/>
        </w:rPr>
        <w:t>, or (z) any payment obtained by a Lender as consideration for the assignment of or sale of a participation in any of its Revolving Committed Loans, New Vehicle Floorplan Committed Loans or Used Vehicle Floorplan Committed Loans or subparticipations in L/C Obligations, Revolving Swing Line Loans, New Vehicle Floorplan Swing Line Loans or Used Vehicle Floorplan Swing Line Loans, as the case may be, to any assignee or participant, other than an assignment to the Company or any Subsidiary thereof (as to which the provisions of this Section shall apply).</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pStyle w:val="TextBody"/>
        <w:bidi w:val="0"/>
        <w:spacing w:lineRule="auto" w:line="240" w:before="0" w:after="240"/>
        <w:ind w:left="0" w:right="0" w:hanging="720"/>
        <w:jc w:val="both"/>
        <w:rPr/>
      </w:pPr>
      <w:r>
        <w:rPr>
          <w:rFonts w:ascii="Times New Roman;sans-serif" w:hAnsi="Times New Roman;sans-serif"/>
          <w:b/>
          <w:color w:val="000000"/>
          <w:sz w:val="22"/>
        </w:rPr>
        <w:t>2.22Increase in Commitments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Request for Increase</w:t>
      </w:r>
      <w:r>
        <w:rPr>
          <w:rFonts w:ascii="Times New Roman;sans-serif" w:hAnsi="Times New Roman;sans-serif"/>
          <w:b w:val="false"/>
          <w:color w:val="000000"/>
          <w:sz w:val="22"/>
        </w:rPr>
        <w:t xml:space="preserve">. Provided there exists no Default, upon notice to the Administrative Agent (which shall promptly notify the applicable Lenders), the Company may from time to time after the Closing Date, request a simultaneous increase in the Aggregate Revolving Commitments, the Aggregate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367665"/>
                <wp:effectExtent l="0" t="0" r="0" b="0"/>
                <wp:wrapNone/>
                <wp:docPr id="273" name="Frame26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100</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New Vehicle Floorplan Facility Commitments and the Aggregate Used Vehicle Floorplan Commitments by an aggregate amount (for all such requests) not exceeding an amount equal to $750,000,000;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any such request for an increase shall be in a minimum amount of $25,000,000, (ii) the Company may make a maximum of two such requests in any fiscal year, (iii) any increase in a Lender’s Commitments will be allocated pro rata to the Revolving Credit Facility, the New Vehicle Floorplan Facility and the Used Vehicle Floorplan Facility so that the proportion of such Lender’s Commitments allocated to each such Facility is the same immediately before and after such increase, (iv) the Revolving Credit Facility, the New Vehicle Floorplan Facility and the Used Vehicle Floorplan Facility shall be increased by a pro rata amount which results in approximately the same ratio of commitments existing between the Revolving Credit Facility and the Floorplan Facilities immediately before and after such increase, and (v) after giving effect to any such increase, Revolving Commitments shall not exceed 40% of the Aggregate Commitments then in effect. At the time of sending such notice, the Company (in consultation with the Administrative Agent) shall specify the time period within which each Lender is requested to respond (which shall in no event be less than ten Business Days from the date of delivery of such notice to the Lenders).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Lender Elections to Increase</w:t>
      </w:r>
      <w:r>
        <w:rPr>
          <w:rFonts w:ascii="Times New Roman;sans-serif" w:hAnsi="Times New Roman;sans-serif"/>
          <w:b w:val="false"/>
          <w:color w:val="000000"/>
          <w:sz w:val="22"/>
        </w:rPr>
        <w:t>. Each Lender shall notify the Administrative Agent within such time period whether or not it agrees to increase its Revolving Commitment and Floorplan Commitment and, if so, by what amount. Any Lender not responding within such time period shall be deemed to have declined to increase its Commitment.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Notification by Administrative Agent; Additional Lenders</w:t>
      </w:r>
      <w:r>
        <w:rPr>
          <w:rFonts w:ascii="Times New Roman;sans-serif" w:hAnsi="Times New Roman;sans-serif"/>
          <w:b w:val="false"/>
          <w:color w:val="000000"/>
          <w:sz w:val="22"/>
        </w:rPr>
        <w:t>. The Administrative Agent shall notify the Company and each Lender of the Lenders’ responses to each request made hereunder. To achieve the full amount of a requested increase and subject to the approval of the Administrative Agent, the L/C Issuers and the Swing Line Lenders (which approvals shall not be unreasonably withheld or delayed), the Company may also invite additional Eligible Assignees to become Lenders pursuant to a joinder agreement in form and substance satisfactory to the Administrative Agent and its counsel.</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Effective Date and Allocations</w:t>
      </w:r>
      <w:r>
        <w:rPr>
          <w:rFonts w:ascii="Times New Roman;sans-serif" w:hAnsi="Times New Roman;sans-serif"/>
          <w:b w:val="false"/>
          <w:color w:val="000000"/>
          <w:sz w:val="22"/>
        </w:rPr>
        <w:t>. If the Aggregate Commitments are increased in accordance with this Section, the Administrative Agent and the Company shall determine the effective date (the “</w:t>
      </w:r>
      <w:r>
        <w:rPr>
          <w:rFonts w:ascii="Times New Roman;sans-serif" w:hAnsi="Times New Roman;sans-serif"/>
          <w:b w:val="false"/>
          <w:color w:val="000000"/>
          <w:sz w:val="22"/>
          <w:u w:val="single"/>
        </w:rPr>
        <w:t>Increase Effective Date</w:t>
      </w:r>
      <w:r>
        <w:rPr>
          <w:color w:val="000000"/>
        </w:rPr>
        <w:t>”</w:t>
      </w:r>
      <w:r>
        <w:rPr>
          <w:rFonts w:ascii="Times New Roman;sans-serif" w:hAnsi="Times New Roman;sans-serif"/>
          <w:b w:val="false"/>
          <w:color w:val="000000"/>
          <w:sz w:val="22"/>
        </w:rPr>
        <w:t>) and the final allocation of such increase. The Administrative Agent shall promptly notify the Company and the Lenders of the final allocation of such increase and the Increase Effective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Conditions to Effectiveness of Increase</w:t>
      </w:r>
      <w:r>
        <w:rPr>
          <w:rFonts w:ascii="Times New Roman;sans-serif" w:hAnsi="Times New Roman;sans-serif"/>
          <w:b w:val="false"/>
          <w:color w:val="000000"/>
          <w:sz w:val="22"/>
        </w:rPr>
        <w:t>. As a condition precedent to such increase: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(i)the Company shall deliver to the Administrative Agent a certificate of each Loan Party dated as of the Increase Effective Date signed by a Responsible Officer of the Company (x) certifying that such increase has been duly authorized and approved by all necessary corporate or other organizational action of the Loan Parties (and, if not previously delivered, attaching a copy of the relevant corporate or other organizational action of such Loan Parties), and (y) certifying that, immediately before and after giving effect to such increase, (A) the representations and warranties contained in </w:t>
      </w:r>
      <w:r>
        <w:rPr>
          <w:rFonts w:ascii="Times New Roman;sans-serif" w:hAnsi="Times New Roman;sans-serif"/>
          <w:b w:val="false"/>
          <w:color w:val="000000"/>
          <w:sz w:val="22"/>
          <w:u w:val="single"/>
        </w:rPr>
        <w:t>Article V</w:t>
      </w:r>
      <w:r>
        <w:rPr>
          <w:color w:val="000000"/>
        </w:rPr>
        <w:t xml:space="preserve"> </w:t>
      </w:r>
      <w:r>
        <w:rPr>
          <w:rFonts w:ascii="Times New Roman;sans-serif" w:hAnsi="Times New Roman;sans-serif"/>
          <w:b w:val="false"/>
          <w:color w:val="000000"/>
          <w:sz w:val="22"/>
        </w:rPr>
        <w:t xml:space="preserve">and the other Loan Documents are true and correct in all material respects on and as of the Increase Effective Date, except to the extent that such representations and warranties specifically refer to an earlier date, in which case they are true and correct in all material respects as of such earlier date, and except that for purposes of this </w:t>
      </w:r>
      <w:r>
        <w:rPr>
          <w:rFonts w:ascii="Times New Roman;sans-serif" w:hAnsi="Times New Roman;sans-serif"/>
          <w:b w:val="false"/>
          <w:color w:val="000000"/>
          <w:sz w:val="22"/>
          <w:u w:val="single"/>
        </w:rPr>
        <w:t>Section 2.22</w:t>
      </w:r>
      <w:r>
        <w:rPr>
          <w:rFonts w:ascii="Times New Roman;sans-serif" w:hAnsi="Times New Roman;sans-serif"/>
          <w:b w:val="false"/>
          <w:color w:val="000000"/>
          <w:sz w:val="22"/>
        </w:rPr>
        <w:t xml:space="preserve">, the representations and warranties contained in subsections (a) and (b) of </w:t>
      </w:r>
      <w:r>
        <w:rPr>
          <w:rFonts w:ascii="Times New Roman;sans-serif" w:hAnsi="Times New Roman;sans-serif"/>
          <w:b w:val="false"/>
          <w:color w:val="000000"/>
          <w:sz w:val="22"/>
          <w:u w:val="single"/>
        </w:rPr>
        <w:t>Section 5.05</w:t>
      </w:r>
      <w:r>
        <w:rPr>
          <w:color w:val="000000"/>
        </w:rPr>
        <w:t xml:space="preserve"> </w:t>
      </w:r>
      <w:r>
        <w:rPr>
          <w:rFonts w:ascii="Times New Roman;sans-serif" w:hAnsi="Times New Roman;sans-serif"/>
          <w:b w:val="false"/>
          <w:color w:val="000000"/>
          <w:sz w:val="22"/>
        </w:rPr>
        <w:t xml:space="preserve">shall be deemed to refer to the most recent statements furnished pursuant to clauses (a) and (b), respectively, of </w:t>
      </w:r>
      <w:r>
        <w:rPr>
          <w:rFonts w:ascii="Times New Roman;sans-serif" w:hAnsi="Times New Roman;sans-serif"/>
          <w:b w:val="false"/>
          <w:color w:val="000000"/>
          <w:sz w:val="22"/>
          <w:u w:val="single"/>
        </w:rPr>
        <w:t>Section 6.01</w:t>
      </w:r>
      <w:r>
        <w:rPr>
          <w:rFonts w:ascii="Times New Roman;sans-serif" w:hAnsi="Times New Roman;sans-serif"/>
          <w:b w:val="false"/>
          <w:color w:val="000000"/>
          <w:sz w:val="22"/>
        </w:rPr>
        <w:t xml:space="preserve">, and (B) no Default exists;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with respect to any Increase in Commitments the proceeds of which are intended to be and are actually used to finance one or more Permitted Acquisitions which are subject to customary “certain funds provisions”, such certifications and representations (and the conditions to making the Loans to finance such Permitted Acquisition(s)) may be modified to reflect customary “certain funds provisions” as agreed to by the Administrative Agent and the Company;</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(ii)the Company shall deliver to the Administrative Agent a duly completed Pro Forma Compliance Certificate dated as of the applicable Increase Effective Date signed by a Responsible Officer of the Company demonstrating Pro Forma Compliance as required by clause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367665"/>
                <wp:effectExtent l="0" t="0" r="0" b="0"/>
                <wp:wrapNone/>
                <wp:docPr id="274" name="Frame26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101</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 of the definition thereof after giving effect to such increase (and any other increase under this Section incurred at any time after the date of the financial statements used to determine such Pro Forma Compliance);</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(iii)the Company shall deliver to the Administrative Agent a duly completed Pro Forma Revolving Borrowing Base Certificate in form and substance reasonably satisfactory to the Administrative Agent dated as of the date of such increase certifying as to the Revolving Borrowing Base as of the end of the most recently ended fiscal quarter prior to such increase, giving pro forma effect to such increase signed by a Responsible Officer of the Company;</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(iv)the Company shall deliver to the Administrative Agent a duly completed Pro Forma Used Vehicle Floorplan Borrowing Base Certificate in form and substance reasonably satisfactory to the Administrative Agent dated as of the date of such increase certifying as to the Used Vehicle Floorplan Borrowing Base as of the end of the most recently ended month prior to such increase, giving pro forma effect to such increase signed by a Responsible Officer of the Company;</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(v)upon the reasonable request of any Lender made at least ten (10) days prior to the closing date of such increase, the Company shall have provided to such Lender the documentation and other information so requested in connection with applicable “know your customer” and anti-money-laundering rules and regulations, including the PATRIOT Act, in each case at least five days prior to such closing date;</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(vi)at least five days prior to the closing date of such increase, if any Loan Party qualifies as a “legal entity customer” under the Beneficial Ownership Regulation (31 C.F.R. § 1010.230), it shall deliver to the Administrative Agent and each Lender a Beneficial Ownership Certification in relation to such Loan Party.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Conflicting Provisions</w:t>
      </w:r>
      <w:r>
        <w:rPr>
          <w:rFonts w:ascii="Times New Roman;sans-serif" w:hAnsi="Times New Roman;sans-serif"/>
          <w:b w:val="false"/>
          <w:color w:val="000000"/>
          <w:sz w:val="22"/>
        </w:rPr>
        <w:t xml:space="preserve">. This Section shall supersede any provisions in </w:t>
      </w:r>
      <w:r>
        <w:rPr>
          <w:rFonts w:ascii="Times New Roman;sans-serif" w:hAnsi="Times New Roman;sans-serif"/>
          <w:b w:val="false"/>
          <w:color w:val="000000"/>
          <w:sz w:val="22"/>
          <w:u w:val="single"/>
        </w:rPr>
        <w:t>Section 2.21</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10.01</w:t>
      </w:r>
      <w:r>
        <w:rPr>
          <w:color w:val="000000"/>
        </w:rPr>
        <w:t xml:space="preserve"> </w:t>
      </w:r>
      <w:r>
        <w:rPr>
          <w:rFonts w:ascii="Times New Roman;sans-serif" w:hAnsi="Times New Roman;sans-serif"/>
          <w:b w:val="false"/>
          <w:color w:val="000000"/>
          <w:sz w:val="22"/>
        </w:rPr>
        <w:t>to the contrary.</w:t>
      </w:r>
    </w:p>
    <w:p>
      <w:pPr>
        <w:pStyle w:val="TextBody"/>
        <w:bidi w:val="0"/>
        <w:spacing w:lineRule="auto" w:line="240" w:before="0" w:after="240"/>
        <w:ind w:left="0" w:right="0" w:hanging="720"/>
        <w:jc w:val="both"/>
        <w:rPr/>
      </w:pPr>
      <w:r>
        <w:rPr>
          <w:rFonts w:ascii="Times New Roman;sans-serif" w:hAnsi="Times New Roman;sans-serif"/>
          <w:b/>
          <w:color w:val="000000"/>
          <w:sz w:val="22"/>
        </w:rPr>
        <w:t>2.23Extension of Maturity Date</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Requests for Extension</w:t>
      </w:r>
      <w:r>
        <w:rPr>
          <w:rFonts w:ascii="Times New Roman;sans-serif" w:hAnsi="Times New Roman;sans-serif"/>
          <w:b w:val="false"/>
          <w:color w:val="000000"/>
          <w:sz w:val="22"/>
        </w:rPr>
        <w:t>. The Company may, no more than one time per Loan Year, by notice to the Administrative Agent (who shall promptly notify the Lenders) not earlier than 60 days and not later than 35 days prior to the Anniversary Date in such Loan Year, request that each Lender extend such Lender’s Maturity Date for an additional 364 days from the Existing Maturity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Lender Elections to Extend</w:t>
      </w:r>
      <w:r>
        <w:rPr>
          <w:rFonts w:ascii="Times New Roman;sans-serif" w:hAnsi="Times New Roman;sans-serif"/>
          <w:b w:val="false"/>
          <w:color w:val="000000"/>
          <w:sz w:val="22"/>
        </w:rPr>
        <w:t>. Each Lender, acting in its sole and individual discretion, shall, by notice to the Administrative Agent given not later than the date (the “</w:t>
      </w:r>
      <w:r>
        <w:rPr>
          <w:rFonts w:ascii="Times New Roman;sans-serif" w:hAnsi="Times New Roman;sans-serif"/>
          <w:b w:val="false"/>
          <w:color w:val="000000"/>
          <w:sz w:val="22"/>
          <w:u w:val="single"/>
        </w:rPr>
        <w:t>Notice Date</w:t>
      </w:r>
      <w:r>
        <w:rPr>
          <w:color w:val="000000"/>
        </w:rPr>
        <w:t>”</w:t>
      </w:r>
      <w:r>
        <w:rPr>
          <w:rFonts w:ascii="Times New Roman;sans-serif" w:hAnsi="Times New Roman;sans-serif"/>
          <w:b w:val="false"/>
          <w:color w:val="000000"/>
          <w:sz w:val="22"/>
        </w:rPr>
        <w:t>) that is 20 days prior to the Anniversary Date in such Loan Year, advise the Administrative Agent whether or not such Lender agrees to such extension (and each Lender that determines not to so extend its Maturity Date (a “</w:t>
      </w:r>
      <w:r>
        <w:rPr>
          <w:rFonts w:ascii="Times New Roman;sans-serif" w:hAnsi="Times New Roman;sans-serif"/>
          <w:b w:val="false"/>
          <w:color w:val="000000"/>
          <w:sz w:val="22"/>
          <w:u w:val="single"/>
        </w:rPr>
        <w:t>Non-Extending Lender</w:t>
      </w:r>
      <w:r>
        <w:rPr>
          <w:color w:val="000000"/>
        </w:rPr>
        <w:t>”</w:t>
      </w:r>
      <w:r>
        <w:rPr>
          <w:rFonts w:ascii="Times New Roman;sans-serif" w:hAnsi="Times New Roman;sans-serif"/>
          <w:b w:val="false"/>
          <w:color w:val="000000"/>
          <w:sz w:val="22"/>
        </w:rPr>
        <w:t>) shall notify the Administrative Agent of such fact promptly after such determination (but in any event no later than the Notice Date) and any Lender that does not so advise the Administrative Agent on or before the Notice Date shall be deemed to be a Non-Extending Lender. The election of any Lender to agree to such extension shall not obligate any other Lender to so agree.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Notification by Administrative Agent</w:t>
      </w:r>
      <w:r>
        <w:rPr>
          <w:rFonts w:ascii="Times New Roman;sans-serif" w:hAnsi="Times New Roman;sans-serif"/>
          <w:b w:val="false"/>
          <w:color w:val="000000"/>
          <w:sz w:val="22"/>
        </w:rPr>
        <w:t>. The Administrative Agent shall notify the Company of each Lender’s determination under this Section no later than the date 15 days prior to the Anniversary Date in such Loan Year (or, if such date is not a Business Day, on the next preceding Business Day).</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Additional Commitment Lenders</w:t>
      </w:r>
      <w:r>
        <w:rPr>
          <w:rFonts w:ascii="Times New Roman;sans-serif" w:hAnsi="Times New Roman;sans-serif"/>
          <w:b w:val="false"/>
          <w:color w:val="000000"/>
          <w:sz w:val="22"/>
        </w:rPr>
        <w:t>. The Borrowers shall have the right to replace each Non-Extending Lender with, and add as “Lenders” under this Agreement in place thereof, one or more Eligible Assignees (each, an “</w:t>
      </w:r>
      <w:r>
        <w:rPr>
          <w:rFonts w:ascii="Times New Roman;sans-serif" w:hAnsi="Times New Roman;sans-serif"/>
          <w:b w:val="false"/>
          <w:color w:val="000000"/>
          <w:sz w:val="22"/>
          <w:u w:val="single"/>
        </w:rPr>
        <w:t>Additional Commitment Lender</w:t>
      </w:r>
      <w:r>
        <w:rPr>
          <w:color w:val="000000"/>
        </w:rPr>
        <w:t>”</w:t>
      </w:r>
      <w:r>
        <w:rPr>
          <w:rFonts w:ascii="Times New Roman;sans-serif" w:hAnsi="Times New Roman;sans-serif"/>
          <w:b w:val="false"/>
          <w:color w:val="000000"/>
          <w:sz w:val="22"/>
        </w:rPr>
        <w:t xml:space="preserve">) as provided in </w:t>
      </w:r>
      <w:r>
        <w:rPr>
          <w:rFonts w:ascii="Times New Roman;sans-serif" w:hAnsi="Times New Roman;sans-serif"/>
          <w:b w:val="false"/>
          <w:color w:val="000000"/>
          <w:sz w:val="22"/>
          <w:u w:val="single"/>
        </w:rPr>
        <w:t>Section 10.13</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each of such Additional Commitment Lenders shall enter into an Assignment and Assumption pursuant to which such Additional Commitment Lender shall, effective as of the Anniversary Date in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367665"/>
                <wp:effectExtent l="0" t="0" r="0" b="0"/>
                <wp:wrapNone/>
                <wp:docPr id="275" name="Frame27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102</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such Loan Year, undertake a Commitment (and, if any such Additional Commitment Lender is already a Lender, its Commitment shall be in addition to such Lender’s Commitment hereunder on such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Minimum Extension Requirement</w:t>
      </w:r>
      <w:r>
        <w:rPr>
          <w:rFonts w:ascii="Times New Roman;sans-serif" w:hAnsi="Times New Roman;sans-serif"/>
          <w:b w:val="false"/>
          <w:color w:val="000000"/>
          <w:sz w:val="22"/>
        </w:rPr>
        <w:t>. If (and only if) the total of the Commitments of the Lenders that have agreed so to extend their Maturity Date (each, an “</w:t>
      </w:r>
      <w:r>
        <w:rPr>
          <w:rFonts w:ascii="Times New Roman;sans-serif" w:hAnsi="Times New Roman;sans-serif"/>
          <w:b w:val="false"/>
          <w:color w:val="000000"/>
          <w:sz w:val="22"/>
          <w:u w:val="single"/>
        </w:rPr>
        <w:t>Extending Lender</w:t>
      </w:r>
      <w:r>
        <w:rPr>
          <w:color w:val="000000"/>
        </w:rPr>
        <w:t>”</w:t>
      </w:r>
      <w:r>
        <w:rPr>
          <w:rFonts w:ascii="Times New Roman;sans-serif" w:hAnsi="Times New Roman;sans-serif"/>
          <w:b w:val="false"/>
          <w:color w:val="000000"/>
          <w:sz w:val="22"/>
        </w:rPr>
        <w:t>) and the additional Commitments of the Additional Commitment Lenders shall be more than 80% of the aggregate amount of the Commitments in effect immediately prior to the Anniversary Date in such Loan Year, then, effective as of the Anniversary Date in such Loan Year, the Maturity Date of each Extending Lender and of each Additional Commitment Lender shall be extended to the date falling one year after the Existing Maturity Date (except that, if such date is not a Business Day, such Maturity Date as so extended shall be the next preceding Business Day) and each Additional Commitment Lender shall thereupon become a “Lender” for all purposes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Conditions to Effectiveness of Extensions</w:t>
      </w:r>
      <w:r>
        <w:rPr>
          <w:rFonts w:ascii="Times New Roman;sans-serif" w:hAnsi="Times New Roman;sans-serif"/>
          <w:b w:val="false"/>
          <w:color w:val="000000"/>
          <w:sz w:val="22"/>
        </w:rPr>
        <w:t xml:space="preserve">. As a condition precedent to such extension, the Company shall deliver to the Administrative Agent a certificate of each Loan Party dated as of the Anniversary Date in such Loan Year signed by a Responsible Officer of such Loan Party (i) certifying and attaching the resolutions adopted by such Loan Party approving or consenting to such extension and (ii) in the case of the Borrower, certifying that, immediately before and after giving effect to such extension, (A) the representations and warranties contained in </w:t>
      </w:r>
      <w:r>
        <w:rPr>
          <w:rFonts w:ascii="Times New Roman;sans-serif" w:hAnsi="Times New Roman;sans-serif"/>
          <w:b w:val="false"/>
          <w:color w:val="000000"/>
          <w:sz w:val="22"/>
          <w:u w:val="single"/>
        </w:rPr>
        <w:t>Article V</w:t>
      </w:r>
      <w:r>
        <w:rPr>
          <w:color w:val="000000"/>
        </w:rPr>
        <w:t xml:space="preserve"> </w:t>
      </w:r>
      <w:r>
        <w:rPr>
          <w:rFonts w:ascii="Times New Roman;sans-serif" w:hAnsi="Times New Roman;sans-serif"/>
          <w:b w:val="false"/>
          <w:color w:val="000000"/>
          <w:sz w:val="22"/>
        </w:rPr>
        <w:t xml:space="preserve">and the other Loan Documents are true and correct in all material respects (or in all respects in the case of any representation and warranty qualified by materiality or Material Adverse Effect) on and as of the Anniversary Date in such Loan Year, except to the extent that such representations and warranties specifically refer to an earlier date, in which case they are true and correct in all material respects (or in all respects in the case of any representation and warranty qualified by materiality or Material Adverse Effect) as of such earlier date, and except that for purposes of this </w:t>
      </w:r>
      <w:r>
        <w:rPr>
          <w:rFonts w:ascii="Times New Roman;sans-serif" w:hAnsi="Times New Roman;sans-serif"/>
          <w:b w:val="false"/>
          <w:color w:val="000000"/>
          <w:sz w:val="22"/>
          <w:u w:val="single"/>
        </w:rPr>
        <w:t>Section 2.14</w:t>
      </w:r>
      <w:r>
        <w:rPr>
          <w:rFonts w:ascii="Times New Roman;sans-serif" w:hAnsi="Times New Roman;sans-serif"/>
          <w:b w:val="false"/>
          <w:color w:val="000000"/>
          <w:sz w:val="22"/>
        </w:rPr>
        <w:t xml:space="preserve">, the representations and warranties contained in </w:t>
      </w:r>
      <w:r>
        <w:rPr>
          <w:rFonts w:ascii="Times New Roman;sans-serif" w:hAnsi="Times New Roman;sans-serif"/>
          <w:b w:val="false"/>
          <w:color w:val="000000"/>
          <w:sz w:val="22"/>
          <w:u w:val="single"/>
        </w:rPr>
        <w:t>clauses (a)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 xml:space="preserve">of </w:t>
      </w:r>
      <w:r>
        <w:rPr>
          <w:rFonts w:ascii="Times New Roman;sans-serif" w:hAnsi="Times New Roman;sans-serif"/>
          <w:b w:val="false"/>
          <w:color w:val="000000"/>
          <w:sz w:val="22"/>
          <w:u w:val="single"/>
        </w:rPr>
        <w:t>Section 5.05</w:t>
      </w:r>
      <w:r>
        <w:rPr>
          <w:color w:val="000000"/>
        </w:rPr>
        <w:t xml:space="preserve"> </w:t>
      </w:r>
      <w:r>
        <w:rPr>
          <w:rFonts w:ascii="Times New Roman;sans-serif" w:hAnsi="Times New Roman;sans-serif"/>
          <w:b w:val="false"/>
          <w:color w:val="000000"/>
          <w:sz w:val="22"/>
        </w:rPr>
        <w:t xml:space="preserve">shall be deemed to refer to the most recent statements furnished pursuant to </w:t>
      </w:r>
      <w:r>
        <w:rPr>
          <w:rFonts w:ascii="Times New Roman;sans-serif" w:hAnsi="Times New Roman;sans-serif"/>
          <w:b w:val="false"/>
          <w:color w:val="000000"/>
          <w:sz w:val="22"/>
          <w:u w:val="single"/>
        </w:rPr>
        <w:t>clauses (a)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xml:space="preserve">, respectively, of </w:t>
      </w:r>
      <w:r>
        <w:rPr>
          <w:rFonts w:ascii="Times New Roman;sans-serif" w:hAnsi="Times New Roman;sans-serif"/>
          <w:b w:val="false"/>
          <w:color w:val="000000"/>
          <w:sz w:val="22"/>
          <w:u w:val="single"/>
        </w:rPr>
        <w:t>Section 6.01</w:t>
      </w:r>
      <w:r>
        <w:rPr>
          <w:rFonts w:ascii="Times New Roman;sans-serif" w:hAnsi="Times New Roman;sans-serif"/>
          <w:b w:val="false"/>
          <w:color w:val="000000"/>
          <w:sz w:val="22"/>
        </w:rPr>
        <w:t xml:space="preserve">, and (B) no Default exists or would result therefrom. In addition, on the Maturity Date of each Non-Extending Lender, the Borrowers shall prepay any Committed Loans outstanding on such date (and pay any additional amounts required pursuant to </w:t>
      </w:r>
      <w:r>
        <w:rPr>
          <w:rFonts w:ascii="Times New Roman;sans-serif" w:hAnsi="Times New Roman;sans-serif"/>
          <w:b w:val="false"/>
          <w:color w:val="000000"/>
          <w:sz w:val="22"/>
          <w:u w:val="single"/>
        </w:rPr>
        <w:t>Section 3.05</w:t>
      </w:r>
      <w:r>
        <w:rPr>
          <w:rFonts w:ascii="Times New Roman;sans-serif" w:hAnsi="Times New Roman;sans-serif"/>
          <w:b w:val="false"/>
          <w:color w:val="000000"/>
          <w:sz w:val="22"/>
        </w:rPr>
        <w:t>) to the extent necessary to keep outstanding Committed Loans ratable with any revised Applicable Percentages of the respective Lenders effective as of such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u w:val="single"/>
        </w:rPr>
        <w:t>Amendment; Sharing of Payments</w:t>
      </w:r>
      <w:r>
        <w:rPr>
          <w:rFonts w:ascii="Times New Roman;sans-serif" w:hAnsi="Times New Roman;sans-serif"/>
          <w:b w:val="false"/>
          <w:color w:val="000000"/>
          <w:sz w:val="22"/>
        </w:rPr>
        <w:t xml:space="preserve">. In connection with any extension of the Maturity Date, the Borrowers, the Administrative Agent and each extending Lender may make such amendments to this Agreement as the Administrative Agent determines to be reasonably necessary to evidence the extension. This </w:t>
      </w:r>
      <w:r>
        <w:rPr>
          <w:rFonts w:ascii="Times New Roman;sans-serif" w:hAnsi="Times New Roman;sans-serif"/>
          <w:b w:val="false"/>
          <w:color w:val="000000"/>
          <w:sz w:val="22"/>
          <w:u w:val="single"/>
        </w:rPr>
        <w:t>Section 2.23</w:t>
      </w:r>
      <w:r>
        <w:rPr>
          <w:color w:val="000000"/>
        </w:rPr>
        <w:t xml:space="preserve"> </w:t>
      </w:r>
      <w:r>
        <w:rPr>
          <w:rFonts w:ascii="Times New Roman;sans-serif" w:hAnsi="Times New Roman;sans-serif"/>
          <w:b w:val="false"/>
          <w:color w:val="000000"/>
          <w:sz w:val="22"/>
        </w:rPr>
        <w:t xml:space="preserve">shall supersede any provisions in </w:t>
      </w:r>
      <w:r>
        <w:rPr>
          <w:rFonts w:ascii="Times New Roman;sans-serif" w:hAnsi="Times New Roman;sans-serif"/>
          <w:b w:val="false"/>
          <w:color w:val="000000"/>
          <w:sz w:val="22"/>
          <w:u w:val="single"/>
        </w:rPr>
        <w:t xml:space="preserve">Section 2.13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10.01</w:t>
      </w:r>
      <w:r>
        <w:rPr>
          <w:color w:val="000000"/>
        </w:rPr>
        <w:t xml:space="preserve"> </w:t>
      </w:r>
      <w:r>
        <w:rPr>
          <w:rFonts w:ascii="Times New Roman;sans-serif" w:hAnsi="Times New Roman;sans-serif"/>
          <w:b w:val="false"/>
          <w:color w:val="000000"/>
          <w:sz w:val="22"/>
        </w:rPr>
        <w:t>to the contrary.</w:t>
      </w:r>
    </w:p>
    <w:p>
      <w:pPr>
        <w:pStyle w:val="TextBody"/>
        <w:bidi w:val="0"/>
        <w:spacing w:lineRule="auto" w:line="240" w:before="0" w:after="240"/>
        <w:ind w:left="0" w:right="0" w:hanging="720"/>
        <w:jc w:val="both"/>
        <w:rPr/>
      </w:pPr>
      <w:r>
        <w:rPr>
          <w:rFonts w:ascii="Times New Roman;sans-serif" w:hAnsi="Times New Roman;sans-serif"/>
          <w:b/>
          <w:color w:val="000000"/>
          <w:sz w:val="22"/>
        </w:rPr>
        <w:t>2.24New Vehicle Borrowers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Effective as of the date hereof, each Subsidiary that has executed this Agreement as a New Vehicle Borrower shall be a “</w:t>
      </w:r>
      <w:r>
        <w:rPr>
          <w:rFonts w:ascii="Times New Roman;sans-serif" w:hAnsi="Times New Roman;sans-serif"/>
          <w:b w:val="false"/>
          <w:color w:val="000000"/>
          <w:sz w:val="22"/>
          <w:u w:val="single"/>
        </w:rPr>
        <w:t>New Vehicle Borrower</w:t>
      </w:r>
      <w:r>
        <w:rPr>
          <w:color w:val="000000"/>
        </w:rPr>
        <w:t xml:space="preserve">” </w:t>
      </w:r>
      <w:r>
        <w:rPr>
          <w:rFonts w:ascii="Times New Roman;sans-serif" w:hAnsi="Times New Roman;sans-serif"/>
          <w:b w:val="false"/>
          <w:color w:val="000000"/>
          <w:sz w:val="22"/>
        </w:rPr>
        <w:t xml:space="preserve">hereunder and may receive New Vehicle Floorplan Loans for its account on the terms and conditions set forth in this Agreement;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(i) any Subsidiary that owns or operates a Ford or Lincoln dealership or (ii) any Subsidiary that is a Foreign Subsidiary shall not be required to become a New Vehicle Borrower.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If, at any time, any Subsidiary engages in the sale or leasing of Vehicles, the Company shall (or, in the case of (i) any Subsidiary which owns or operates solely a Ford or Lincoln dealership or (ii) any Subsidiary that is a Foreign Subsidiary, may) designate such Subsidiary as a New Vehicle Borrower and shall deliver to the Administrative Agent, pursuant to </w:t>
      </w:r>
      <w:r>
        <w:rPr>
          <w:rFonts w:ascii="Times New Roman;sans-serif" w:hAnsi="Times New Roman;sans-serif"/>
          <w:b w:val="false"/>
          <w:color w:val="000000"/>
          <w:sz w:val="22"/>
          <w:u w:val="single"/>
        </w:rPr>
        <w:t>Section 6.14</w:t>
      </w:r>
      <w:r>
        <w:rPr>
          <w:color w:val="000000"/>
        </w:rPr>
        <w:t xml:space="preserve"> </w:t>
      </w:r>
      <w:r>
        <w:rPr>
          <w:rFonts w:ascii="Times New Roman;sans-serif" w:hAnsi="Times New Roman;sans-serif"/>
          <w:b w:val="false"/>
          <w:color w:val="000000"/>
          <w:sz w:val="22"/>
        </w:rPr>
        <w:t xml:space="preserve">or otherwise, a Joinder Agreement executed by such Subsidiary identifying such Subsidiary as a New Vehicle Borrower;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 New Vehicle Borrower shall not be required to execute a Joinder Agreement if such New Vehicle Borrower has executed and delivered this Agreement on the Closing Date. The parties hereto acknowledge and agree that prior to any such Subsidiary becoming entitled to utilize the New Vehicle Floorplan Facility the Administrative Agent, the New Vehicle Floorplan Swing Line Lender, and the other Lenders shall have received the documents required by </w:t>
      </w:r>
      <w:r>
        <w:rPr>
          <w:rFonts w:ascii="Times New Roman;sans-serif" w:hAnsi="Times New Roman;sans-serif"/>
          <w:b w:val="false"/>
          <w:color w:val="000000"/>
          <w:sz w:val="22"/>
          <w:u w:val="single"/>
        </w:rPr>
        <w:t>Section 6.14</w:t>
      </w:r>
      <w:r>
        <w:rPr>
          <w:rFonts w:ascii="Times New Roman;sans-serif" w:hAnsi="Times New Roman;sans-serif"/>
          <w:b w:val="false"/>
          <w:color w:val="000000"/>
          <w:sz w:val="22"/>
        </w:rPr>
        <w:t xml:space="preserve">. Upon satisfaction of the foregoing requirements, each of the New Vehicle Floorplan Lenders agrees to permit such New Vehicle Borrower to receive New Vehicle Floorplan Loans, hereunder, on the terms and conditions set forth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367665"/>
                <wp:effectExtent l="0" t="0" r="0" b="0"/>
                <wp:wrapNone/>
                <wp:docPr id="276" name="Frame27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103</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herein, and each of the parties agrees that such New Vehicle Borrower otherwise shall be a Borrower for all purposes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Notwithstanding any other provision of this Agreement, each New Vehicle Borrower shall be jointly and severally liable as a primary obligor, and not merely as surety, for any and all Obligations under the New Vehicle Floorplan Facility now or hereafter owed to the Administrative Agent, the New Vehicle Floorplan Swing Line Lender and the New Vehicle Floorplan Lenders or related fees, in each case, whether voluntary or involuntary and however arising, whether direct or acquired by any Lender by assignment or succession, whether due or not due, absolute or contingent, liquidated or unliquidated, determined or undetermined (such Obligations, the “</w:t>
      </w:r>
      <w:r>
        <w:rPr>
          <w:rFonts w:ascii="Times New Roman;sans-serif" w:hAnsi="Times New Roman;sans-serif"/>
          <w:b w:val="false"/>
          <w:color w:val="000000"/>
          <w:sz w:val="22"/>
          <w:u w:val="single"/>
        </w:rPr>
        <w:t>New Vehicle Floorplan Facility Liabilities</w:t>
      </w:r>
      <w:r>
        <w:rPr>
          <w:color w:val="000000"/>
        </w:rPr>
        <w:t>”</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With respect to the New Vehicle Borrowers’ joint and several liability as provided hereunder, each New Vehicle Borrower expressly waives any and all defenses now or hereafter arising or asserted by reason of (i) any lack of legality, validity or enforceability of this Agreement, of any of the Notes, of any other Loan Document, or of any other agreement or instrument creating, providing security for, or otherwise relating to any of the Obligations or any guaranty of any of the New Vehicle Floorplan Facility Liabilities (the Loan Documents and all such other agreements and instruments being collectively referred to as the “</w:t>
      </w:r>
      <w:r>
        <w:rPr>
          <w:rFonts w:ascii="Times New Roman;sans-serif" w:hAnsi="Times New Roman;sans-serif"/>
          <w:b w:val="false"/>
          <w:color w:val="000000"/>
          <w:sz w:val="22"/>
          <w:u w:val="single"/>
        </w:rPr>
        <w:t>Related Agreements</w:t>
      </w:r>
      <w:r>
        <w:rPr>
          <w:color w:val="000000"/>
        </w:rPr>
        <w:t>”</w:t>
      </w:r>
      <w:r>
        <w:rPr>
          <w:rFonts w:ascii="Times New Roman;sans-serif" w:hAnsi="Times New Roman;sans-serif"/>
          <w:b w:val="false"/>
          <w:color w:val="000000"/>
          <w:sz w:val="22"/>
        </w:rPr>
        <w:t>); (ii) any action taken under any of the Related Agreements, any exercise of any right or power therein conferred, any failure or omission to enforce any right conferred thereby, or any waiver of any covenant or condition therein provided; (iii) any acceleration of the maturity of any of the New Vehicle Floorplan Facility Liabilities or of any other obligations or liabilities of any Person under any of the Related Agreements; (iv) any release, exchange, non-perfection, lapse in perfection, disposal, deterioration in value, or impairment of any security for any of the New Vehicle Floorplan Facility Liabilities, or for any other obligations or liabilities of any Person under any of the Related Agreements; (v) any dissolution of any Borrower, any Loan Party or any other party to a Related Agreement, or the combination or consolidation of any Borrower, any Loan Party or any other party to a Related Agreement into or with another entity or any transfer or disposition of any assets of any Borrower, any Loan Party or any other party to a Related Agreement; (vi) any extension (including without limitation extensions of time for payment), renewal, amendment, restructuring or restatement of, any acceptance of late or partial payments under, or any change in the amount of any borrowings or any credit facilities available under, this Agreement, any of the Notes or any other Loan Document or any other Related Agreement, in whole or in part; (vii) the existence, addition, modification, termination, reduction or impairment of value, or release of any other guaranty (or security therefor) of the New Vehicle Floorplan Facility Liabilities; (viii) any waiver of, forbearance or indulgence under, or other consent to any change in or departure from any term or provision contained in this Agreement, any other Loan Document or any other Related Agreement, including without limitation any term pertaining to the payment or performance of any of the New Vehicle Floorplan Facility Liabilities, or any of the obligations or liabilities of any party to any other Related Agreement; and (ix) any other circumstance whatsoever (with or without notice to or knowledge of such New Vehicle Borrower) which may or might in any manner or to any extent vary the risks of such New Vehicle Borrower, or might otherwise constitute a legal or equitable defense available to, or discharge of, a surety or a guarantor, including without limitation any right to require or claim that resort be had to any Borrower or any other Loan Party or to any collateral in respect of the New Vehicle Floorplan Facility Liabilities. It is the express purpose and intent of the parties hereto that the joint and several liability of each New Vehicle Borrower for the New Vehicle Floorplan Facility Liabilities shall be absolute and unconditional under any and all circumstances and shall not be discharged except by payment as herein provided. Notwithstanding the foregoing, the liability of each New Vehicle Borrower with respect to its New Vehicle Floorplan Facility Liabilities shall be limited to an aggregate amount equal to the largest amount that would not render its obligations hereunder subject to avoidance under Section 548 of the Bankruptcy Code of the United States or any comparable provisions of any applicable state law.</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 xml:space="preserve">Each Subsidiary that is or becomes a “New Vehicle Borrower” pursuant to this </w:t>
      </w:r>
      <w:r>
        <w:rPr>
          <w:rFonts w:ascii="Times New Roman;sans-serif" w:hAnsi="Times New Roman;sans-serif"/>
          <w:b w:val="false"/>
          <w:color w:val="000000"/>
          <w:sz w:val="22"/>
          <w:u w:val="single"/>
        </w:rPr>
        <w:t>Section 2.24</w:t>
      </w:r>
      <w:r>
        <w:rPr>
          <w:color w:val="000000"/>
        </w:rPr>
        <w:t xml:space="preserve"> </w:t>
      </w:r>
      <w:r>
        <w:rPr>
          <w:rFonts w:ascii="Times New Roman;sans-serif" w:hAnsi="Times New Roman;sans-serif"/>
          <w:b w:val="false"/>
          <w:color w:val="000000"/>
          <w:sz w:val="22"/>
        </w:rPr>
        <w:t xml:space="preserve">hereby irrevocably appoints the Company as its agent for all purposes relevant to this Agreement and each of the other Loan Documents, including (i) the giving and receipt of notices, (ii) the execution and delivery of all documents, instruments and certificates contemplated herein and all modifications hereto, and (iii) the receipt of the proceeds of any New Vehicle Floorplan Loans made by the Lenders to any such New Vehicle Borrower hereunder. Any acknowledgment, consent, direction, certification or other action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367665"/>
                <wp:effectExtent l="0" t="0" r="0" b="0"/>
                <wp:wrapNone/>
                <wp:docPr id="277" name="Frame27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104</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which might otherwise be valid or effective only if given or taken by all Borrowers, or by any Borrower acting singly, shall be valid and effective if given or taken only by the Company, whether or not any such other Borrower joins therein. Any notice, demand, consent, acknowledgement, direction, certification or other communication delivered to the Company in accordance with the terms of this Agreement shall be deemed to have been delivered to the Company and each New Vehicle Borrower.</w:t>
      </w:r>
    </w:p>
    <w:p>
      <w:pPr>
        <w:pStyle w:val="TextBody"/>
        <w:bidi w:val="0"/>
        <w:spacing w:lineRule="auto" w:line="240" w:before="0" w:after="240"/>
        <w:ind w:left="0" w:right="0" w:hanging="720"/>
        <w:jc w:val="both"/>
        <w:rPr/>
      </w:pPr>
      <w:r>
        <w:rPr>
          <w:rFonts w:ascii="Times New Roman;sans-serif" w:hAnsi="Times New Roman;sans-serif"/>
          <w:b/>
          <w:color w:val="000000"/>
          <w:sz w:val="22"/>
        </w:rPr>
        <w:t>2.25Used Vehicle Borrowers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Effective as of the date hereof, each Subsidiary that has executed this Agreement shall be a “</w:t>
      </w:r>
      <w:r>
        <w:rPr>
          <w:rFonts w:ascii="Times New Roman;sans-serif" w:hAnsi="Times New Roman;sans-serif"/>
          <w:b w:val="false"/>
          <w:color w:val="000000"/>
          <w:sz w:val="22"/>
          <w:u w:val="single"/>
        </w:rPr>
        <w:t>Used Vehicle Borrower</w:t>
      </w:r>
      <w:r>
        <w:rPr>
          <w:color w:val="000000"/>
        </w:rPr>
        <w:t xml:space="preserve">” </w:t>
      </w:r>
      <w:r>
        <w:rPr>
          <w:rFonts w:ascii="Times New Roman;sans-serif" w:hAnsi="Times New Roman;sans-serif"/>
          <w:b w:val="false"/>
          <w:color w:val="000000"/>
          <w:sz w:val="22"/>
        </w:rPr>
        <w:t>hereunder and may receive Used Vehicle Floorplan Loans for its account on the terms and conditions set forth in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If, at any time, any Subsidiary engages in the sale or leasing of Vehicles, the Company shall designate such Subsidiary as a Used Vehicle Borrower and shall deliver to the Administrative Agent, pursuant to </w:t>
      </w:r>
      <w:r>
        <w:rPr>
          <w:rFonts w:ascii="Times New Roman;sans-serif" w:hAnsi="Times New Roman;sans-serif"/>
          <w:b w:val="false"/>
          <w:color w:val="000000"/>
          <w:sz w:val="22"/>
          <w:u w:val="single"/>
        </w:rPr>
        <w:t>Section 6.14</w:t>
      </w:r>
      <w:r>
        <w:rPr>
          <w:color w:val="000000"/>
        </w:rPr>
        <w:t xml:space="preserve"> </w:t>
      </w:r>
      <w:r>
        <w:rPr>
          <w:rFonts w:ascii="Times New Roman;sans-serif" w:hAnsi="Times New Roman;sans-serif"/>
          <w:b w:val="false"/>
          <w:color w:val="000000"/>
          <w:sz w:val="22"/>
        </w:rPr>
        <w:t xml:space="preserve">or otherwise, a Joinder Agreement executed by such Subsidiary identifying such Subsidiary as a Used Vehicle Borrower;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 Used Vehicle Borrower shall not be required to execute a Joinder Agreement if such Used Vehicle Borrower has executed and delivered this Agreement on the Closing Date and provided further that no Subsidiary that is a Foreign Subsidiary shall become a Used Vehicle Borrower. The parties hereto acknowledge and agree that prior to any such Subsidiary becoming entitled to utilize the Used Vehicle Floorplan Facility the Administrative Agent and the other Lenders shall have received the documents required by </w:t>
      </w:r>
      <w:r>
        <w:rPr>
          <w:rFonts w:ascii="Times New Roman;sans-serif" w:hAnsi="Times New Roman;sans-serif"/>
          <w:b w:val="false"/>
          <w:color w:val="000000"/>
          <w:sz w:val="22"/>
          <w:u w:val="single"/>
        </w:rPr>
        <w:t>Section 6.14</w:t>
      </w:r>
      <w:r>
        <w:rPr>
          <w:rFonts w:ascii="Times New Roman;sans-serif" w:hAnsi="Times New Roman;sans-serif"/>
          <w:b w:val="false"/>
          <w:color w:val="000000"/>
          <w:sz w:val="22"/>
        </w:rPr>
        <w:t>. Upon satisfaction of the foregoing requirements, each of the Used Vehicle Floorplan Lenders agrees to permit such Used Vehicle Borrower to receive Used Vehicle Floorplan Loans, other than Used Vehicle Floorplan Swing Line Loans, hereunder, on the terms and conditions set forth herein, and each of the parties agrees that such Used Vehicle Borrower otherwise shall be a Borrower for all purposes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Notwithstanding any other provision of this Agreement, each Used Vehicle Borrower shall be jointly and severally liable as a primary obligor, and not merely as surety, for any and all Obligations under the Used Vehicle Floorplan Facility now or hereafter owed to the Administrative Agent and the Used Vehicle Floorplan Lenders with respect to Used Vehicle Floorplan Committed Loans or related fees, in each case, whether voluntary or involuntary and however arising, whether direct or acquired by any Lender by assignment or succession, whether due or not due, absolute or contingent, liquidated or unliquidated, determined or undetermined (such Obligations, the “</w:t>
      </w:r>
      <w:r>
        <w:rPr>
          <w:rFonts w:ascii="Times New Roman;sans-serif" w:hAnsi="Times New Roman;sans-serif"/>
          <w:b w:val="false"/>
          <w:color w:val="000000"/>
          <w:sz w:val="22"/>
          <w:u w:val="single"/>
        </w:rPr>
        <w:t>Used Vehicle Floorplan Facility Liabilities</w:t>
      </w:r>
      <w:r>
        <w:rPr>
          <w:color w:val="000000"/>
        </w:rPr>
        <w:t>”</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With respect to the Used Vehicle Borrowers’ joint and several liability as provided hereunder, each Used Vehicle Borrower expressly waives any and all defenses now or hereafter arising or asserted by reason of (i) any lack of legality, validity or enforceability of this Agreement or any of the Related Agreement; (ii) any action taken under any of the Related Agreements, any exercise of any right or power therein conferred, any failure or omission to enforce any right conferred thereby, or any waiver of any covenant or condition therein provided; (iii) any acceleration of the maturity of any of the Used Vehicle Floorplan Facility Liabilities or of any other obligations or liabilities of any Person under any of the Related Agreements; (iv) any release, exchange, non-perfection, lapse in perfection, disposal, deterioration in value, or impairment of any security for any of the Used Vehicle Floorplan Facility Liabilities, or for any other obligations or liabilities of any Person under any of the Related Agreements; (v) any dissolution of any Borrower, any Loan Party or any other party to a Related Agreement, or the combination or consolidation of any Borrower, any Loan Party or any other party to a Related Agreement into or with another entity or any transfer or disposition of any assets of any Borrower, any Loan Party or any other party to a Related Agreement; (vi) any extension (including without limitation extensions of time for payment), renewal, amendment, restructuring or restatement of, any acceptance of late or partial payments under, or any change in the amount of any borrowings or any credit facilities available under, this Agreement, any of the Notes or any other Loan Document or any other Related Agreement, in whole or in part; (vii) the existence, addition, modification, termination, reduction or impairment of value, or release of any other guaranty (or security therefor) of the Used Vehicle Floorplan Facility Liabilities; (viii) any waiver of, forbearance or indulgence under, or other consent to any change in or departure from any term or provision contained in this Agreement, any other Loan Document or any other Related Agreement, including without limitation any term pertaining to the payment or performance of any of the Used Vehicle Floorplan Facility Liabilities, or any of the obligations or liabilities of any party to any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367665"/>
                <wp:effectExtent l="0" t="0" r="0" b="0"/>
                <wp:wrapNone/>
                <wp:docPr id="278" name="Frame27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105</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other Related Agreement; and (ix) any other circumstance whatsoever (with or without notice to or knowledge of such Used Vehicle Borrower) which may or might in any manner or to any extent vary the risks of such Used Vehicle Borrower, or might otherwise constitute a legal or equitable defense available to, or discharge of, a surety or a guarantor, including without limitation any right to require or claim that resort be had to any Borrower or any other Loan Party or to any collateral in respect of the Used Vehicle Floorplan Facility Liabilities. It is the express purpose and intent of the parties hereto that the joint and several liability of each Used Vehicle Borrower for the Used Vehicle Floorplan Facility Liabilities shall be absolute and unconditional under any and all circumstances and shall not be discharged except by payment as herein provided. Notwithstanding the foregoing, the liability of each Used Vehicle Borrower (other than the Company) with respect to its Used Vehicle Floorplan Facility Liabilities shall be limited to an aggregate amount equal to the largest amount that would not render its obligations hereunder subject to avoidance under Section 548 of the Bankruptcy Code of the United States or any comparable provisions of any applicable state law.</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 xml:space="preserve">Each Subsidiary that is or becomes a “Used Vehicle Borrower” pursuant to this </w:t>
      </w:r>
      <w:r>
        <w:rPr>
          <w:rFonts w:ascii="Times New Roman;sans-serif" w:hAnsi="Times New Roman;sans-serif"/>
          <w:b w:val="false"/>
          <w:color w:val="000000"/>
          <w:sz w:val="22"/>
          <w:u w:val="single"/>
        </w:rPr>
        <w:t>Section 2.25</w:t>
      </w:r>
      <w:r>
        <w:rPr>
          <w:color w:val="000000"/>
        </w:rPr>
        <w:t xml:space="preserve"> </w:t>
      </w:r>
      <w:r>
        <w:rPr>
          <w:rFonts w:ascii="Times New Roman;sans-serif" w:hAnsi="Times New Roman;sans-serif"/>
          <w:b w:val="false"/>
          <w:color w:val="000000"/>
          <w:sz w:val="22"/>
        </w:rPr>
        <w:t>hereby irrevocably appoints the Company as its agent for all purposes relevant to this Agreement and each of the other Loan Documents, including (i) the giving and receipt of notices, (ii) the execution and delivery of all documents, instruments and certificates contemplated herein and all modifications hereto, and (iii) the receipt of the proceeds of any Used Vehicle Floorplan Committed Loans made by the Lenders to any such Used Vehicle Borrower hereunder. Any acknowledgment, consent, direction, certification or other action which might otherwise be valid or effective only if given or taken by all Borrowers, or by any Borrower acting singly, shall be valid and effective if given or taken only by the Company, whether or not any such other Borrower joins therein. Any notice, demand, consent, acknowledgement, direction, certification or other communication delivered to the Company in accordance with the terms of this Agreement shall be deemed to have been delivered to each Used Vehicle Borrower.</w:t>
      </w:r>
    </w:p>
    <w:p>
      <w:pPr>
        <w:pStyle w:val="TextBody"/>
        <w:bidi w:val="0"/>
        <w:spacing w:lineRule="auto" w:line="240" w:before="0" w:after="240"/>
        <w:ind w:left="0" w:right="0" w:hanging="720"/>
        <w:jc w:val="both"/>
        <w:rPr/>
      </w:pPr>
      <w:r>
        <w:rPr>
          <w:rFonts w:ascii="Times New Roman;sans-serif" w:hAnsi="Times New Roman;sans-serif"/>
          <w:b/>
          <w:color w:val="000000"/>
          <w:sz w:val="22"/>
        </w:rPr>
        <w:t>2.26Cash Collateral</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Certain Credit Support Events</w:t>
      </w:r>
      <w:r>
        <w:rPr>
          <w:rFonts w:ascii="Times New Roman;sans-serif" w:hAnsi="Times New Roman;sans-serif"/>
          <w:b w:val="false"/>
          <w:color w:val="000000"/>
          <w:sz w:val="22"/>
        </w:rPr>
        <w:t xml:space="preserve">. Upon the request of the Administrative Agent or an L/C Issuer (i) if an L/C Issuer has honored any full or partial drawing request under any Letter of Credit and such drawing has resulted in an L/C Borrowing, or (ii) if, as of the Letter of Credit Expiration Date, any L/C Obligation for any reason remains outstanding, the Borrowers shall, in each case, immediately Cash Collateralize the then Outstanding Amount of all L/C Obligations (or in the case of clause (i), the amount of such L/C Borrowing). At any time that there shall exist a Defaulting Lender, immediately upon the request of the Administrative Agent, any L/C Issuer or any Swing Line Lender, the Borrowers, jointly and severally, shall deliver to the Administrative Agent Cash Collateral in an amount sufficient to cover all Fronting Exposure (after giving effect to </w:t>
      </w:r>
      <w:r>
        <w:rPr>
          <w:rFonts w:ascii="Times New Roman;sans-serif" w:hAnsi="Times New Roman;sans-serif"/>
          <w:b w:val="false"/>
          <w:color w:val="000000"/>
          <w:sz w:val="22"/>
          <w:u w:val="single"/>
        </w:rPr>
        <w:t>Section 2.27(a)(iv)</w:t>
      </w:r>
      <w:r>
        <w:rPr>
          <w:color w:val="000000"/>
        </w:rPr>
        <w:t xml:space="preserve"> </w:t>
      </w:r>
      <w:r>
        <w:rPr>
          <w:rFonts w:ascii="Times New Roman;sans-serif" w:hAnsi="Times New Roman;sans-serif"/>
          <w:b w:val="false"/>
          <w:color w:val="000000"/>
          <w:sz w:val="22"/>
        </w:rPr>
        <w:t>and any Cash Collateral provided by the Defaulting Lender).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Grant of Security Interest</w:t>
      </w:r>
      <w:r>
        <w:rPr>
          <w:rFonts w:ascii="Times New Roman;sans-serif" w:hAnsi="Times New Roman;sans-serif"/>
          <w:b w:val="false"/>
          <w:color w:val="000000"/>
          <w:sz w:val="22"/>
        </w:rPr>
        <w:t xml:space="preserve">. All Cash Collateral (other than credit support not constituting funds subject to deposit) shall be maintained in blocked, non-interest bearing deposit accounts at Bank of America. The Borrowers, and to the extent provided by any Lender, such Lender, hereby grants to (and subjects to the control of) the Administrative Agent, for the benefit of the Administrative Agent, the L/C Issuer and the Lenders (including the Swing Line Lenders), and agrees to maintain, a first priority security interest in all such cash, deposit accounts and all balances therein so provided as collateral pursuant hereto, and in all proceeds of the foregoing, all as security for the obligations to which such Cash Collateral may be applied pursuant to </w:t>
      </w:r>
      <w:r>
        <w:rPr>
          <w:rFonts w:ascii="Times New Roman;sans-serif" w:hAnsi="Times New Roman;sans-serif"/>
          <w:b w:val="false"/>
          <w:color w:val="000000"/>
          <w:sz w:val="22"/>
          <w:u w:val="single"/>
        </w:rPr>
        <w:t>Section 2.26(c)</w:t>
      </w:r>
      <w:r>
        <w:rPr>
          <w:rFonts w:ascii="Times New Roman;sans-serif" w:hAnsi="Times New Roman;sans-serif"/>
          <w:b w:val="false"/>
          <w:color w:val="000000"/>
          <w:sz w:val="22"/>
        </w:rPr>
        <w:t>. If at any time the Administrative Agent determines that Cash Collateral is subject to any right or claim of any Person other than the Administrative Agent or an L/C Issuer as herein provided, or that the total amount of such Cash Collateral is less than the applicable Fronting Exposure and other obligations secured thereby, the Borrowers or the relevant Defaulting Lender will, promptly upon demand by the Administrative Agent, pay or provide to the Administrative Agent additional Cash Collateral in an amount sufficient to eliminate such deficiency.</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Application</w:t>
      </w:r>
      <w:r>
        <w:rPr>
          <w:rFonts w:ascii="Times New Roman;sans-serif" w:hAnsi="Times New Roman;sans-serif"/>
          <w:b w:val="false"/>
          <w:color w:val="000000"/>
          <w:sz w:val="22"/>
        </w:rPr>
        <w:t xml:space="preserve">. Notwithstanding anything to the contrary contained in this Agreement, Cash Collateral provided under any of this </w:t>
      </w:r>
      <w:r>
        <w:rPr>
          <w:rFonts w:ascii="Times New Roman;sans-serif" w:hAnsi="Times New Roman;sans-serif"/>
          <w:b w:val="false"/>
          <w:color w:val="000000"/>
          <w:sz w:val="22"/>
          <w:u w:val="single"/>
        </w:rPr>
        <w:t>Section 2.26</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Sections 2.03</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2.04</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2.07</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2.13</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2.27</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8.02</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8.04</w:t>
      </w:r>
      <w:r>
        <w:rPr>
          <w:color w:val="000000"/>
        </w:rPr>
        <w:t xml:space="preserve"> </w:t>
      </w:r>
      <w:r>
        <w:rPr>
          <w:rFonts w:ascii="Times New Roman;sans-serif" w:hAnsi="Times New Roman;sans-serif"/>
          <w:b w:val="false"/>
          <w:color w:val="000000"/>
          <w:sz w:val="22"/>
        </w:rPr>
        <w:t xml:space="preserve">in respect of Letters of Credit or Swing Line Loans shall be held and applied to the satisfaction of the specific L/C Obligations, Swing Line Loans, obligations to fund participations therein (including, as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367665"/>
                <wp:effectExtent l="0" t="0" r="0" b="0"/>
                <wp:wrapNone/>
                <wp:docPr id="279" name="Frame27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106</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to Cash Collateral provided by a Defaulting Lender, any interest accrued on such obligation) and other obligations for which the Cash Collateral was so provided, prior to any other application of such property as may be provided for herein.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Release</w:t>
      </w:r>
      <w:r>
        <w:rPr>
          <w:rFonts w:ascii="Times New Roman;sans-serif" w:hAnsi="Times New Roman;sans-serif"/>
          <w:b w:val="false"/>
          <w:color w:val="000000"/>
          <w:sz w:val="22"/>
        </w:rPr>
        <w:t xml:space="preserve">. Cash Collateral (or the appropriate portion thereof) provided to reduce Fronting Exposure or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Times New Roman;sans-serif" w:hAnsi="Times New Roman;sans-serif"/>
          <w:b w:val="false"/>
          <w:color w:val="000000"/>
          <w:sz w:val="22"/>
          <w:u w:val="single"/>
        </w:rPr>
        <w:t>Section 10.06(b)(vi)</w:t>
      </w:r>
      <w:r>
        <w:rPr>
          <w:rFonts w:ascii="Times New Roman;sans-serif" w:hAnsi="Times New Roman;sans-serif"/>
          <w:b w:val="false"/>
          <w:color w:val="000000"/>
          <w:sz w:val="22"/>
        </w:rPr>
        <w:t xml:space="preserve">)) or (ii) the Administrative Agent’s good faith determination that there exists excess Cash Collateral;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(x) that Cash Collateral furnished by or on behalf of a Loan Party shall not be released during the continuance of a Default or Event of Default (and following application as provided in this </w:t>
      </w:r>
      <w:r>
        <w:rPr>
          <w:rFonts w:ascii="Times New Roman;sans-serif" w:hAnsi="Times New Roman;sans-serif"/>
          <w:b w:val="false"/>
          <w:color w:val="000000"/>
          <w:sz w:val="22"/>
          <w:u w:val="single"/>
        </w:rPr>
        <w:t>Section 2.26</w:t>
      </w:r>
      <w:r>
        <w:rPr>
          <w:color w:val="000000"/>
        </w:rPr>
        <w:t xml:space="preserve"> </w:t>
      </w:r>
      <w:r>
        <w:rPr>
          <w:rFonts w:ascii="Times New Roman;sans-serif" w:hAnsi="Times New Roman;sans-serif"/>
          <w:b w:val="false"/>
          <w:color w:val="000000"/>
          <w:sz w:val="22"/>
        </w:rPr>
        <w:t xml:space="preserve">may be otherwise applied in accordance with </w:t>
      </w:r>
      <w:r>
        <w:rPr>
          <w:rFonts w:ascii="Times New Roman;sans-serif" w:hAnsi="Times New Roman;sans-serif"/>
          <w:b w:val="false"/>
          <w:color w:val="000000"/>
          <w:sz w:val="22"/>
          <w:u w:val="single"/>
        </w:rPr>
        <w:t>Section 8.06)</w:t>
      </w:r>
      <w:r>
        <w:rPr>
          <w:rFonts w:ascii="Times New Roman;sans-serif" w:hAnsi="Times New Roman;sans-serif"/>
          <w:b w:val="false"/>
          <w:color w:val="000000"/>
          <w:sz w:val="22"/>
        </w:rPr>
        <w:t>, and (y) the Person providing Cash Collateral and the applicable L/C Issuer or applicable Swing Line Lender, as applicable, may agree that Cash Collateral shall not be released but instead held to support future anticipated Fronting Exposure or other obligations.</w:t>
      </w:r>
    </w:p>
    <w:p>
      <w:pPr>
        <w:pStyle w:val="TextBody"/>
        <w:bidi w:val="0"/>
        <w:spacing w:lineRule="auto" w:line="240" w:before="0" w:after="240"/>
        <w:ind w:left="0" w:right="0" w:hanging="720"/>
        <w:jc w:val="both"/>
        <w:rPr/>
      </w:pPr>
      <w:r>
        <w:rPr>
          <w:rFonts w:ascii="Times New Roman;sans-serif" w:hAnsi="Times New Roman;sans-serif"/>
          <w:b/>
          <w:color w:val="000000"/>
          <w:sz w:val="22"/>
        </w:rPr>
        <w:t>2.27Defaulting Lenders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Adjustments</w:t>
      </w:r>
      <w:r>
        <w:rPr>
          <w:rFonts w:ascii="Times New Roman;sans-serif" w:hAnsi="Times New Roman;sans-serif"/>
          <w:b w:val="false"/>
          <w:color w:val="000000"/>
          <w:sz w:val="22"/>
        </w:rPr>
        <w:t>. Notwithstanding anything to the contrary contained in this Agreement, if any Lender becomes a Defaulting Lender, then, until such time as that Lender is no longer a Defaulting Lender, to the extent permitted by applicable Law:</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Waivers and Amendments</w:t>
      </w:r>
      <w:r>
        <w:rPr>
          <w:rFonts w:ascii="Times New Roman;sans-serif" w:hAnsi="Times New Roman;sans-serif"/>
          <w:b w:val="false"/>
          <w:color w:val="000000"/>
          <w:sz w:val="22"/>
        </w:rPr>
        <w:t xml:space="preserve">. That Defaulting Lender’s right to approve or disapprove any amendment, waiver or consent with respect to this Agreement shall be restricted as set forth in </w:t>
      </w:r>
      <w:r>
        <w:rPr>
          <w:rFonts w:ascii="Times New Roman;sans-serif" w:hAnsi="Times New Roman;sans-serif"/>
          <w:b w:val="false"/>
          <w:color w:val="000000"/>
          <w:sz w:val="22"/>
          <w:u w:val="single"/>
        </w:rPr>
        <w:t>Section 10.01</w:t>
      </w:r>
      <w:r>
        <w:rPr>
          <w:color w:val="000000"/>
        </w:rPr>
        <w:t xml:space="preserve"> </w:t>
      </w:r>
      <w:r>
        <w:rPr>
          <w:rFonts w:ascii="Times New Roman;sans-serif" w:hAnsi="Times New Roman;sans-serif"/>
          <w:b w:val="false"/>
          <w:color w:val="000000"/>
          <w:sz w:val="22"/>
        </w:rPr>
        <w:t>and in the definition of Required Lenders.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Reallocation of Payments</w:t>
      </w:r>
      <w:r>
        <w:rPr>
          <w:rFonts w:ascii="Times New Roman;sans-serif" w:hAnsi="Times New Roman;sans-serif"/>
          <w:b w:val="false"/>
          <w:color w:val="000000"/>
          <w:sz w:val="22"/>
        </w:rPr>
        <w:t xml:space="preserve">. Any payment of principal, interest, fees or other amounts received by the Administrative Agent for the account of that Defaulting Lender (whether voluntary or mandatory, at maturity, pursuant to </w:t>
      </w:r>
      <w:r>
        <w:rPr>
          <w:rFonts w:ascii="Times New Roman;sans-serif" w:hAnsi="Times New Roman;sans-serif"/>
          <w:b w:val="false"/>
          <w:color w:val="000000"/>
          <w:sz w:val="22"/>
          <w:u w:val="single"/>
        </w:rPr>
        <w:t>Article VIII</w:t>
      </w:r>
      <w:r>
        <w:rPr>
          <w:color w:val="000000"/>
        </w:rPr>
        <w:t xml:space="preserve"> </w:t>
      </w:r>
      <w:r>
        <w:rPr>
          <w:rFonts w:ascii="Times New Roman;sans-serif" w:hAnsi="Times New Roman;sans-serif"/>
          <w:b w:val="false"/>
          <w:color w:val="000000"/>
          <w:sz w:val="22"/>
        </w:rPr>
        <w:t xml:space="preserve">or otherwise, and including any amounts made available to the Administrative Agent by that Defaulting Lender pursuant to </w:t>
      </w:r>
      <w:r>
        <w:rPr>
          <w:rFonts w:ascii="Times New Roman;sans-serif" w:hAnsi="Times New Roman;sans-serif"/>
          <w:b w:val="false"/>
          <w:color w:val="000000"/>
          <w:sz w:val="22"/>
          <w:u w:val="single"/>
        </w:rPr>
        <w:t>Section 10.08</w:t>
      </w:r>
      <w:r>
        <w:rPr>
          <w:rFonts w:ascii="Times New Roman;sans-serif" w:hAnsi="Times New Roman;sans-serif"/>
          <w:b w:val="false"/>
          <w:color w:val="000000"/>
          <w:sz w:val="22"/>
        </w:rPr>
        <w:t xml:space="preserve">), shall be applied at such time or times as may be determined by the Administrative Agent as follows: </w:t>
      </w:r>
      <w:r>
        <w:rPr>
          <w:rFonts w:ascii="Times New Roman;sans-serif" w:hAnsi="Times New Roman;sans-serif"/>
          <w:b w:val="false"/>
          <w:i/>
          <w:color w:val="000000"/>
          <w:sz w:val="22"/>
        </w:rPr>
        <w:t>first</w:t>
      </w:r>
      <w:r>
        <w:rPr>
          <w:rFonts w:ascii="Times New Roman;sans-serif" w:hAnsi="Times New Roman;sans-serif"/>
          <w:b w:val="false"/>
          <w:color w:val="000000"/>
          <w:sz w:val="22"/>
        </w:rPr>
        <w:t xml:space="preserve">, to the payment of any amounts owing by that Defaulting Lender to the Administrative Agent hereunder; </w:t>
      </w:r>
      <w:r>
        <w:rPr>
          <w:rFonts w:ascii="Times New Roman;sans-serif" w:hAnsi="Times New Roman;sans-serif"/>
          <w:b w:val="false"/>
          <w:i/>
          <w:color w:val="000000"/>
          <w:sz w:val="22"/>
        </w:rPr>
        <w:t>second</w:t>
      </w:r>
      <w:r>
        <w:rPr>
          <w:rFonts w:ascii="Times New Roman;sans-serif" w:hAnsi="Times New Roman;sans-serif"/>
          <w:b w:val="false"/>
          <w:color w:val="000000"/>
          <w:sz w:val="22"/>
        </w:rPr>
        <w:t xml:space="preserve">, to the payment on a pro rata basis of any amounts owing by that Defaulting Lender to the applicable L/C Issuer or Swing Line Lender hereunder; </w:t>
      </w:r>
      <w:r>
        <w:rPr>
          <w:rFonts w:ascii="Times New Roman;sans-serif" w:hAnsi="Times New Roman;sans-serif"/>
          <w:b w:val="false"/>
          <w:i/>
          <w:color w:val="000000"/>
          <w:sz w:val="22"/>
        </w:rPr>
        <w:t>third</w:t>
      </w:r>
      <w:r>
        <w:rPr>
          <w:rFonts w:ascii="Times New Roman;sans-serif" w:hAnsi="Times New Roman;sans-serif"/>
          <w:b w:val="false"/>
          <w:color w:val="000000"/>
          <w:sz w:val="22"/>
        </w:rPr>
        <w:t xml:space="preserve">, if so determined by the Administrative Agent or requested by the applicable L/C Issuer or Swing Line Lender, to be held as Cash Collateral for future funding obligations of that Defaulting Lender of any participation in any Swing Line Loan or Letter of Credit; </w:t>
      </w:r>
      <w:r>
        <w:rPr>
          <w:rFonts w:ascii="Times New Roman;sans-serif" w:hAnsi="Times New Roman;sans-serif"/>
          <w:b w:val="false"/>
          <w:i/>
          <w:color w:val="000000"/>
          <w:sz w:val="22"/>
        </w:rPr>
        <w:t>fourth</w:t>
      </w:r>
      <w:r>
        <w:rPr>
          <w:rFonts w:ascii="Times New Roman;sans-serif" w:hAnsi="Times New Roman;sans-serif"/>
          <w:b w:val="false"/>
          <w:color w:val="000000"/>
          <w:sz w:val="22"/>
        </w:rPr>
        <w:t xml:space="preserve">, as the Company may request (so long as no Default or Event of Default exists), to the funding of any Loan in respect of which that Defaulting Lender has failed to fund its portion thereof as required by this Agreement, as determined by the Administrative Agent; </w:t>
      </w:r>
      <w:r>
        <w:rPr>
          <w:rFonts w:ascii="Times New Roman;sans-serif" w:hAnsi="Times New Roman;sans-serif"/>
          <w:b w:val="false"/>
          <w:i/>
          <w:color w:val="000000"/>
          <w:sz w:val="22"/>
        </w:rPr>
        <w:t>fifth</w:t>
      </w:r>
      <w:r>
        <w:rPr>
          <w:rFonts w:ascii="Times New Roman;sans-serif" w:hAnsi="Times New Roman;sans-serif"/>
          <w:b w:val="false"/>
          <w:color w:val="000000"/>
          <w:sz w:val="22"/>
        </w:rPr>
        <w:t xml:space="preserve">, if so determined by the Administrative Agent and the Company, to be held in a non-interest bearing deposit account and released in order to satisfy obligations of that Defaulting Lender to fund Loans under this Agreement; </w:t>
      </w:r>
      <w:r>
        <w:rPr>
          <w:rFonts w:ascii="Times New Roman;sans-serif" w:hAnsi="Times New Roman;sans-serif"/>
          <w:b w:val="false"/>
          <w:i/>
          <w:color w:val="000000"/>
          <w:sz w:val="22"/>
        </w:rPr>
        <w:t>sixth</w:t>
      </w:r>
      <w:r>
        <w:rPr>
          <w:rFonts w:ascii="Times New Roman;sans-serif" w:hAnsi="Times New Roman;sans-serif"/>
          <w:b w:val="false"/>
          <w:color w:val="000000"/>
          <w:sz w:val="22"/>
        </w:rPr>
        <w:t xml:space="preserve">, to the payment of any amounts owing to the Lenders, the L/C Issuers or the Swing Line Lenders as a result of any judgment of a court of competent jurisdiction obtained by any Lender, L/C Issuer or Swing Line Lender against that Defaulting Lender as a result of that Defaulting Lender’s breach of its obligations under this Agreement; </w:t>
      </w:r>
      <w:r>
        <w:rPr>
          <w:rFonts w:ascii="Times New Roman;sans-serif" w:hAnsi="Times New Roman;sans-serif"/>
          <w:b w:val="false"/>
          <w:i/>
          <w:color w:val="000000"/>
          <w:sz w:val="22"/>
        </w:rPr>
        <w:t>seventh</w:t>
      </w:r>
      <w:r>
        <w:rPr>
          <w:rFonts w:ascii="Times New Roman;sans-serif" w:hAnsi="Times New Roman;sans-serif"/>
          <w:b w:val="false"/>
          <w:color w:val="000000"/>
          <w:sz w:val="22"/>
        </w:rPr>
        <w:t xml:space="preserve">, so long as no Default or Event of Default exists, to the payment of any amounts owing to the Company as a result of any judgment of a court of competent jurisdiction obtained by the Company against that Defaulting Lender as a result of that Defaulting Lender’s breach of its obligations under this Agreement; and </w:t>
      </w:r>
      <w:r>
        <w:rPr>
          <w:rFonts w:ascii="Times New Roman;sans-serif" w:hAnsi="Times New Roman;sans-serif"/>
          <w:b w:val="false"/>
          <w:i/>
          <w:color w:val="000000"/>
          <w:sz w:val="22"/>
        </w:rPr>
        <w:t>eighth</w:t>
      </w:r>
      <w:r>
        <w:rPr>
          <w:rFonts w:ascii="Times New Roman;sans-serif" w:hAnsi="Times New Roman;sans-serif"/>
          <w:b w:val="false"/>
          <w:color w:val="000000"/>
          <w:sz w:val="22"/>
        </w:rPr>
        <w:t xml:space="preserve">, to that Defaulting Lender or as otherwise directed by a court of competent jurisdiction;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(x) such payment is a payment of the principal amount of any Loans under any Facility or L/C Borrowings in respect of which that Defaulting Lender has not fully funded its appropriate share and (y) such Loans or L/C Borrowings were made at a time when the conditions set forth in </w:t>
      </w:r>
      <w:r>
        <w:rPr>
          <w:rFonts w:ascii="Times New Roman;sans-serif" w:hAnsi="Times New Roman;sans-serif"/>
          <w:b w:val="false"/>
          <w:color w:val="000000"/>
          <w:sz w:val="22"/>
          <w:u w:val="single"/>
        </w:rPr>
        <w:t>Section 4.02</w:t>
      </w:r>
      <w:r>
        <w:rPr>
          <w:color w:val="000000"/>
        </w:rPr>
        <w:t xml:space="preserve"> </w:t>
      </w:r>
      <w:r>
        <w:rPr>
          <w:rFonts w:ascii="Times New Roman;sans-serif" w:hAnsi="Times New Roman;sans-serif"/>
          <w:b w:val="false"/>
          <w:color w:val="000000"/>
          <w:sz w:val="22"/>
        </w:rPr>
        <w:t xml:space="preserve">were satisfied or waived, such payment shall be applied solely to pay the Loans of, and L/C Borrowings owed to, all non-Defaulting Lenders under the applicable Facility on a pro rata basis (and ratably among all applicable Facilities computed in accordance with the Defaulting Lenders’ respective funding deficiencies) prior to being applied to the payment of any Loans of, or L/C Borrowings owed to, that Defaulting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367665"/>
                <wp:effectExtent l="0" t="0" r="0" b="0"/>
                <wp:wrapNone/>
                <wp:docPr id="280" name="Frame27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107</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Lender under the applicable Facility. Any payments, prepayments or other amounts paid or payable to a Defaulting Lender that are applied (or held) to pay amounts owed by a Defaulting Lender or to post Cash Collateral pursuant to this </w:t>
      </w:r>
      <w:r>
        <w:rPr>
          <w:rFonts w:ascii="Times New Roman;sans-serif" w:hAnsi="Times New Roman;sans-serif"/>
          <w:b w:val="false"/>
          <w:color w:val="000000"/>
          <w:sz w:val="22"/>
          <w:u w:val="single"/>
        </w:rPr>
        <w:t>Section 2.27(a)(ii)</w:t>
      </w:r>
      <w:r>
        <w:rPr>
          <w:color w:val="000000"/>
        </w:rPr>
        <w:t xml:space="preserve"> </w:t>
      </w:r>
      <w:r>
        <w:rPr>
          <w:rFonts w:ascii="Times New Roman;sans-serif" w:hAnsi="Times New Roman;sans-serif"/>
          <w:b w:val="false"/>
          <w:color w:val="000000"/>
          <w:sz w:val="22"/>
        </w:rPr>
        <w:t>shall be deemed paid to and redirected by that Defaulting Lender, and each Lender irrevocably consents 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(iii)</w:t>
      </w:r>
      <w:r>
        <w:rPr>
          <w:rFonts w:ascii="Times New Roman;sans-serif" w:hAnsi="Times New Roman;sans-serif"/>
          <w:b w:val="false"/>
          <w:color w:val="000000"/>
          <w:sz w:val="22"/>
          <w:u w:val="single"/>
        </w:rPr>
        <w:t>Certain Fees</w:t>
      </w:r>
      <w:r>
        <w:rPr>
          <w:rFonts w:ascii="Times New Roman;sans-serif" w:hAnsi="Times New Roman;sans-serif"/>
          <w:b w:val="false"/>
          <w:color w:val="000000"/>
          <w:sz w:val="22"/>
        </w:rPr>
        <w:t xml:space="preserve">. That Defaulting Lender (x) shall not be entitled to receive any commitment fee pursuant to </w:t>
      </w:r>
      <w:r>
        <w:rPr>
          <w:rFonts w:ascii="Times New Roman;sans-serif" w:hAnsi="Times New Roman;sans-serif"/>
          <w:b w:val="false"/>
          <w:color w:val="000000"/>
          <w:sz w:val="22"/>
          <w:u w:val="single"/>
        </w:rPr>
        <w:t>Section 2.17(a)</w:t>
      </w:r>
      <w:r>
        <w:rPr>
          <w:color w:val="000000"/>
        </w:rPr>
        <w:t xml:space="preserve"> </w:t>
      </w:r>
      <w:r>
        <w:rPr>
          <w:rFonts w:ascii="Times New Roman;sans-serif" w:hAnsi="Times New Roman;sans-serif"/>
          <w:b w:val="false"/>
          <w:color w:val="000000"/>
          <w:sz w:val="22"/>
        </w:rPr>
        <w:t xml:space="preserve">or any facility fee owing to such Lender pursuant to the applicable Fee Letter for any period during which that Lender is a Defaulting Lender (and the Borrowers shall not be required to pay any such fee that otherwise would have been required to have been paid to that Defaulting Lender) and (y) shall be limited in its right to receive Letter of Credit Fees as provided in </w:t>
      </w:r>
      <w:r>
        <w:rPr>
          <w:rFonts w:ascii="Times New Roman;sans-serif" w:hAnsi="Times New Roman;sans-serif"/>
          <w:b w:val="false"/>
          <w:color w:val="000000"/>
          <w:sz w:val="22"/>
          <w:u w:val="single"/>
        </w:rPr>
        <w:t>Section 2.03(i)</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(iv)</w:t>
      </w:r>
      <w:r>
        <w:rPr>
          <w:rFonts w:ascii="Times New Roman;sans-serif" w:hAnsi="Times New Roman;sans-serif"/>
          <w:b w:val="false"/>
          <w:color w:val="000000"/>
          <w:sz w:val="22"/>
          <w:u w:val="single"/>
        </w:rPr>
        <w:t>Reallocation of Applicable Percentages to Reduce Fronting Exposure</w:t>
      </w:r>
      <w:r>
        <w:rPr>
          <w:rFonts w:ascii="Times New Roman;sans-serif" w:hAnsi="Times New Roman;sans-serif"/>
          <w:b w:val="false"/>
          <w:color w:val="000000"/>
          <w:sz w:val="22"/>
        </w:rPr>
        <w:t xml:space="preserve">. During any period in which there is a Defaulting Lender, for purposes of computing the amount of the obligation of each non-Defaulting Lender to acquire, refinance or fund participations in Letters of Credit, Revolving Swing Line Loans, New Vehicle Floorplan Swing Line Loans and Used Vehicle Floorplan Swing Line Loans pursuant to </w:t>
      </w:r>
      <w:r>
        <w:rPr>
          <w:rFonts w:ascii="Times New Roman;sans-serif" w:hAnsi="Times New Roman;sans-serif"/>
          <w:b w:val="false"/>
          <w:color w:val="000000"/>
          <w:sz w:val="22"/>
          <w:u w:val="single"/>
        </w:rPr>
        <w:t>Sections 2.03</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2.04</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2.07</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2.12</w:t>
      </w:r>
      <w:r>
        <w:rPr>
          <w:rFonts w:ascii="Times New Roman;sans-serif" w:hAnsi="Times New Roman;sans-serif"/>
          <w:b w:val="false"/>
          <w:color w:val="000000"/>
          <w:sz w:val="22"/>
        </w:rPr>
        <w:t xml:space="preserve">, the “Applicable Percentage” of each non-Defaulting Lender shall be computed without giving effect to the Commitment of such Defaulting Lender;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(i) each such reallocation shall be given effect only if, at the initial date thereof, no Default or Event of Default shall have occurred and be continuing; (ii) in all cases, the aggregate obligation of each non-Defaulting Lender to acquire, refinance or fund participations in Letters of Credit or Revolving Swing Line Loans shall not exceed the positive difference, if any, of (1) the Revolving Commitment of such non-Defaulting Lender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 xml:space="preserve">(2) the aggregate Outstanding Amount of the Revolving Committed Loans of that Lender, (ii) in all cases, the aggregate obligation of each non-Defaulting Lender to acquire, refinance or fund participations in New Vehicle Floorplan Swing Line Loans shall not exceed the positive difference, if any, of (1) the New Vehicle Floorplan Commitment of such non-Defaulting Lender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 xml:space="preserve">(2) the aggregate Outstanding Amount of the New Vehicle Floorplan Committed Loans of such Lender, and (iii) in all cases, the aggregate obligation of each non-Defaulting Lender to acquire, refinance or fund participations in Used Vehicle Floorplan Swing Line Loans shall not exceed the positive difference, if any, of (1) the Used Vehicle Floorplan Commitment of such non-Defaulting Lender </w:t>
      </w:r>
      <w:r>
        <w:rPr>
          <w:rFonts w:ascii="Times New Roman;sans-serif" w:hAnsi="Times New Roman;sans-serif"/>
          <w:b w:val="false"/>
          <w:color w:val="000000"/>
          <w:sz w:val="22"/>
          <w:u w:val="single"/>
        </w:rPr>
        <w:t>minus</w:t>
      </w:r>
      <w:r>
        <w:rPr>
          <w:color w:val="000000"/>
        </w:rPr>
        <w:t xml:space="preserve"> </w:t>
      </w:r>
      <w:r>
        <w:rPr>
          <w:rFonts w:ascii="Times New Roman;sans-serif" w:hAnsi="Times New Roman;sans-serif"/>
          <w:b w:val="false"/>
          <w:color w:val="000000"/>
          <w:sz w:val="22"/>
        </w:rPr>
        <w:t xml:space="preserve">(2) the aggregate Outstanding Amount of the Used Vehicle Floorplan Committed Loans of such Lender. Subject to </w:t>
      </w:r>
      <w:r>
        <w:rPr>
          <w:rFonts w:ascii="Times New Roman;sans-serif" w:hAnsi="Times New Roman;sans-serif"/>
          <w:b w:val="false"/>
          <w:color w:val="000000"/>
          <w:sz w:val="22"/>
          <w:u w:val="single"/>
        </w:rPr>
        <w:t>Section 10.21</w:t>
      </w:r>
      <w:r>
        <w:rPr>
          <w:rFonts w:ascii="Times New Roman;sans-serif" w:hAnsi="Times New Roman;sans-serif"/>
          <w:b w:val="false"/>
          <w:color w:val="000000"/>
          <w:sz w:val="22"/>
        </w:rPr>
        <w:t xml:space="preserve">,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 If the reallocation described above cannot, or can only partially, be effected, the Borrowers shall, without prejudice to any right or remedy available to it hereunder or under applicable Law, (x) first, prepay Swing Line Loans in an amount equal to the Swing Line Lenders’ Fronting Exposure and (y) second, Cash Collateralize the L/C Issuers’ Fronting Exposure in accordance with the procedures set forth in </w:t>
      </w:r>
      <w:r>
        <w:rPr>
          <w:rFonts w:ascii="Times New Roman;sans-serif" w:hAnsi="Times New Roman;sans-serif"/>
          <w:b w:val="false"/>
          <w:color w:val="000000"/>
          <w:sz w:val="22"/>
          <w:u w:val="single"/>
        </w:rPr>
        <w:t>Section 2.26</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Defaulting Lender Cure</w:t>
      </w:r>
      <w:r>
        <w:rPr>
          <w:rFonts w:ascii="Times New Roman;sans-serif" w:hAnsi="Times New Roman;sans-serif"/>
          <w:b w:val="false"/>
          <w:color w:val="000000"/>
          <w:sz w:val="22"/>
        </w:rPr>
        <w:t xml:space="preserve">. If the Company, the Administrative Agent, Swing Line Lender and the L/C Issuers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that portion of outstanding Loans of the other Lenders or take such other actions as the Administrative Agent may determine to be necessary to cause the Committed Loans and funded and unfunded participations in Letters of Credit and Swing Line Loans to be held on a pro rata basis by the Lenders in accordance with their Applicable Percentages (without giving effect to </w:t>
      </w:r>
      <w:r>
        <w:rPr>
          <w:rFonts w:ascii="Times New Roman;sans-serif" w:hAnsi="Times New Roman;sans-serif"/>
          <w:b w:val="false"/>
          <w:color w:val="000000"/>
          <w:sz w:val="22"/>
          <w:u w:val="single"/>
        </w:rPr>
        <w:t>Section 2.27(a)(iv)</w:t>
      </w:r>
      <w:r>
        <w:rPr>
          <w:rFonts w:ascii="Times New Roman;sans-serif" w:hAnsi="Times New Roman;sans-serif"/>
          <w:b w:val="false"/>
          <w:color w:val="000000"/>
          <w:sz w:val="22"/>
        </w:rPr>
        <w:t xml:space="preserve">), whereupon that Lender will cease to be a Defaulting Lender;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 adjustments will be made retroactively with respect to fees accrued or payments made by or on behalf of any Borrower while that Lender was a Defaulting Lender; and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367665"/>
                <wp:effectExtent l="0" t="0" r="0" b="0"/>
                <wp:wrapNone/>
                <wp:docPr id="281" name="Frame27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108</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New Swing Line Loans/Letters of Credit</w:t>
      </w:r>
      <w:r>
        <w:rPr>
          <w:rFonts w:ascii="Times New Roman;sans-serif" w:hAnsi="Times New Roman;sans-serif"/>
          <w:b w:val="false"/>
          <w:color w:val="000000"/>
          <w:sz w:val="22"/>
        </w:rPr>
        <w:t>. So long as any Lender is a Defaulting Lender, (i) no Swing Line Lender shall be required to fund any Swing Line Loans unless it is satisfied that it will have no Fronting Exposure after giving effect to such Swing Line Loan and (ii) no L/C Issuer shall be required to issue, extend, increase, reinstate or renew any Letter of Credit unless it is satisfied that it will have no Fronting Exposure after giving effect thereto.</w:t>
      </w:r>
    </w:p>
    <w:p>
      <w:pPr>
        <w:pStyle w:val="TextBody"/>
        <w:bidi w:val="0"/>
        <w:spacing w:lineRule="auto" w:line="240" w:before="0" w:after="240"/>
        <w:jc w:val="center"/>
        <w:rPr/>
      </w:pPr>
      <w:r>
        <w:rPr>
          <w:rFonts w:ascii="Times New Roman;sans-serif" w:hAnsi="Times New Roman;sans-serif"/>
          <w:b/>
          <w:color w:val="000000"/>
          <w:sz w:val="22"/>
        </w:rPr>
        <w:t>ARTICLE III.</w:t>
      </w:r>
      <w:r>
        <w:rPr>
          <w:color w:val="000000"/>
        </w:rPr>
        <w:t xml:space="preserve"> </w:t>
      </w:r>
      <w:r>
        <w:rPr>
          <w:rFonts w:ascii="Times New Roman;sans-serif" w:hAnsi="Times New Roman;sans-serif"/>
          <w:b/>
          <w:color w:val="000000"/>
          <w:sz w:val="22"/>
        </w:rPr>
        <w:t>TAXES, YIELD PROTECTION AND ILLEGALITY</w:t>
      </w:r>
    </w:p>
    <w:p>
      <w:pPr>
        <w:pStyle w:val="TextBody"/>
        <w:bidi w:val="0"/>
        <w:spacing w:lineRule="auto" w:line="240" w:before="0" w:after="240"/>
        <w:ind w:left="0" w:right="0" w:hanging="720"/>
        <w:jc w:val="both"/>
        <w:rPr/>
      </w:pPr>
      <w:r>
        <w:rPr>
          <w:rFonts w:ascii="Times New Roman;sans-serif" w:hAnsi="Times New Roman;sans-serif"/>
          <w:b/>
          <w:color w:val="000000"/>
          <w:sz w:val="22"/>
        </w:rPr>
        <w:t>3.01Taxes</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Payments Free of Taxes; Obligation to Withhold; Payments on Account of Taxes</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(i)Any and all payments by or on account of any obligation of any Loan Party under any Loan Document shall be made without deduction or withholding for any Taxes, except as required by applicable Laws. If any applicable Laws (as determined in the good faith discretion of the Administrative Agent) require the deduction or withholding of any Tax from any such payment by the Administrative Agent or a Loan Party, then the Administrative Agent or such Loan Party shall be entitled to make such deduction or withholding.</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(ii)If any Loan Party or the Administrative Agent shall be required by any applicable Law to withhold or deduct any Taxes, including both United States Federal backup withholding and withholding taxes, from any payment, then (A) such Loan Party or the Administrative Agent, as required by such Laws, shall withhold or make such deductions as are determined by it to be required under such Laws, (B) 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Times New Roman;sans-serif" w:hAnsi="Times New Roman;sans-serif"/>
          <w:b w:val="false"/>
          <w:color w:val="000000"/>
          <w:sz w:val="22"/>
          <w:u w:val="single"/>
        </w:rPr>
        <w:t>Section 3.01</w:t>
      </w:r>
      <w:r>
        <w:rPr>
          <w:rFonts w:ascii="Times New Roman;sans-serif" w:hAnsi="Times New Roman;sans-serif"/>
          <w:b w:val="false"/>
          <w:color w:val="000000"/>
          <w:sz w:val="22"/>
        </w:rPr>
        <w:t>) the applicable Recipient receives an amount equal to the sum it would have received had no such withholding or deduction been made. Notwithstanding the foregoing, if any Loan Party determines, in its good faith discretion, that the Administrative Agent did not or does not intend to withhold or deduct any Taxes that any Loan Party or the Administrative Agent is required to withhold or deduct from any payment then any Loan Party shall be entitled (after notification to the Administrative Agent) to make such deductions or withholdings.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Payment of Other Taxes by the Borrowers</w:t>
      </w:r>
      <w:r>
        <w:rPr>
          <w:rFonts w:ascii="Times New Roman;sans-serif" w:hAnsi="Times New Roman;sans-serif"/>
          <w:b w:val="false"/>
          <w:color w:val="000000"/>
          <w:sz w:val="22"/>
        </w:rPr>
        <w:t xml:space="preserve">. Without limiting the provisions of subsection (a) above, the Company and each other Borrower shall timely pay to the relevant Governmental Authority in accordance with applicable law, or at the option of the Administrative Agent timely reimburse it for the payment of, any Other Taxes.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Tax Indemnifications</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(i)The Company and each other Borrower shall, and does hereby, jointly and severally indemnify each Recipient, and shall make payment in respect thereof within 10 days after demand therefor, for the full amount of any Indemnified Taxes (including Indemnified Taxes imposed or asserted on or attributable to amounts payable under this </w:t>
      </w:r>
      <w:r>
        <w:rPr>
          <w:rFonts w:ascii="Times New Roman;sans-serif" w:hAnsi="Times New Roman;sans-serif"/>
          <w:b w:val="false"/>
          <w:color w:val="000000"/>
          <w:sz w:val="22"/>
          <w:u w:val="single"/>
        </w:rPr>
        <w:t>Section 3.01</w:t>
      </w:r>
      <w:r>
        <w:rPr>
          <w:rFonts w:ascii="Times New Roman;sans-serif" w:hAnsi="Times New Roman;sans-serif"/>
          <w:b w:val="false"/>
          <w:color w:val="000000"/>
          <w:sz w:val="22"/>
        </w:rPr>
        <w:t xml:space="preserve">)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Company by a Lender or an L/C Issuer (with a copy to the Administrative Agent), or by the Administrative Agent on its own behalf or on behalf of a Lender or an L/C Issuer, shall be conclusive absent manifest error.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(ii)Each Lender and each L/C Issuer shall, and does hereby, severally indemnify, and shall make payment in respect thereof within 10 days after demand therefor, (x) the Administrative Agent against any Indemnified Taxes attributable to such Lender or such L/C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367665"/>
                <wp:effectExtent l="0" t="0" r="0" b="0"/>
                <wp:wrapNone/>
                <wp:docPr id="282" name="Frame27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109</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Issuer (but only to the extent that any Borrower has not already indemnified the Administrative Agent for such Indemnified Taxes and without limiting the obligation of the Borrowers to do so), (y) the Administrative Agent against any Taxes attributable to such Lender’s failure to comply with the provisions of </w:t>
      </w:r>
      <w:r>
        <w:rPr>
          <w:rFonts w:ascii="Times New Roman;sans-serif" w:hAnsi="Times New Roman;sans-serif"/>
          <w:b w:val="false"/>
          <w:color w:val="000000"/>
          <w:sz w:val="22"/>
          <w:u w:val="single"/>
        </w:rPr>
        <w:t>Section 10.06(d)</w:t>
      </w:r>
      <w:r>
        <w:rPr>
          <w:color w:val="000000"/>
        </w:rPr>
        <w:t xml:space="preserve"> </w:t>
      </w:r>
      <w:r>
        <w:rPr>
          <w:rFonts w:ascii="Times New Roman;sans-serif" w:hAnsi="Times New Roman;sans-serif"/>
          <w:b w:val="false"/>
          <w:color w:val="000000"/>
          <w:sz w:val="22"/>
        </w:rPr>
        <w:t xml:space="preserve">relating to the maintenance of a Participant Register and (z) the Administrative Agent against any Excluded Taxes attributable to such Lender or such L/C Issuer,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and each L/C Issuer hereby authorizes the Administrative Agent to set off and apply any and all amounts at any time owing to such Lender or such L/C Issuer, as the case may be, under this Agreement or any other Loan Document against any amount due to the Administrative Agent under this </w:t>
      </w:r>
      <w:r>
        <w:rPr>
          <w:rFonts w:ascii="Times New Roman;sans-serif" w:hAnsi="Times New Roman;sans-serif"/>
          <w:b w:val="false"/>
          <w:color w:val="000000"/>
          <w:sz w:val="22"/>
          <w:u w:val="single"/>
        </w:rPr>
        <w:t>clause (ii)</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Evidence of Payments</w:t>
      </w:r>
      <w:r>
        <w:rPr>
          <w:rFonts w:ascii="Times New Roman;sans-serif" w:hAnsi="Times New Roman;sans-serif"/>
          <w:b w:val="false"/>
          <w:color w:val="000000"/>
          <w:sz w:val="22"/>
        </w:rPr>
        <w:t xml:space="preserve">. Upon request by the Company, any other Borrower or the Administrative Agent, as the case may be, after any payment of Taxes by the Company, any other Borrower or by the Administrative Agent to a Governmental Authority as provided in this </w:t>
      </w:r>
      <w:r>
        <w:rPr>
          <w:rFonts w:ascii="Times New Roman;sans-serif" w:hAnsi="Times New Roman;sans-serif"/>
          <w:b w:val="false"/>
          <w:color w:val="000000"/>
          <w:sz w:val="22"/>
          <w:u w:val="single"/>
        </w:rPr>
        <w:t>Section 3.01</w:t>
      </w:r>
      <w:r>
        <w:rPr>
          <w:rFonts w:ascii="Times New Roman;sans-serif" w:hAnsi="Times New Roman;sans-serif"/>
          <w:b w:val="false"/>
          <w:color w:val="000000"/>
          <w:sz w:val="22"/>
        </w:rPr>
        <w:t>, the Company or such Borrower shall deliver to the Administrative Agent or the Administrative Agent shall deliver to the Company or such Borrower, as the case may be, the original or a certified copy of a receipt issued by such Governmental Authority evidencing such payment, a copy of any return required by Laws to report such payment or other evidence of such payment reasonably satisfactory to the Company or such Borrower or the Administrative Agent, as the case may be.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Status of Lenders; Tax Documentation</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(i)Any Lender that is entitled to an exemption from or reduction of withholding Tax with respect to payments made under any Loan Document shall deliver to the Company and the Administrative Agent, at the time or times reasonably requested by the Company or the Administrative Agent and at the time or times prescribed by applicable law, such properly completed and executed documentation reasonably requested by the Company or the Administrative Agent or prescribed by applicable law as will permit such payments to be made without withholding or at a reduced rate of withholding. In addition, any Lender,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sans-serif" w:hAnsi="Times New Roman;sans-serif"/>
          <w:b w:val="false"/>
          <w:color w:val="000000"/>
          <w:sz w:val="22"/>
          <w:u w:val="single"/>
        </w:rPr>
        <w:t>Section 3.01(e)(ii)(A)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(ii)(B)</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(ii)(D)</w:t>
      </w:r>
      <w:r>
        <w:rPr>
          <w:color w:val="000000"/>
        </w:rPr>
        <w:t xml:space="preserve"> </w:t>
      </w:r>
      <w:r>
        <w:rPr>
          <w:rFonts w:ascii="Times New Roman;sans-serif" w:hAnsi="Times New Roman;sans-serif"/>
          <w:b w:val="false"/>
          <w:color w:val="000000"/>
          <w:sz w:val="22"/>
        </w:rPr>
        <w:t>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(ii)Without limiting the generality of the foregoing, in the event that any Borrower is a U.S. Person,</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(A)any Lender that is a U.S. Person shall deliver to the Company and the Administrative Agent on or prior to the date on which such Lender becomes a Lender under this Agreement (and from time to time thereafter upon the reasonable request of the Company or the Administrative Agent), executed originals of IRS Form W-9 certifying that such Lender is exempt from U.S. federal backup withholding tax;</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whichever of the following is applicable:</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367665"/>
                <wp:effectExtent l="0" t="0" r="0" b="0"/>
                <wp:wrapNone/>
                <wp:docPr id="283" name="Frame27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110</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(I)in the case of a Foreign Lender claiming the benefits of an income tax treaty to which the United States is a party (x) with respect to payments of interest under any Loan Document, executed copies of IRS Form W-8BEN-E (or W-8BEN, as applicable) establishing an exemption from, or reduction of, U.S. federal withholding Tax pursuant to the “interest” article of such tax treaty and (y) with respect to any other applicable payments under any Loan Document, IRS Form W-8BEN-E (or W-8BEN, as applicable) establishing an exemption from, or reduction of, U.S. federal withholding Tax pursuant to the “business profits” or “other income” article of such tax treaty;</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(II)executed copies of IRS Form W-8ECI;</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(III)in the case of a Foreign Lender claiming the benefits of the exemption for portfolio interest under Section 881(c) of the Code, (x) a certificate substantially in the form of </w:t>
      </w:r>
      <w:r>
        <w:rPr>
          <w:rFonts w:ascii="Times New Roman;sans-serif" w:hAnsi="Times New Roman;sans-serif"/>
          <w:b w:val="false"/>
          <w:color w:val="000000"/>
          <w:sz w:val="22"/>
          <w:u w:val="single"/>
        </w:rPr>
        <w:t>Exhibit O-1</w:t>
      </w:r>
      <w:r>
        <w:rPr>
          <w:color w:val="000000"/>
        </w:rPr>
        <w:t xml:space="preserve"> </w:t>
      </w:r>
      <w:r>
        <w:rPr>
          <w:rFonts w:ascii="Times New Roman;sans-serif" w:hAnsi="Times New Roman;sans-serif"/>
          <w:b w:val="false"/>
          <w:color w:val="000000"/>
          <w:sz w:val="22"/>
        </w:rPr>
        <w:t>to the effect that such Foreign Lender is not a “bank” within the meaning of Section 881(c)(3)(A) of the Code, a “10 percent shareholder” of any Borrower within the meaning of Section 881(c)(3)(B) of the Code, or a “controlled foreign corporation” described in Section 881(c)(3)(C) of the Code (a “</w:t>
      </w:r>
      <w:r>
        <w:rPr>
          <w:rFonts w:ascii="Times New Roman;sans-serif" w:hAnsi="Times New Roman;sans-serif"/>
          <w:b w:val="false"/>
          <w:color w:val="000000"/>
          <w:sz w:val="22"/>
          <w:u w:val="single"/>
        </w:rPr>
        <w:t>U.S. Tax Compliance Certificate</w:t>
      </w:r>
      <w:r>
        <w:rPr>
          <w:color w:val="000000"/>
        </w:rPr>
        <w:t>”</w:t>
      </w:r>
      <w:r>
        <w:rPr>
          <w:rFonts w:ascii="Times New Roman;sans-serif" w:hAnsi="Times New Roman;sans-serif"/>
          <w:b w:val="false"/>
          <w:color w:val="000000"/>
          <w:sz w:val="22"/>
        </w:rPr>
        <w:t>) and (y) executed copies of IRS Form W-8BEN-E (or W-8BEN, as applicable); or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(IV)to the extent a Foreign Lender is not the beneficial owner, executed copies of IRS Form W-8IMY, accompanied by IRS Form W-8ECI, IRS Form W-8BEN-E (or W-8BEN, as applicable), a U.S. Tax Compliance Certificate substantially in the form of </w:t>
      </w:r>
      <w:r>
        <w:rPr>
          <w:rFonts w:ascii="Times New Roman;sans-serif" w:hAnsi="Times New Roman;sans-serif"/>
          <w:b w:val="false"/>
          <w:color w:val="000000"/>
          <w:sz w:val="22"/>
          <w:u w:val="single"/>
        </w:rPr>
        <w:t>Exhibit O-2</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Exhibit O-3</w:t>
      </w:r>
      <w:r>
        <w:rPr>
          <w:rFonts w:ascii="Times New Roman;sans-serif" w:hAnsi="Times New Roman;sans-serif"/>
          <w:b w:val="false"/>
          <w:color w:val="000000"/>
          <w:sz w:val="22"/>
        </w:rPr>
        <w:t xml:space="preserve">, IRS Form W-9, and/or other certification documents from each beneficial owner, as applicable;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sans-serif" w:hAnsi="Times New Roman;sans-serif"/>
          <w:b w:val="false"/>
          <w:color w:val="000000"/>
          <w:sz w:val="22"/>
          <w:u w:val="single"/>
        </w:rPr>
        <w:t>Exhibit O-4</w:t>
      </w:r>
      <w:r>
        <w:rPr>
          <w:color w:val="000000"/>
        </w:rPr>
        <w:t xml:space="preserve"> </w:t>
      </w:r>
      <w:r>
        <w:rPr>
          <w:rFonts w:ascii="Times New Roman;sans-serif" w:hAnsi="Times New Roman;sans-serif"/>
          <w:b w:val="false"/>
          <w:color w:val="000000"/>
          <w:sz w:val="22"/>
        </w:rPr>
        <w:t>on behalf of each such direct and indirect partner;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Company or the Administrative Agent to determine the withholding or deduction required to be made; and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 For purposes of determining withholding Taxes imposed under FATCA from and after the effective date of this Agreement, the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367665"/>
                <wp:effectExtent l="0" t="0" r="0" b="0"/>
                <wp:wrapNone/>
                <wp:docPr id="284" name="Frame27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111</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Borrowers and the Administrative Agent shall treat (and the Lenders hereby authorize the Administrative Agent to treat) the Loans hereunder and this Agreement as not qualifying as a “grandfathered obligation” within the meaning of Treasury Regulation Section 1.1471-2(b)(2)(i).</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(iii)Each Lender agrees that if any form or certification it previously delivered pursuant to this </w:t>
      </w:r>
      <w:r>
        <w:rPr>
          <w:rFonts w:ascii="Times New Roman;sans-serif" w:hAnsi="Times New Roman;sans-serif"/>
          <w:b w:val="false"/>
          <w:color w:val="000000"/>
          <w:sz w:val="22"/>
          <w:u w:val="single"/>
        </w:rPr>
        <w:t>Section 3.01</w:t>
      </w:r>
      <w:r>
        <w:rPr>
          <w:color w:val="000000"/>
        </w:rPr>
        <w:t xml:space="preserve"> </w:t>
      </w:r>
      <w:r>
        <w:rPr>
          <w:rFonts w:ascii="Times New Roman;sans-serif" w:hAnsi="Times New Roman;sans-serif"/>
          <w:b w:val="false"/>
          <w:color w:val="000000"/>
          <w:sz w:val="22"/>
        </w:rPr>
        <w:t>expires or becomes obsolete or inaccurate in any respect, it shall update such form or certification or promptly notify the Company and the Administrative Agent in writing of its legal inability to do so.</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Treatment of Certain Refunds</w:t>
      </w:r>
      <w:r>
        <w:rPr>
          <w:rFonts w:ascii="Times New Roman;sans-serif" w:hAnsi="Times New Roman;sans-serif"/>
          <w:b w:val="false"/>
          <w:color w:val="000000"/>
          <w:sz w:val="22"/>
        </w:rPr>
        <w:t>. Unless required by applicable Laws, at no time shall the Administrative Agent have any obligation to file for or otherwise pursue on behalf of a Lender or an L/C Issuer, or have any obligation to pay to any Lender or any L/C Issuer, any refund of Taxes withheld or deducted from funds paid for the account of such Lender or such L/C Issuer, as the case may be. If any Recipient determines, in its sole discretion,</w:t>
      </w:r>
      <w:r>
        <w:rPr>
          <w:color w:val="000000"/>
        </w:rPr>
        <w:t xml:space="preserve"> </w:t>
      </w:r>
      <w:r>
        <w:rPr>
          <w:rFonts w:ascii="Times New Roman;sans-serif" w:hAnsi="Times New Roman;sans-serif"/>
          <w:b w:val="false"/>
          <w:color w:val="000000"/>
          <w:sz w:val="22"/>
        </w:rPr>
        <w:t xml:space="preserve">that it has received a refund of any Taxes as to which it has been indemnified by the Company or any other Borrower or with respect to which the Company or any Borrower has paid additional amounts pursuant to this </w:t>
      </w:r>
      <w:r>
        <w:rPr>
          <w:rFonts w:ascii="Times New Roman;sans-serif" w:hAnsi="Times New Roman;sans-serif"/>
          <w:b w:val="false"/>
          <w:color w:val="000000"/>
          <w:sz w:val="22"/>
          <w:u w:val="single"/>
        </w:rPr>
        <w:t>Section 3.01</w:t>
      </w:r>
      <w:r>
        <w:rPr>
          <w:rFonts w:ascii="Times New Roman;sans-serif" w:hAnsi="Times New Roman;sans-serif"/>
          <w:b w:val="false"/>
          <w:color w:val="000000"/>
          <w:sz w:val="22"/>
        </w:rPr>
        <w:t xml:space="preserve">, it shall pay to the Company or such Borrower an amount equal to such refund (but only to the extent of indemnity payments made, or additional amounts paid, by the Company under this </w:t>
      </w:r>
      <w:r>
        <w:rPr>
          <w:rFonts w:ascii="Times New Roman;sans-serif" w:hAnsi="Times New Roman;sans-serif"/>
          <w:b w:val="false"/>
          <w:color w:val="000000"/>
          <w:sz w:val="22"/>
          <w:u w:val="single"/>
        </w:rPr>
        <w:t>Section 3.01</w:t>
      </w:r>
      <w:r>
        <w:rPr>
          <w:color w:val="000000"/>
        </w:rPr>
        <w:t xml:space="preserve"> </w:t>
      </w:r>
      <w:r>
        <w:rPr>
          <w:rFonts w:ascii="Times New Roman;sans-serif" w:hAnsi="Times New Roman;sans-serif"/>
          <w:b w:val="false"/>
          <w:color w:val="000000"/>
          <w:sz w:val="22"/>
        </w:rPr>
        <w:t xml:space="preserve">with respect to the Taxes giving rise to such refund), net of all out-of-pocket expenses (including Taxes) incurred by such Recipient, and without interest (other than any interest paid by the relevant Governmental Authority with respect to such refund),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Company and each other Borrower, upon the request of the Recipient, agrees to repay the amount paid over to the Company or such Borrower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the Company or any other Borrower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the Company, any other Borrower, or any other Person.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u w:val="single"/>
        </w:rPr>
        <w:t>Survival</w:t>
      </w:r>
      <w:r>
        <w:rPr>
          <w:rFonts w:ascii="Times New Roman;sans-serif" w:hAnsi="Times New Roman;sans-serif"/>
          <w:b w:val="false"/>
          <w:color w:val="000000"/>
          <w:sz w:val="22"/>
        </w:rPr>
        <w:t xml:space="preserve">. Each party’s obligations under this </w:t>
      </w:r>
      <w:r>
        <w:rPr>
          <w:rFonts w:ascii="Times New Roman;sans-serif" w:hAnsi="Times New Roman;sans-serif"/>
          <w:b w:val="false"/>
          <w:color w:val="000000"/>
          <w:sz w:val="22"/>
          <w:u w:val="single"/>
        </w:rPr>
        <w:t>Section 3.01</w:t>
      </w:r>
      <w:r>
        <w:rPr>
          <w:color w:val="000000"/>
        </w:rPr>
        <w:t xml:space="preserve"> </w:t>
      </w:r>
      <w:r>
        <w:rPr>
          <w:rFonts w:ascii="Times New Roman;sans-serif" w:hAnsi="Times New Roman;sans-serif"/>
          <w:b w:val="false"/>
          <w:color w:val="000000"/>
          <w:sz w:val="22"/>
        </w:rPr>
        <w:t>shall survive the resignation or replacement of the Administrative Agent or any assignment of rights by, or the replacement of, a Lender or an L/C Issuer, the termination of the Commitments and the repayment, satisfaction or discharge of all other Obligations.</w:t>
      </w:r>
    </w:p>
    <w:p>
      <w:pPr>
        <w:pStyle w:val="TextBody"/>
        <w:bidi w:val="0"/>
        <w:spacing w:lineRule="auto" w:line="240" w:before="0" w:after="240"/>
        <w:ind w:left="0" w:right="0" w:firstLine="720"/>
        <w:jc w:val="both"/>
        <w:rPr/>
      </w:pPr>
      <w:r>
        <w:rPr>
          <w:rFonts w:ascii="Times New Roman;sans-serif" w:hAnsi="Times New Roman;sans-serif"/>
          <w:b/>
          <w:color w:val="000000"/>
          <w:sz w:val="22"/>
        </w:rPr>
        <w:t>3.02</w:t>
      </w:r>
      <w:r>
        <w:rPr>
          <w:rFonts w:ascii="Times New Roman;sans-serif" w:hAnsi="Times New Roman;sans-serif"/>
          <w:b/>
          <w:color w:val="000000"/>
          <w:sz w:val="22"/>
        </w:rPr>
        <w:t>Illegality</w:t>
      </w:r>
      <w:r>
        <w:rPr>
          <w:rFonts w:ascii="Times New Roman;sans-serif" w:hAnsi="Times New Roman;sans-serif"/>
          <w:b w:val="false"/>
          <w:color w:val="000000"/>
          <w:sz w:val="22"/>
        </w:rPr>
        <w:t xml:space="preserve">. If any Lender determines that any Law has made it unlawful, or that any Governmental Authority has asserted that it is unlawful, for any Lender or its applicable Lending Office to perform any of its obligations hereunder or make, maintain or fund or charge any interest with respect to any Credit Extension, or to determine or charge interest rates based upon Daily Simple SOFR, then, on notice thereof by such Lender to the Company through the Administrative Agent, (i) any obligation of such Lender to issue, make, maintain, fund or charge interest with respect to any Credit Extension or continue Daily Simple SOFR Loans or to convert Base Rate Committed Loans to Daily Simple SOFR Committed Loans shall be suspended, and (ii) if such notice asserts the illegality of such Lender making or maintaining Base Rate Loans the interest rate on which is determined by reference to the Daily Simple SOFR component of the Base Rate, the interest rate on which Base Rate Loans of such Lender shall, if necessary to avoid such illegality, be determined by the Administrative Agent without reference to the Daily Simple SOFR component of the Base Rate, in each case until such Lender notifies the Administrative Agent and the Company that the circumstances giving rise to such determination no longer exist. Upon receipt of such notice, (x) the Company and each other Borrower (jointly and severally) shall, upon demand from such Lender (with a copy to the Administrative Agent), prepay or, if applicable, convert all Daily Simple SOFR Loans of such Lender to Base Rate Loans (the interest rate on which Base Rate Loans of such Lender shall, if necessary to avoid such illegality, be determined by the Administrative Agent without reference to the Daily Simple SOFR component of the Base Rate), immediately and (y) if such notice asserts the illegality of such Lender determining or charging interest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367665"/>
                <wp:effectExtent l="0" t="0" r="0" b="0"/>
                <wp:wrapNone/>
                <wp:docPr id="285" name="Frame28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112</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rates based upon Daily Simple SOFR, the Administrative Agent shall during the period of such suspension compute the Base Rate applicable to such Lender without reference to the Daily Simple SOFR component thereof until the Administrative Agent is advised in writing by such Lender that it is no longer illegal for such Lender to determine or charge interest rates based upon Daily Simple SOFR. Upon any such prepayment or conversion, the Company and each other Borrower (jointly and severally) shall also pay accrued interest on the amount so prepaid or converted.</w:t>
      </w:r>
    </w:p>
    <w:p>
      <w:pPr>
        <w:pStyle w:val="TextBody"/>
        <w:bidi w:val="0"/>
        <w:spacing w:lineRule="auto" w:line="240" w:before="0" w:after="240"/>
        <w:ind w:left="0" w:right="0" w:hanging="720"/>
        <w:jc w:val="both"/>
        <w:rPr/>
      </w:pPr>
      <w:r>
        <w:rPr>
          <w:rFonts w:ascii="Times New Roman;sans-serif" w:hAnsi="Times New Roman;sans-serif"/>
          <w:b/>
          <w:color w:val="000000"/>
          <w:sz w:val="22"/>
        </w:rPr>
        <w:t>3.03Inability to Determine Rates</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If in connection with any request for a Daily Simple SOFR Loan or a conversion of Base Rate Loans to Daily Simple SOFR Loans or a continuation of Daily Simple SOFR Loans, as applicable, (i) the Administrative Agent determines (which determination shall be conclusive absent manifest error) that (A) no Successor Rate has been determined in accordance with </w:t>
      </w:r>
      <w:r>
        <w:rPr>
          <w:rFonts w:ascii="Times New Roman;sans-serif" w:hAnsi="Times New Roman;sans-serif"/>
          <w:b w:val="false"/>
          <w:color w:val="000000"/>
          <w:sz w:val="22"/>
          <w:u w:val="single"/>
        </w:rPr>
        <w:t>Section 3.03(b),</w:t>
      </w:r>
      <w:r>
        <w:rPr>
          <w:color w:val="000000"/>
        </w:rPr>
        <w:t xml:space="preserve"> </w:t>
      </w:r>
      <w:r>
        <w:rPr>
          <w:rFonts w:ascii="Times New Roman;sans-serif" w:hAnsi="Times New Roman;sans-serif"/>
          <w:b w:val="false"/>
          <w:color w:val="000000"/>
          <w:sz w:val="22"/>
        </w:rPr>
        <w:t xml:space="preserve">and the circumstances under clause (i) of </w:t>
      </w:r>
      <w:r>
        <w:rPr>
          <w:rFonts w:ascii="Times New Roman;sans-serif" w:hAnsi="Times New Roman;sans-serif"/>
          <w:b w:val="false"/>
          <w:color w:val="000000"/>
          <w:sz w:val="22"/>
          <w:u w:val="single"/>
        </w:rPr>
        <w:t>Section 3.03(b)</w:t>
      </w:r>
      <w:r>
        <w:rPr>
          <w:color w:val="000000"/>
        </w:rPr>
        <w:t xml:space="preserve"> </w:t>
      </w:r>
      <w:r>
        <w:rPr>
          <w:rFonts w:ascii="Times New Roman;sans-serif" w:hAnsi="Times New Roman;sans-serif"/>
          <w:b w:val="false"/>
          <w:color w:val="000000"/>
          <w:sz w:val="22"/>
        </w:rPr>
        <w:t xml:space="preserve">or the Scheduled Unavailability Date has occurred, or (B) adequate and reasonable means do not otherwise exist for determining Daily Simple SOFR for any requested Interest Period with respect to a proposed Daily Simple SOFR Loan or in connection with an existing or proposed Base Rate Loan, or (ii) the Administrative Agent or the Required Lenders determine that for any reason that Daily Simple SOFR with respect to a proposed Daily Simple SOFR Loan does not adequately and fairly reflect the cost to such Lenders of funding such Daily Simple SOFR Loan, the Administrative Agent will promptly so notify the Company and each Lender. Thereafter, (x) the obligation of the Lenders to make or maintain Daily Simple SOFR Loans (or convert any Base Rate Loans to Daily SOFR Loans) shall be suspended, (to the extent of the affected Daily Simple SOFR Loans), and (y) in the event of a determination described in the preceding sentence with respect to the Daily Simple SOFR component of the Base Rate, the utilization of the Daily Simple SOFR component in determining the Base Rate shall be suspended, in each case until the Administrative Agent (or, in the case of a determination by the Required Lenders described in clause (ii) of </w:t>
      </w:r>
      <w:r>
        <w:rPr>
          <w:rFonts w:ascii="Times New Roman;sans-serif" w:hAnsi="Times New Roman;sans-serif"/>
          <w:b w:val="false"/>
          <w:color w:val="000000"/>
          <w:sz w:val="22"/>
          <w:u w:val="single"/>
        </w:rPr>
        <w:t>Section 3.03(a)</w:t>
      </w:r>
      <w:r>
        <w:rPr>
          <w:rFonts w:ascii="Times New Roman;sans-serif" w:hAnsi="Times New Roman;sans-serif"/>
          <w:b w:val="false"/>
          <w:color w:val="000000"/>
          <w:sz w:val="22"/>
        </w:rPr>
        <w:t>, until the Administrative Agent upon instruction of the Required Lenders) revokes such notice. Upon receipt of such notice, (i) the Company may revoke any pending request for a Borrowing of, conversion to or continuation of Daily Simple SOFR Loans (to the extent of the affected Daily Simple SOFR Loans) or, failing that, will be deemed to have converted such request into a request for a Committed Borrowing of Base Rate Loans in the amount specified therein and (ii) any outstanding Daily Simple SOFR Loans shall be deemed to have been converted to Base Rate Loans immediately.</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Replacement of Daily Simple SOFR or Successor Rate</w:t>
      </w:r>
      <w:r>
        <w:rPr>
          <w:rFonts w:ascii="Times New Roman;sans-serif" w:hAnsi="Times New Roman;sans-serif"/>
          <w:b w:val="false"/>
          <w:color w:val="000000"/>
          <w:sz w:val="22"/>
        </w:rPr>
        <w:t>. Notwithstanding anything to the contrary in this Agreement or any other Loan Documents, if the Administrative Agent determines (which determination shall be conclusive absent manifest error), or the Company or Required Lenders notify the Administrative Agent (with, in the case of the Required Lenders, a copy to the Company) that the Company or Required Lenders (as applicable) have determined, that: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     adequate and reasonable means do not exist for ascertaining Daily Simple SOFR, including, without limitation, because the Daily Simple SOFR Published Rate is not available or published on a current basis and such circumstances are unlikely to be temporary; or</w:t>
      </w:r>
    </w:p>
    <w:p>
      <w:pPr>
        <w:pStyle w:val="TextBody"/>
        <w:bidi w:val="0"/>
        <w:spacing w:before="0" w:after="0"/>
        <w:ind w:left="0" w:right="0" w:firstLine="720"/>
        <w:jc w:val="both"/>
        <w:rPr/>
      </w:pPr>
      <w:r>
        <w:rPr/>
      </w:r>
    </w:p>
    <w:p>
      <w:pPr>
        <w:pStyle w:val="TextBody"/>
        <w:bidi w:val="0"/>
        <w:spacing w:lineRule="auto" w:line="288"/>
        <w:ind w:left="0" w:right="0" w:firstLine="720"/>
        <w:jc w:val="both"/>
        <w:rPr/>
      </w:pPr>
      <w:r>
        <w:rPr>
          <w:rFonts w:ascii="Times New Roman;sans-serif" w:hAnsi="Times New Roman;sans-serif"/>
          <w:b w:val="false"/>
          <w:color w:val="000000"/>
          <w:sz w:val="22"/>
        </w:rPr>
        <w:t>(ii)     the Federal Reserve Bank of New York or any successor administrator of the Daily Simple SOFR Published Rate or a Governmental Authority having jurisdiction over the Administrative Agent or such administrator with respect to its publication of Daily Simple SOFR, in each case acting in such capacity, has made a public statement identifying a specific date after which Daily Simple SOFR or the Daily Simple SOFR Published Rate</w:t>
      </w:r>
      <w:r>
        <w:rPr>
          <w:color w:val="000000"/>
        </w:rPr>
        <w:t xml:space="preserve"> </w:t>
      </w:r>
      <w:r>
        <w:rPr>
          <w:rFonts w:ascii="Times New Roman;sans-serif" w:hAnsi="Times New Roman;sans-serif"/>
          <w:b w:val="false"/>
          <w:color w:val="000000"/>
          <w:sz w:val="22"/>
        </w:rPr>
        <w:t>shall or will no longer be made available, or permitted to be used for determining the interest rate of U.S. dollar denominated syndicated loans, or shall or will otherwise cease,</w:t>
      </w:r>
      <w:r>
        <w:rPr>
          <w:color w:val="0000FF"/>
        </w:rPr>
        <w:t xml:space="preserve"> </w:t>
      </w:r>
      <w:r>
        <w:rPr>
          <w:rFonts w:ascii="Times New Roman;sans-serif" w:hAnsi="Times New Roman;sans-serif"/>
          <w:b w:val="false"/>
          <w:color w:val="000000"/>
          <w:sz w:val="22"/>
        </w:rPr>
        <w:t>provided that, at the time of such statement, there is no successor administrator that is satisfactory to the Administrative Agent, that will continue to provide Daily Simple SOFR after such specific date (the latest date on which Daily Simple SOFR or the Daily Simple SOFR Published Rate</w:t>
      </w:r>
      <w:r>
        <w:rPr>
          <w:color w:val="000000"/>
        </w:rPr>
        <w:t xml:space="preserve"> </w:t>
      </w:r>
      <w:r>
        <w:rPr>
          <w:rFonts w:ascii="Times New Roman;sans-serif" w:hAnsi="Times New Roman;sans-serif"/>
          <w:b w:val="false"/>
          <w:color w:val="000000"/>
          <w:sz w:val="22"/>
        </w:rPr>
        <w:t>is no longer available permanently or indefinitely, the “</w:t>
      </w:r>
      <w:r>
        <w:rPr>
          <w:rFonts w:ascii="Times New Roman;sans-serif" w:hAnsi="Times New Roman;sans-serif"/>
          <w:b w:val="false"/>
          <w:color w:val="000000"/>
          <w:sz w:val="22"/>
          <w:u w:val="single"/>
        </w:rPr>
        <w:t>Scheduled Unavailability Date</w:t>
      </w:r>
      <w:r>
        <w:rPr>
          <w:color w:val="000000"/>
        </w:rPr>
        <w:t>”</w:t>
      </w:r>
      <w:r>
        <w:rPr>
          <w:rFonts w:ascii="Times New Roman;sans-serif" w:hAnsi="Times New Roman;sans-serif"/>
          <w:b w:val="false"/>
          <w:color w:val="000000"/>
          <w:sz w:val="22"/>
        </w:rPr>
        <w:t>);</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367665"/>
                <wp:effectExtent l="0" t="0" r="0" b="0"/>
                <wp:wrapNone/>
                <wp:docPr id="286" name="Frame28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113</w:t>
                      </w:r>
                    </w:p>
                    <w:p>
                      <w:pPr>
                        <w:pStyle w:val="TextBody"/>
                        <w:bidi w:val="0"/>
                        <w:spacing w:before="0" w:after="0"/>
                        <w:jc w:val="center"/>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2"/>
        </w:rPr>
        <w:t>then, on a date and time determined by the Administrative Agent (any such date, the “</w:t>
      </w:r>
      <w:r>
        <w:rPr>
          <w:rFonts w:ascii="Times New Roman;sans-serif" w:hAnsi="Times New Roman;sans-serif"/>
          <w:b w:val="false"/>
          <w:color w:val="000000"/>
          <w:sz w:val="22"/>
          <w:u w:val="single"/>
        </w:rPr>
        <w:t>Daily Simple SOFR Replacement Date</w:t>
      </w:r>
      <w:r>
        <w:rPr>
          <w:color w:val="000000"/>
        </w:rPr>
        <w:t>”</w:t>
      </w:r>
      <w:r>
        <w:rPr>
          <w:rFonts w:ascii="Times New Roman;sans-serif" w:hAnsi="Times New Roman;sans-serif"/>
          <w:b w:val="false"/>
          <w:color w:val="000000"/>
          <w:sz w:val="22"/>
        </w:rPr>
        <w:t>), which date shall be on the relevant interest payment date, as applicable, for interest calculated and, solely with respect to clause (ii) above, no later than the Scheduled Unavailability Date, the Administrative Agent and the Company may amend this Agreement solely for the purpose of replacing Daily Simple SOFR with a successor rate (the “</w:t>
      </w:r>
      <w:r>
        <w:rPr>
          <w:rFonts w:ascii="Times New Roman;sans-serif" w:hAnsi="Times New Roman;sans-serif"/>
          <w:b w:val="false"/>
          <w:color w:val="000000"/>
          <w:sz w:val="22"/>
          <w:u w:val="single"/>
        </w:rPr>
        <w:t>Successor Rate</w:t>
      </w:r>
      <w:r>
        <w:rPr>
          <w:color w:val="000000"/>
        </w:rPr>
        <w:t>”</w:t>
      </w:r>
      <w:r>
        <w:rPr>
          <w:rFonts w:ascii="Times New Roman;sans-serif" w:hAnsi="Times New Roman;sans-serif"/>
          <w:b w:val="false"/>
          <w:color w:val="000000"/>
          <w:sz w:val="22"/>
        </w:rPr>
        <w:t xml:space="preserve">) or (if the events or circumstances of the type described in </w:t>
      </w:r>
      <w:r>
        <w:rPr>
          <w:rFonts w:ascii="Times New Roman;sans-serif" w:hAnsi="Times New Roman;sans-serif"/>
          <w:b w:val="false"/>
          <w:color w:val="000000"/>
          <w:sz w:val="22"/>
          <w:u w:val="single"/>
        </w:rPr>
        <w:t>Section 3.03(b)(i)</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(ii)</w:t>
      </w:r>
      <w:r>
        <w:rPr>
          <w:color w:val="000000"/>
        </w:rPr>
        <w:t xml:space="preserve"> </w:t>
      </w:r>
      <w:r>
        <w:rPr>
          <w:rFonts w:ascii="Times New Roman;sans-serif" w:hAnsi="Times New Roman;sans-serif"/>
          <w:b w:val="false"/>
          <w:color w:val="000000"/>
          <w:sz w:val="22"/>
        </w:rPr>
        <w:t xml:space="preserve">have occurred with respect to the Successor Rate then in effect) any then current Successor Rate in accordance with this </w:t>
      </w:r>
      <w:r>
        <w:rPr>
          <w:rFonts w:ascii="Times New Roman;sans-serif" w:hAnsi="Times New Roman;sans-serif"/>
          <w:b w:val="false"/>
          <w:color w:val="000000"/>
          <w:sz w:val="22"/>
          <w:u w:val="single"/>
        </w:rPr>
        <w:t>Section 3.03</w:t>
      </w:r>
      <w:r>
        <w:rPr>
          <w:color w:val="000000"/>
        </w:rPr>
        <w:t xml:space="preserve"> </w:t>
      </w:r>
      <w:r>
        <w:rPr>
          <w:rFonts w:ascii="Times New Roman;sans-serif" w:hAnsi="Times New Roman;sans-serif"/>
          <w:b w:val="false"/>
          <w:color w:val="000000"/>
          <w:sz w:val="22"/>
        </w:rPr>
        <w:t>at the relevant interest payment date or payment period for interest calculated, as applicable, with an alternative benchmark rate giving due consideration to any evolving or then existing convention for similar U.S. dollar denominated credit facilities syndicated and agented in the United States for such alternative benchmark. and, in each case, including any mathematical or other adjustments to such benchmark giving due consideration to any evolving or then existing convention for similar U.S. dollar denominated credit facilities syndicated and agented in the United States for such benchmark. For the avoidance of doubt, any such proposed rate and adjustments, shall constitute a “</w:t>
      </w:r>
      <w:r>
        <w:rPr>
          <w:rFonts w:ascii="Times New Roman;sans-serif" w:hAnsi="Times New Roman;sans-serif"/>
          <w:b w:val="false"/>
          <w:color w:val="000000"/>
          <w:sz w:val="22"/>
          <w:u w:val="single"/>
        </w:rPr>
        <w:t>Successor Rate</w:t>
      </w:r>
      <w:r>
        <w:rPr>
          <w:color w:val="000000"/>
        </w:rPr>
        <w:t>”</w:t>
      </w:r>
      <w:r>
        <w:rPr>
          <w:rFonts w:ascii="Times New Roman;sans-serif" w:hAnsi="Times New Roman;sans-serif"/>
          <w:b w:val="false"/>
          <w:color w:val="000000"/>
          <w:sz w:val="22"/>
        </w:rPr>
        <w:t>. Any such amendment shall become effective at 5:00 p.m. on the fifth Business Day after the Administrative Agent shall have posted such proposed amendment to all Lenders and the Company unless, prior to such time, Lenders comprising the Required Lenders have delivered to the Administrative Agent written notice that such Required Lenders object to such amendment.</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Administrative Agent will promptly (in one or more notices) notify the Company and each Lender of the implementation of any Successor Rate.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Any Successor Rate shall be applied in a manner consistent with market practice;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to the extent such market practice is not administratively feasible for the Administrative Agent, such Successor Rate shall be applied in a manner as otherwise reasonably determined by the Administrative Agent.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Notwithstanding anything else herein, if at any time any Successor Rate as so determined would otherwise be less than zero, the Successor Rate will be deemed to be zero for the purposes of this Agreement and the other Loan Documents.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with respect to any such amendment effected, the Administrative Agent shall post each such amendment implementing such Conforming Changes to the Company and the Lenders reasonably promptly after such amendment becomes effective.</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For purposes of this Section 3.03, those Lenders that either have not made, or do not have an obligation under this Agreement to make, the relevant Loans in Dollars shall be excluded from any determination of Required Lenders.</w:t>
      </w:r>
    </w:p>
    <w:p>
      <w:pPr>
        <w:pStyle w:val="TextBody"/>
        <w:bidi w:val="0"/>
        <w:spacing w:lineRule="auto" w:line="240" w:before="0" w:after="240"/>
        <w:ind w:left="0" w:right="0" w:hanging="720"/>
        <w:jc w:val="both"/>
        <w:rPr/>
      </w:pPr>
      <w:r>
        <w:rPr>
          <w:rFonts w:ascii="Times New Roman;sans-serif" w:hAnsi="Times New Roman;sans-serif"/>
          <w:b/>
          <w:color w:val="000000"/>
          <w:sz w:val="22"/>
        </w:rPr>
        <w:t>3.04Increased Costs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Increased Costs Generally</w:t>
      </w:r>
      <w:r>
        <w:rPr>
          <w:rFonts w:ascii="Times New Roman;sans-serif" w:hAnsi="Times New Roman;sans-serif"/>
          <w:b w:val="false"/>
          <w:color w:val="000000"/>
          <w:sz w:val="22"/>
        </w:rPr>
        <w:t>. If any Change in Law shall:</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367665"/>
                <wp:effectExtent l="0" t="0" r="0" b="0"/>
                <wp:wrapNone/>
                <wp:docPr id="287" name="Frame28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114</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(i)impose, modify or deem applicable any reserve, special deposit, compulsory loan, insurance charge or similar requirement against assets of, deposits with or for the account of, or credit extended or participated in by, any Lender or any L/C Issuer;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(iii)impose on any Lender or any L/C Issuer any other condition, cost or expense (other than Taxes) affecting this Agreement or Daily Simple SOFR Loans made by such Lender or any Letter of Credit or participation therein;</w: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and the result of any of the foregoing shall be to increase the cost to such Lender of making, converting, continuing or maintaining any Loan (or of maintaining its obligation to make any such Loan), or to increase the cost to such Lender or such L/C Issuer of participating in, issuing or maintaining any Letter of Credit (or of maintaining its obligation to participate in or to issue any Letter of Credit), or to reduce the amount of any sum received or receivable by such Lender or such L/C Issuer hereunder (whether of principal, interest or any other amount) then, upon request of such Lender or such L/C Issuer, the Company and each other Borrower (jointly and severally) will pay to such Lender or such L/C Issuer, as the case may be, such additional amount or amounts as will compensate such Lender or such L/C Issuer, as the case may be, for such additional costs incurred or reduction suffered.</w:t>
      </w:r>
    </w:p>
    <w:p>
      <w:pPr>
        <w:pStyle w:val="TextBody"/>
        <w:bidi w:val="0"/>
        <w:spacing w:before="0" w:after="0"/>
        <w:ind w:left="0" w:right="0" w:firstLine="720"/>
        <w:jc w:val="both"/>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Capital Requirements</w:t>
      </w:r>
      <w:r>
        <w:rPr>
          <w:rFonts w:ascii="Times New Roman;sans-serif" w:hAnsi="Times New Roman;sans-serif"/>
          <w:b w:val="false"/>
          <w:color w:val="000000"/>
          <w:sz w:val="22"/>
        </w:rPr>
        <w:t>. If any Lender or any L/C Issuer determines that any Change in Law affecting such Lender or such L/C Issuer or any Lending Office of such Lender or such Lender’s or such L/C Issuer’s holding company, if any, regarding capital or liquidity requirements has or would have the effect of reducing the rate of return on such Lender’s or such L/C Issuer’s capital or on the capital of such Lender’s or such L/C Issuer’s holding company, if any, as a consequence of this Agreement, the Commitments of such Lender or the Loans made by, or participations in Letters of Credit or Swing Line Loans held by, such Lender, or the Letters of Credit issued by such L/C Issuer, to a level below that which such Lender or such L/C Issuer or such Lender’s or L/C Issuer’s holding company could have achieved but for such Change in Law (taking into consideration such Lender’s or such L/C Issuer’s policies and the policies of such Lender’s or such L/C Issuer’s holding company with respect to capital adequacy), then from time to time the Company and each other Borrower (jointly and severally) will pay to such Lender or such L/C Issuer, as the case may be, such additional amount or amounts as will compensate such Lender or such L/C Issuer or such Lender’s or such L/C Issuer’s holding company for any such reduction suffered.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Certificates for Reimbursement</w:t>
      </w:r>
      <w:r>
        <w:rPr>
          <w:rFonts w:ascii="Times New Roman;sans-serif" w:hAnsi="Times New Roman;sans-serif"/>
          <w:b w:val="false"/>
          <w:color w:val="000000"/>
          <w:sz w:val="22"/>
        </w:rPr>
        <w:t>. A certificate of a Lender or an L/C Issuer setting forth the amount or amounts necessary to compensate such Lender or such L/C Issuer or its holding company, as the case may be, as specified in subsection (a) or (b) of this Section and delivered to the Company shall be conclusive absent manifest error. The Company and each other Borrower shall pay such Lender or such L/C Issuer, as the case may be, the amount shown as due on any such certificate within 10 days after receipt thereof.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Delay in Requests</w:t>
      </w:r>
      <w:r>
        <w:rPr>
          <w:rFonts w:ascii="Times New Roman;sans-serif" w:hAnsi="Times New Roman;sans-serif"/>
          <w:b w:val="false"/>
          <w:color w:val="000000"/>
          <w:sz w:val="22"/>
        </w:rPr>
        <w:t xml:space="preserve">. Failure or delay on the part of any Lender or any L/C Issuer to demand compensation pursuant to the foregoing provisions of this Section shall not constitute a waiver of such Lender’s or such L/C Issuer’s right to demand such compensation,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neither the Company nor any other Borrower shall be required to compensate a Lender or such L/C Issuer pursuant to the foregoing provisions of this Section for any increased costs incurred or reductions suffered more than nine months prior to the date that such Lender or such L/C Issuer, as the case may be, notifies the Company of the Change in Law giving rise to such increased costs or reductions and of such Lender’s or such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367665"/>
                <wp:effectExtent l="0" t="0" r="0" b="0"/>
                <wp:wrapNone/>
                <wp:docPr id="288" name="Frame28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115</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hanging="720"/>
        <w:jc w:val="both"/>
        <w:rPr/>
      </w:pPr>
      <w:r>
        <w:rPr>
          <w:rFonts w:ascii="Times New Roman;sans-serif" w:hAnsi="Times New Roman;sans-serif"/>
          <w:b/>
          <w:color w:val="000000"/>
          <w:sz w:val="22"/>
        </w:rPr>
        <w:t>3.05Mitigation Obligations; Replacement of Lenders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Designation of a Different Lending Office</w:t>
      </w:r>
      <w:r>
        <w:rPr>
          <w:rFonts w:ascii="Times New Roman;sans-serif" w:hAnsi="Times New Roman;sans-serif"/>
          <w:b w:val="false"/>
          <w:color w:val="000000"/>
          <w:sz w:val="22"/>
        </w:rPr>
        <w:t xml:space="preserve">. Each Lender may make any Credit Extension to the Borrowers through any Lending Office, provided that the exercise of this option shall not affect the obligation of the Borrowers to repay the Credit Extension in accordance with the terms of this Agreement. If any Lender requests compensation under </w:t>
      </w:r>
      <w:r>
        <w:rPr>
          <w:rFonts w:ascii="Times New Roman;sans-serif" w:hAnsi="Times New Roman;sans-serif"/>
          <w:b w:val="false"/>
          <w:color w:val="000000"/>
          <w:sz w:val="22"/>
          <w:u w:val="single"/>
        </w:rPr>
        <w:t>Section 3.04</w:t>
      </w:r>
      <w:r>
        <w:rPr>
          <w:rFonts w:ascii="Times New Roman;sans-serif" w:hAnsi="Times New Roman;sans-serif"/>
          <w:b w:val="false"/>
          <w:color w:val="000000"/>
          <w:sz w:val="22"/>
        </w:rPr>
        <w:t xml:space="preserve">, or the Company or any other Borrower is required to pay any Indemnified Taxes or additional amounts to any Lender, any L/C Issuer, or any Governmental Authority for the account of any Lender or any L/C Issuer pursuant to </w:t>
      </w:r>
      <w:r>
        <w:rPr>
          <w:rFonts w:ascii="Times New Roman;sans-serif" w:hAnsi="Times New Roman;sans-serif"/>
          <w:b w:val="false"/>
          <w:color w:val="000000"/>
          <w:sz w:val="22"/>
          <w:u w:val="single"/>
        </w:rPr>
        <w:t>Section 3.01</w:t>
      </w:r>
      <w:r>
        <w:rPr>
          <w:rFonts w:ascii="Times New Roman;sans-serif" w:hAnsi="Times New Roman;sans-serif"/>
          <w:b w:val="false"/>
          <w:color w:val="000000"/>
          <w:sz w:val="22"/>
        </w:rPr>
        <w:t xml:space="preserve">, or if any Lender gives a notice pursuant to </w:t>
      </w:r>
      <w:r>
        <w:rPr>
          <w:rFonts w:ascii="Times New Roman;sans-serif" w:hAnsi="Times New Roman;sans-serif"/>
          <w:b w:val="false"/>
          <w:color w:val="000000"/>
          <w:sz w:val="22"/>
          <w:u w:val="single"/>
        </w:rPr>
        <w:t>Section 3.02</w:t>
      </w:r>
      <w:r>
        <w:rPr>
          <w:rFonts w:ascii="Times New Roman;sans-serif" w:hAnsi="Times New Roman;sans-serif"/>
          <w:b w:val="false"/>
          <w:color w:val="000000"/>
          <w:sz w:val="22"/>
        </w:rPr>
        <w:t xml:space="preserve">, then at the request of the Company such Lender or such L/C Issuer shall, as applicable, use reasonable efforts to designate a different Lending Office for funding or booking its Loans hereunder or to assign its rights and obligations hereunder to another of its offices, branches or affiliates, if, in the judgment of such Lender or such L/C Issuer, such designation or assignment (i) would eliminate or reduce amounts payable pursuant to </w:t>
      </w:r>
      <w:r>
        <w:rPr>
          <w:rFonts w:ascii="Times New Roman;sans-serif" w:hAnsi="Times New Roman;sans-serif"/>
          <w:b w:val="false"/>
          <w:color w:val="000000"/>
          <w:sz w:val="22"/>
          <w:u w:val="single"/>
        </w:rPr>
        <w:t>Section 3.01</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3.04</w:t>
      </w:r>
      <w:r>
        <w:rPr>
          <w:rFonts w:ascii="Times New Roman;sans-serif" w:hAnsi="Times New Roman;sans-serif"/>
          <w:b w:val="false"/>
          <w:color w:val="000000"/>
          <w:sz w:val="22"/>
        </w:rPr>
        <w:t xml:space="preserve">, as the case may be, in the future, or eliminate the need for the notice pursuant to </w:t>
      </w:r>
      <w:r>
        <w:rPr>
          <w:rFonts w:ascii="Times New Roman;sans-serif" w:hAnsi="Times New Roman;sans-serif"/>
          <w:b w:val="false"/>
          <w:color w:val="000000"/>
          <w:sz w:val="22"/>
          <w:u w:val="single"/>
        </w:rPr>
        <w:t>Section 3.02</w:t>
      </w:r>
      <w:r>
        <w:rPr>
          <w:rFonts w:ascii="Times New Roman;sans-serif" w:hAnsi="Times New Roman;sans-serif"/>
          <w:b w:val="false"/>
          <w:color w:val="000000"/>
          <w:sz w:val="22"/>
        </w:rPr>
        <w:t>, as applicable, and (ii) in each case, would not subject such Lender or such L/C Issuer, as the case may be, to any unreimbursed cost or expense and would not otherwise be disadvantageous to such Lender or such L/C Issuer, as the case may be. The Company and each other Borrower (jointly and severally) hereby agrees to pay all reasonable costs and expenses incurred by any Lender or any L/C Issuer in connection with any such designation or assignment.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Replacement of Lenders</w:t>
      </w:r>
      <w:r>
        <w:rPr>
          <w:rFonts w:ascii="Times New Roman;sans-serif" w:hAnsi="Times New Roman;sans-serif"/>
          <w:b w:val="false"/>
          <w:color w:val="000000"/>
          <w:sz w:val="22"/>
        </w:rPr>
        <w:t xml:space="preserve">. If any Lender requests compensation under </w:t>
      </w:r>
      <w:r>
        <w:rPr>
          <w:rFonts w:ascii="Times New Roman;sans-serif" w:hAnsi="Times New Roman;sans-serif"/>
          <w:b w:val="false"/>
          <w:color w:val="000000"/>
          <w:sz w:val="22"/>
          <w:u w:val="single"/>
        </w:rPr>
        <w:t>Section 3.04</w:t>
      </w:r>
      <w:r>
        <w:rPr>
          <w:rFonts w:ascii="Times New Roman;sans-serif" w:hAnsi="Times New Roman;sans-serif"/>
          <w:b w:val="false"/>
          <w:color w:val="000000"/>
          <w:sz w:val="22"/>
        </w:rPr>
        <w:t xml:space="preserve">, or if the Company or any other Borrower is required to pay any Indemnified Taxes or additional amounts to any Lender or any Governmental Authority for the account of any Lender pursuant to </w:t>
      </w:r>
      <w:r>
        <w:rPr>
          <w:rFonts w:ascii="Times New Roman;sans-serif" w:hAnsi="Times New Roman;sans-serif"/>
          <w:b w:val="false"/>
          <w:color w:val="000000"/>
          <w:sz w:val="22"/>
          <w:u w:val="single"/>
        </w:rPr>
        <w:t>Section 3.01</w:t>
      </w:r>
      <w:r>
        <w:rPr>
          <w:color w:val="000000"/>
        </w:rPr>
        <w:t xml:space="preserve"> </w:t>
      </w:r>
      <w:r>
        <w:rPr>
          <w:rFonts w:ascii="Times New Roman;sans-serif" w:hAnsi="Times New Roman;sans-serif"/>
          <w:b w:val="false"/>
          <w:color w:val="000000"/>
          <w:sz w:val="22"/>
        </w:rPr>
        <w:t xml:space="preserve">and, in each case, such Lender has declined or is unable to designate a different lending office in accordance with </w:t>
      </w:r>
      <w:r>
        <w:rPr>
          <w:rFonts w:ascii="Times New Roman;sans-serif" w:hAnsi="Times New Roman;sans-serif"/>
          <w:b w:val="false"/>
          <w:color w:val="000000"/>
          <w:sz w:val="22"/>
          <w:u w:val="single"/>
        </w:rPr>
        <w:t>Section 3.05(a)</w:t>
      </w:r>
      <w:r>
        <w:rPr>
          <w:rFonts w:ascii="Times New Roman;sans-serif" w:hAnsi="Times New Roman;sans-serif"/>
          <w:b w:val="false"/>
          <w:color w:val="000000"/>
          <w:sz w:val="22"/>
        </w:rPr>
        <w:t xml:space="preserve">, the Company may replace such Lender in accordance with </w:t>
      </w:r>
      <w:r>
        <w:rPr>
          <w:rFonts w:ascii="Times New Roman;sans-serif" w:hAnsi="Times New Roman;sans-serif"/>
          <w:b w:val="false"/>
          <w:color w:val="000000"/>
          <w:sz w:val="22"/>
          <w:u w:val="single"/>
        </w:rPr>
        <w:t>Section 10.13</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color w:val="000000"/>
          <w:sz w:val="22"/>
        </w:rPr>
        <w:t>3.06</w:t>
      </w:r>
      <w:r>
        <w:rPr>
          <w:rFonts w:ascii="Times New Roman;sans-serif" w:hAnsi="Times New Roman;sans-serif"/>
          <w:b/>
          <w:color w:val="000000"/>
          <w:sz w:val="22"/>
        </w:rPr>
        <w:t>Survival</w:t>
      </w:r>
      <w:r>
        <w:rPr>
          <w:rFonts w:ascii="Times New Roman;sans-serif" w:hAnsi="Times New Roman;sans-serif"/>
          <w:b w:val="false"/>
          <w:color w:val="000000"/>
          <w:sz w:val="22"/>
        </w:rPr>
        <w:t xml:space="preserve">. All of the Company’s and each other Borrower’s obligations under this </w:t>
      </w:r>
      <w:r>
        <w:rPr>
          <w:rFonts w:ascii="Times New Roman;sans-serif" w:hAnsi="Times New Roman;sans-serif"/>
          <w:b w:val="false"/>
          <w:color w:val="000000"/>
          <w:sz w:val="22"/>
          <w:u w:val="single"/>
        </w:rPr>
        <w:t>Article III</w:t>
      </w:r>
      <w:r>
        <w:rPr>
          <w:color w:val="000000"/>
        </w:rPr>
        <w:t xml:space="preserve"> </w:t>
      </w:r>
      <w:r>
        <w:rPr>
          <w:rFonts w:ascii="Times New Roman;sans-serif" w:hAnsi="Times New Roman;sans-serif"/>
          <w:b w:val="false"/>
          <w:color w:val="000000"/>
          <w:sz w:val="22"/>
        </w:rPr>
        <w:t>shall survive termination of the Aggregate Commitments, repayment of all other Obligations hereunder, and resignation of the Administrative Agent.</w:t>
      </w:r>
    </w:p>
    <w:p>
      <w:pPr>
        <w:pStyle w:val="TextBody"/>
        <w:bidi w:val="0"/>
        <w:spacing w:lineRule="auto" w:line="240" w:before="0" w:after="240"/>
        <w:jc w:val="center"/>
        <w:rPr/>
      </w:pPr>
      <w:r>
        <w:rPr>
          <w:rFonts w:ascii="Times New Roman;sans-serif" w:hAnsi="Times New Roman;sans-serif"/>
          <w:b/>
          <w:color w:val="000000"/>
          <w:sz w:val="22"/>
        </w:rPr>
        <w:t>ARTICLE IV.</w:t>
      </w:r>
      <w:r>
        <w:rPr>
          <w:color w:val="000000"/>
        </w:rPr>
        <w:t xml:space="preserve"> </w:t>
      </w:r>
      <w:r>
        <w:rPr>
          <w:rFonts w:ascii="Times New Roman;sans-serif" w:hAnsi="Times New Roman;sans-serif"/>
          <w:b/>
          <w:color w:val="000000"/>
          <w:sz w:val="22"/>
        </w:rPr>
        <w:t>CONDITIONS PRECEDENT TO CREDIT EXTENSIONS</w:t>
      </w:r>
    </w:p>
    <w:p>
      <w:pPr>
        <w:pStyle w:val="TextBody"/>
        <w:bidi w:val="0"/>
        <w:spacing w:lineRule="auto" w:line="240" w:before="0" w:after="240"/>
        <w:ind w:left="0" w:right="0" w:firstLine="720"/>
        <w:jc w:val="both"/>
        <w:rPr/>
      </w:pPr>
      <w:r>
        <w:rPr>
          <w:rFonts w:ascii="Times New Roman;sans-serif" w:hAnsi="Times New Roman;sans-serif"/>
          <w:b/>
          <w:color w:val="000000"/>
          <w:sz w:val="22"/>
        </w:rPr>
        <w:t>4.01</w:t>
      </w:r>
      <w:r>
        <w:rPr>
          <w:rFonts w:ascii="Times New Roman;sans-serif" w:hAnsi="Times New Roman;sans-serif"/>
          <w:b/>
          <w:color w:val="000000"/>
          <w:sz w:val="22"/>
        </w:rPr>
        <w:t>Conditions of Initial Credit Extension</w:t>
      </w:r>
      <w:r>
        <w:rPr>
          <w:rFonts w:ascii="Times New Roman;sans-serif" w:hAnsi="Times New Roman;sans-serif"/>
          <w:b w:val="false"/>
          <w:color w:val="000000"/>
          <w:sz w:val="22"/>
        </w:rPr>
        <w:t>. The effectiveness of this Agreement and the amendment and restatement of the Existing Credit Agreement is subject to satisfaction of the following conditions precedent: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Administrative Agent’s receipt of the following, each of which shall be originals or telecopies (followed promptly by originals) unless otherwise specified, each properly executed by a Responsible Officer of the signing Loan Party, each dated the Closing Date (or, in the case of certificates of governmental officials, a recent date before the Closing Date) and each in form and substance satisfactory to the Administrative Agent and each of the Lenders: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(i)executed counterparts of (A) this Agreement sufficient in number for distribution to the Administrative Agent and its counsel, each Lender and the Company and (B) (1) the Security Agreement, (2) the Pledge Agreement, (3) the Escrow and Security Agreement and (4) each Guaranty required to be delivered in connection herewith, in each case, sufficient in number for distribution to the Administrative Agent, the Administrative Agent’s counsel and the Company;</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(ii)(A) a Revolving Note executed by the Company in favor of each Lender requesting a Revolving Note, (B) a New Vehicle Floorplan Note executed by the New Vehicle Borrowers in favor of each Lender requesting a New Vehicle Floorplan Note, and (C) a Used Vehicle Floorplan Note executed by the Used Vehicle Borrowers in favor of each Lender requesting a Used Vehicle Floorplan Note;</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(iii)such certificates of resolutions or other action, incumbency certificates and/or other certificates of Responsible Officers of each Loan Party as the Administrative Agent may require evidencing the identity, authority and capacity of each Responsible Officer thereof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367665"/>
                <wp:effectExtent l="0" t="0" r="0" b="0"/>
                <wp:wrapNone/>
                <wp:docPr id="289" name="Frame28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116</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authorized to act as a Responsible Officer in connection with this Agreement and the other Loan Documents to which such Loan Party is a party;</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(iv)such documents and certifications as the Administrative Agent may reasonably require to evidence that each Loan Party is duly organized or formed, and that each Loan Party is validly existing, in good standing and qualified to engage in business in the respective jurisdictions specified in </w:t>
      </w:r>
      <w:r>
        <w:rPr>
          <w:rFonts w:ascii="Times New Roman;sans-serif" w:hAnsi="Times New Roman;sans-serif"/>
          <w:b w:val="false"/>
          <w:color w:val="000000"/>
          <w:sz w:val="22"/>
          <w:u w:val="single"/>
        </w:rPr>
        <w:t>Schedule 4.01</w:t>
      </w:r>
      <w:r>
        <w:rPr>
          <w:rFonts w:ascii="Times New Roman;sans-serif" w:hAnsi="Times New Roman;sans-serif"/>
          <w:b w:val="false"/>
          <w:color w:val="000000"/>
          <w:sz w:val="22"/>
        </w:rPr>
        <w:t>, which includes each jurisdiction where its ownership, lease or operation of properties or the conduct of its business requires such qualification, except to the extent that failure to do so could not reasonably be expected to have a Material Adverse Effect;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(v)a favorable opinion of Jones Day, counsel to the Loan Parties, addressed to the Administrative Agent and each Lender, in the form attached as </w:t>
      </w:r>
      <w:r>
        <w:rPr>
          <w:rFonts w:ascii="Times New Roman;sans-serif" w:hAnsi="Times New Roman;sans-serif"/>
          <w:b w:val="false"/>
          <w:color w:val="000000"/>
          <w:sz w:val="22"/>
          <w:u w:val="single"/>
        </w:rPr>
        <w:t>Exhibit L</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(vi)a favorable opinion of local counsel to the Loan Parties in Utah and Idaho addressed to the Administrative Agent and each Lender in form and substance reasonably satisfactory to the Administrative Agent;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(vii)a certificate of a Responsible Officer of each Loan Party either (A) attaching copies of all consents, licenses and approvals required in connection with the execution, delivery and performance by such Loan Party and the validity against such Loan Party of the Loan Documents to which it is a party, and such consents, licenses and approvals shall be in full force and effect, or (B) stating that no such consents, licenses or approvals are so required;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(viii)a certificate signed by a Responsible Officer of the Company certifying (A) that the conditions specified in </w:t>
      </w:r>
      <w:r>
        <w:rPr>
          <w:rFonts w:ascii="Times New Roman;sans-serif" w:hAnsi="Times New Roman;sans-serif"/>
          <w:b w:val="false"/>
          <w:color w:val="000000"/>
          <w:sz w:val="22"/>
          <w:u w:val="single"/>
        </w:rPr>
        <w:t>Sections 4.02(a)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have been satisfied, (B) that there has been no event or circumstance since the date of the Audited Financial Statements that has had or could be reasonably expected to have, either individually or in the aggregate, a Material Adverse Effect, (C) as to the absence of any action, suit, investigation or proceeding pending or, to the knowledge of the Company, threatened in any court or before any arbitrator or Governmental Authority that could reasonably be expected to have a Material Adverse Effect and (D) that the information set forth in the Compliance Certificate, Revolving Borrowing Base Certificate and Used Vehicle Floorplan Borrowing Base Certificate most recently delivered by the Company pursuant to the Existing Credit Agreement is accurate with respect to the periods referenced therein;</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(ix)a certificate signed by the chief financial officer, treasurer or chief accounting officer of the Company, certifying that the Company individually is Solvent and the Loan Parties taken as a whole are Solvent, in each case after giving effect to this Agreement and the other Loan Documents and the Indebtedness pursuant hereto and thereto;</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(x)a certificate of a Responsible Officer of the Company evidencing that no consents or waivers are required pursuant to any Franchise Agreement or Framework Agreement that have not been obtained;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(xi)duly executed consents and waivers required pursuant to any Franchise Agreement or Framework Agreement (if any);</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(xii)evidence that all insurance required to be maintained pursuant to the Loan Documents has been obtained and is in effect, including endorsements naming the Administrative Agent (on behalf of the Secured Parties ) as an additional insured or lender’s loss payee, as the case may be, on all insurance policies maintained with respect to properties of the Company or any Loan Party constituting part of the Collateral, as requested by the Administrative Agent;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(xiii)consolidated balance sheets for the Company and each Subsidiary as at the end of June 30, 2023, and the related consolidated statements of income or operations, all in reasonable detail prepared by management of the Company or such Subsidiary, including designations of New Vehicle and Used Vehicle inventories and associated lien payoffs;</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367665"/>
                <wp:effectExtent l="0" t="0" r="0" b="0"/>
                <wp:wrapNone/>
                <wp:docPr id="290" name="Frame28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117</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(xiv)forecasts (including assumptions) prepared by the management of the Company of consolidated balance sheets, income statements and cash flow statements for the Company and its Subsidiaries, in each case in form and substance reasonably satisfactory to the Administrative Agent for each of the first five fiscal years following the Closing Date;</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(xv)delivery by the Company and each applicable Loan Party owning any Equity Interests required to be pledged (if any) pursuant to this Agreement or the Pledge Agreement of all stock certificates evidencing such pledged Equity Interests, accompanied in each case by duly executed stock powers (or other appropriate transfer documents) in blank affixed thereto and (y) delivery by the Company and each other applicable Loan Party owning any Equity Interests required to be delivered in escrow pursuant to the Escrow and Security Agreement of all stock certificates evidencing such Equity Interests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(xvi)UCC financing statements for filing in all places required by applicable law to perfect the Liens of the Administrative Agent for the benefit of the Secured Parties under the Security Instruments as a perfected Lien as to items of Collateral in which a security interest may be perfected by the filing of financing statements;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(xvii)UCC search results with respect to the Borrowers showing only Liens acceptable to the Administrative Agent (or pursuant to which arrangements reasonably satisfactory to the Administrative Agent shall have been made to remove any unacceptable Liens promptly after the Closing Date);</w:t>
      </w:r>
      <w:r>
        <w:rPr>
          <w:color w:val="000000"/>
        </w:rPr>
        <w:t xml:space="preserve">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(xviii)a certificate signed by a Responsible Officer of the Company certifying as to the identity of any Unrestricted Subsidiaries and that such Subsidiaries meet the requirements to be Unrestricted Subsidiaries;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(xix)with respect to any Eligible Borrowing Base Real Estate that is reflected in the Revolving Borrowing Base Certificate delivered pursuant to clause (xi) above, each of the following, in form and substance reasonably acceptable to the Administrative Agent: (A) a FIRREA-conforming appraisal (or, in the event that a FIRREA-conforming appraisal cannot be obtained prior to the date hereof after commercially reasonable efforts, a report as to the tax assessed value for such property) and (B) such other reports or certifications as related to such Eligible Borrowing Base Real Estate as the Administrative Agent may reasonably request;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(xx)Landlord Waivers, if any, that have been received by the Company or any Subsidiary on or prior to the Closing Date which have not previously been delivered to the Administrative Agent;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(xxi)copies of any executed Service Loaner Intercreditor Agreement with respect to any Permitted Service Loaner Indebtedness and the FMCC Intercreditor Agreement; in each case as in effect as the date hereof, and if required pursuant to the terms hereof, any additional Service Loaner Intercreditor Agreements;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(xxii)a form FR U-1 executed by the Company and a duly authorized representative of the Administrative Agent;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(xxiii)Fee Letters executed by the Company, the Administrative Agent and each applicable Lender; and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(xxiv)such other assurances, certificates, documents, consents or opinions as the Administrative Agent, any L/C Issuer, the Revolving Swing Line Lender, the New Vehicle Floorplan Swing Line Lender, the Used Vehicle Floorplan Swing Line Lender or the Required Lenders reasonably may require.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(i) Upon the reasonable request of any Lender made at least ten (10) days prior to the Closing Date, the Borrower shall have provided to such Lender, and such Lender shall be reasonably satisfied with, the documentation and other information so requested in connection with applicable “know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367665"/>
                <wp:effectExtent l="0" t="0" r="0" b="0"/>
                <wp:wrapNone/>
                <wp:docPr id="291" name="Frame28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118</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your customer” and anti-money-laundering rules and regulations, including, without limitation, the Act, in each case at least five (5) Business Days prior to the Closing Date and (ii) at least five (5) Business Days prior to the Closing Date, any Loan Party that qualifies as a “legal entity customer” under the Beneficial Ownership Regulation shall have delivered, to each Lender that so requests, a Beneficial Ownership Certification in relation to such Loan Party.</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Any fees required to be paid on or before the Closing Date shall have been paid.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Unless waived by the Administrative Agent, the Company shall have paid all accrued fees, charges and disbursements of counsel to the Administrative Agent (directly to such counsel if requested by the Administrative Agent) to the extent invoiced prior to or on the Closing Date,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such additional amounts of such fees, charges and disbursements as shall constitute its reasonable estimate of such fees, charges and disbursements incurred or to be incurred by it through the closing proceedings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estimate shall not thereafter preclude a final settling of accounts between the Company and the Administrative Agent).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Without limiting the generality of the provisions of the last paragraph of </w:t>
      </w:r>
      <w:r>
        <w:rPr>
          <w:rFonts w:ascii="Times New Roman;sans-serif" w:hAnsi="Times New Roman;sans-serif"/>
          <w:b w:val="false"/>
          <w:color w:val="000000"/>
          <w:sz w:val="22"/>
          <w:u w:val="single"/>
        </w:rPr>
        <w:t>Section 9.03</w:t>
      </w:r>
      <w:r>
        <w:rPr>
          <w:rFonts w:ascii="Times New Roman;sans-serif" w:hAnsi="Times New Roman;sans-serif"/>
          <w:b w:val="false"/>
          <w:color w:val="000000"/>
          <w:sz w:val="22"/>
        </w:rPr>
        <w:t xml:space="preserve">, for purposes of determining compliance with the conditions specified in this </w:t>
      </w:r>
      <w:r>
        <w:rPr>
          <w:rFonts w:ascii="Times New Roman;sans-serif" w:hAnsi="Times New Roman;sans-serif"/>
          <w:b w:val="false"/>
          <w:color w:val="000000"/>
          <w:sz w:val="22"/>
          <w:u w:val="single"/>
        </w:rPr>
        <w:t>Section 4.01</w:t>
      </w:r>
      <w:r>
        <w:rPr>
          <w:rFonts w:ascii="Times New Roman;sans-serif" w:hAnsi="Times New Roman;sans-serif"/>
          <w:b w:val="false"/>
          <w:color w:val="000000"/>
          <w:sz w:val="22"/>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pStyle w:val="TextBody"/>
        <w:bidi w:val="0"/>
        <w:spacing w:lineRule="auto" w:line="240" w:before="0" w:after="240"/>
        <w:ind w:left="0" w:right="0" w:firstLine="1440"/>
        <w:jc w:val="both"/>
        <w:rPr/>
      </w:pPr>
      <w:r>
        <w:rPr>
          <w:rFonts w:ascii="Times New Roman;sans-serif" w:hAnsi="Times New Roman;sans-serif"/>
          <w:b/>
          <w:color w:val="000000"/>
          <w:sz w:val="22"/>
        </w:rPr>
        <w:t>4.02</w:t>
      </w:r>
      <w:r>
        <w:rPr>
          <w:rFonts w:ascii="Times New Roman;sans-serif" w:hAnsi="Times New Roman;sans-serif"/>
          <w:b/>
          <w:color w:val="000000"/>
          <w:sz w:val="22"/>
        </w:rPr>
        <w:t>Conditions to all Credit Extensions other than New Vehicle Floorplan Swing Line Borrowings pursuant to a Payment Commitment, a Payoff Letter Commitment or the Floorplan On-Line System</w:t>
      </w:r>
      <w:r>
        <w:rPr>
          <w:rFonts w:ascii="Times New Roman;sans-serif" w:hAnsi="Times New Roman;sans-serif"/>
          <w:b w:val="false"/>
          <w:color w:val="000000"/>
          <w:sz w:val="22"/>
        </w:rPr>
        <w:t>. The obligation of each Lender to honor any Request for Credit Extension (other than pursuant to (x) a Request for Credit Extension requesting only a conversion of Loans to the other Type, (y) a Payment Commitment, or (z) a Payoff Letter Commitment) is subject to the following conditions precedent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with respect to any Request for Credit Extension for Committed Loans the proceeds of which are intended to be and are actually used to finance one or more Permitted Acquisitions which are subject to customary “certain funds provisions”, the conditions to making such Committed Loans may be modified to reflect customary “certain funds provisions” as agreed to by the Administrative Agent and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The representations and warranties of the Company and each other Loan Party contained in </w:t>
      </w:r>
      <w:r>
        <w:rPr>
          <w:rFonts w:ascii="Times New Roman;sans-serif" w:hAnsi="Times New Roman;sans-serif"/>
          <w:b w:val="false"/>
          <w:color w:val="000000"/>
          <w:sz w:val="22"/>
          <w:u w:val="single"/>
        </w:rPr>
        <w:t>Article V</w:t>
      </w:r>
      <w:r>
        <w:rPr>
          <w:color w:val="000000"/>
        </w:rPr>
        <w:t xml:space="preserve"> </w:t>
      </w:r>
      <w:r>
        <w:rPr>
          <w:rFonts w:ascii="Times New Roman;sans-serif" w:hAnsi="Times New Roman;sans-serif"/>
          <w:b w:val="false"/>
          <w:color w:val="000000"/>
          <w:sz w:val="22"/>
        </w:rPr>
        <w:t xml:space="preserve">or any other Loan Document, or which are contained in any document furnished at any time under or in connection herewith or therewith, shall be true and correct in all material respects (or in all respects in the case of any representation and warranty qualified by materiality or Material Adverse Effect) on and as of the date of such Credit Extension, except to the extent that such representations and warranties specifically refer to an earlier date, in which case they shall be true and correct in all material respects (or in all respects in the case of any representation and warranty qualified by materiality or Material Adverse Effect) as of such earlier date, and except that for purposes of this </w:t>
      </w:r>
      <w:r>
        <w:rPr>
          <w:rFonts w:ascii="Times New Roman;sans-serif" w:hAnsi="Times New Roman;sans-serif"/>
          <w:b w:val="false"/>
          <w:color w:val="000000"/>
          <w:sz w:val="22"/>
          <w:u w:val="single"/>
        </w:rPr>
        <w:t>Section 4.02</w:t>
      </w:r>
      <w:r>
        <w:rPr>
          <w:rFonts w:ascii="Times New Roman;sans-serif" w:hAnsi="Times New Roman;sans-serif"/>
          <w:b w:val="false"/>
          <w:color w:val="000000"/>
          <w:sz w:val="22"/>
        </w:rPr>
        <w:t xml:space="preserve">, the representations and warranties contained in subsections (a) and (b) of </w:t>
      </w:r>
      <w:r>
        <w:rPr>
          <w:rFonts w:ascii="Times New Roman;sans-serif" w:hAnsi="Times New Roman;sans-serif"/>
          <w:b w:val="false"/>
          <w:color w:val="000000"/>
          <w:sz w:val="22"/>
          <w:u w:val="single"/>
        </w:rPr>
        <w:t>Section 5.05</w:t>
      </w:r>
      <w:r>
        <w:rPr>
          <w:color w:val="000000"/>
        </w:rPr>
        <w:t xml:space="preserve"> </w:t>
      </w:r>
      <w:r>
        <w:rPr>
          <w:rFonts w:ascii="Times New Roman;sans-serif" w:hAnsi="Times New Roman;sans-serif"/>
          <w:b w:val="false"/>
          <w:color w:val="000000"/>
          <w:sz w:val="22"/>
        </w:rPr>
        <w:t xml:space="preserve">shall be deemed to refer to the most recent statements furnished pursuant to clauses (a) and (b), respectively, of </w:t>
      </w:r>
      <w:r>
        <w:rPr>
          <w:rFonts w:ascii="Times New Roman;sans-serif" w:hAnsi="Times New Roman;sans-serif"/>
          <w:b w:val="false"/>
          <w:color w:val="000000"/>
          <w:sz w:val="22"/>
          <w:u w:val="single"/>
        </w:rPr>
        <w:t>Section 6.01</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No Default shall exist or would result from such proposed Credit Extension or from the application of the proceeds thereof.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The Administrative Agent and, if applicable, the applicable L/C Issuer, the Revolving Swing Line Lender or the Used Vehicle Floorplan Swing Line Lender shall have received, to the extent otherwise required under </w:t>
      </w:r>
      <w:r>
        <w:rPr>
          <w:rFonts w:ascii="Times New Roman;sans-serif" w:hAnsi="Times New Roman;sans-serif"/>
          <w:b w:val="false"/>
          <w:color w:val="000000"/>
          <w:sz w:val="22"/>
          <w:u w:val="single"/>
        </w:rPr>
        <w:t>Section 2.02, 2.03, 2.04, 2.11 or 2.12</w:t>
      </w:r>
      <w:r>
        <w:rPr>
          <w:rFonts w:ascii="Times New Roman;sans-serif" w:hAnsi="Times New Roman;sans-serif"/>
          <w:b w:val="false"/>
          <w:color w:val="000000"/>
          <w:sz w:val="22"/>
        </w:rPr>
        <w:t>, a Request for Credit Extension in accordance with the requirements 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In the case of any Revolving Borrowing, the Total Revolving Outstandings after giving effect to such Request for Credit Extension shall not exceed the lesser of the Aggregate Revolving Commitments or the Revolving Borrowing Base on such date.</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367665"/>
                <wp:effectExtent l="0" t="0" r="0" b="0"/>
                <wp:wrapNone/>
                <wp:docPr id="292" name="Frame28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119</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 xml:space="preserve">If the applicable Borrower is a New Vehicle Borrower, then the conditions of </w:t>
      </w:r>
      <w:r>
        <w:rPr>
          <w:rFonts w:ascii="Times New Roman;sans-serif" w:hAnsi="Times New Roman;sans-serif"/>
          <w:b w:val="false"/>
          <w:color w:val="000000"/>
          <w:sz w:val="22"/>
          <w:u w:val="single"/>
        </w:rPr>
        <w:t>Section 2.24</w:t>
      </w:r>
      <w:r>
        <w:rPr>
          <w:color w:val="000000"/>
        </w:rPr>
        <w:t xml:space="preserve"> </w:t>
      </w:r>
      <w:r>
        <w:rPr>
          <w:rFonts w:ascii="Times New Roman;sans-serif" w:hAnsi="Times New Roman;sans-serif"/>
          <w:b w:val="false"/>
          <w:color w:val="000000"/>
          <w:sz w:val="22"/>
        </w:rPr>
        <w:t>to the designation of such Borrower as a New Vehicle Borrower shall have been met to the satisfaction of the Administrative Agent.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 xml:space="preserve">If the applicable Borrower is a Used Vehicle Borrower, then the conditions of </w:t>
      </w:r>
      <w:r>
        <w:rPr>
          <w:rFonts w:ascii="Times New Roman;sans-serif" w:hAnsi="Times New Roman;sans-serif"/>
          <w:b w:val="false"/>
          <w:color w:val="000000"/>
          <w:sz w:val="22"/>
          <w:u w:val="single"/>
        </w:rPr>
        <w:t>Section 2.25</w:t>
      </w:r>
      <w:r>
        <w:rPr>
          <w:color w:val="000000"/>
        </w:rPr>
        <w:t xml:space="preserve"> </w:t>
      </w:r>
      <w:r>
        <w:rPr>
          <w:rFonts w:ascii="Times New Roman;sans-serif" w:hAnsi="Times New Roman;sans-serif"/>
          <w:b w:val="false"/>
          <w:color w:val="000000"/>
          <w:sz w:val="22"/>
        </w:rPr>
        <w:t>to the designation of such Borrower as a Used Vehicle Borrower shall have been met.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In the case of any Used Vehicle Floorplan Borrowing, the Total Used Vehicle Floorplan Outstandings after giving effect to such Request for Credit Extensions shall not exceed the lesser of the Aggregate Used Vehicle Floorplan Commitments or the Used Vehicle Floorplan Borrowing Base on such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 xml:space="preserve">Each Request for Credit Extension (other than a Request for Credit Extension requesting only a conversion of Loans to the other Type) submitted by the Company shall be deemed to be a representation and warranty that the conditions specified in </w:t>
      </w:r>
      <w:r>
        <w:rPr>
          <w:rFonts w:ascii="Times New Roman;sans-serif" w:hAnsi="Times New Roman;sans-serif"/>
          <w:b w:val="false"/>
          <w:color w:val="000000"/>
          <w:sz w:val="22"/>
          <w:u w:val="single"/>
        </w:rPr>
        <w:t>Sections 4.02(a)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have been satisfied on and as of the date of the applicable Credit Extension.</w:t>
      </w:r>
      <w:r>
        <w:rPr>
          <w:color w:val="000000"/>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 xml:space="preserve">Notwithstanding the conditions specified in </w:t>
      </w:r>
      <w:r>
        <w:rPr>
          <w:rFonts w:ascii="Times New Roman;sans-serif" w:hAnsi="Times New Roman;sans-serif"/>
          <w:b w:val="false"/>
          <w:color w:val="000000"/>
          <w:sz w:val="22"/>
          <w:u w:val="single"/>
        </w:rPr>
        <w:t>Sections 4.02(a)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 xml:space="preserve">above, with respect to the portion of any Credit Extension that is used solely to finance any part of the Koons Acquisition, </w:t>
      </w:r>
      <w:r>
        <w:rPr>
          <w:rFonts w:ascii="Times New Roman;sans-serif" w:hAnsi="Times New Roman;sans-serif"/>
          <w:b w:val="false"/>
          <w:color w:val="000000"/>
          <w:sz w:val="22"/>
          <w:u w:val="single"/>
        </w:rPr>
        <w:t>Sections 4.02(a)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shall not apply with respect to such Credit Extension, but the following conditions shall apply:</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(i)The Administrative Agent shall have received all documents, and evidence reasonably satisfactory to the Administrative Agent that all other actions have been taken, in each case required by </w:t>
      </w:r>
      <w:r>
        <w:rPr>
          <w:rFonts w:ascii="Times New Roman;sans-serif" w:hAnsi="Times New Roman;sans-serif"/>
          <w:b w:val="false"/>
          <w:color w:val="000000"/>
          <w:sz w:val="22"/>
          <w:u w:val="single"/>
        </w:rPr>
        <w:t>Sections 2.24</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2.25</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6.14</w:t>
      </w:r>
      <w:r>
        <w:rPr>
          <w:color w:val="000000"/>
        </w:rPr>
        <w:t xml:space="preserve"> </w:t>
      </w:r>
      <w:r>
        <w:rPr>
          <w:rFonts w:ascii="Times New Roman;sans-serif" w:hAnsi="Times New Roman;sans-serif"/>
          <w:b w:val="false"/>
          <w:color w:val="000000"/>
          <w:sz w:val="22"/>
        </w:rPr>
        <w:t>of the Credit Agreement with respect to any Subsidiary that (a) did not execute the Credit Agreement on the Closing Date as a New Vehicle Borrower and Used Vehicle Borrower and (b) will acquire assets in connection with the Koons Acquisition or whose Equity Interests will be acquired in connection with the Koons Acquisition (each an “</w:t>
      </w:r>
      <w:r>
        <w:rPr>
          <w:rFonts w:ascii="Times New Roman;sans-serif" w:hAnsi="Times New Roman;sans-serif"/>
          <w:b w:val="false"/>
          <w:color w:val="000000"/>
          <w:sz w:val="22"/>
          <w:u w:val="single"/>
        </w:rPr>
        <w:t>Additional Koons Restricted Subsidiary</w:t>
      </w:r>
      <w:r>
        <w:rPr>
          <w:color w:val="000000"/>
        </w:rPr>
        <w:t>”</w:t>
      </w:r>
      <w:r>
        <w:rPr>
          <w:rFonts w:ascii="Times New Roman;sans-serif" w:hAnsi="Times New Roman;sans-serif"/>
          <w:b w:val="false"/>
          <w:color w:val="000000"/>
          <w:sz w:val="22"/>
        </w:rPr>
        <w:t>; each such Subsidiary, together with any other Subsidiary which will acquire assets in connection with the Koons Acquisition, the “</w:t>
      </w:r>
      <w:r>
        <w:rPr>
          <w:rFonts w:ascii="Times New Roman;sans-serif" w:hAnsi="Times New Roman;sans-serif"/>
          <w:b w:val="false"/>
          <w:color w:val="000000"/>
          <w:sz w:val="22"/>
          <w:u w:val="single"/>
        </w:rPr>
        <w:t>Koons Restricted Subsidiaries</w:t>
      </w:r>
      <w:r>
        <w:rPr>
          <w:color w:val="000000"/>
        </w:rPr>
        <w:t>”</w:t>
      </w:r>
      <w:r>
        <w:rPr>
          <w:rFonts w:ascii="Times New Roman;sans-serif" w:hAnsi="Times New Roman;sans-serif"/>
          <w:b w:val="false"/>
          <w:color w:val="000000"/>
          <w:sz w:val="22"/>
        </w:rPr>
        <w:t>), each in form and substance satisfactory to the Administrative Agent and each of the Lenders.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(ii)The Administrative Agent shall have received the following, each of which (in the case of clauses (D) and (G) shall be originals or telecopies (followed promptly by originals) unless otherwise specified, each of which (in the case of clauses (B) and (C)) shall be properly executed by a Responsible Officer of the signing Loan Party, each dated the date of such Credit Extension (or, in the case of certificates of governmental officials or the items referred to in clauses (B)(y) and (E) below, a recent date before the date of such Credit Extension) and each in form and substance satisfactory to the Administrative Agent and each of the Lenders: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(A)evidence that all insurance required to be maintained with respect to each Koons Restricted Subsidiary pursuant to the Loan Documents has been obtained and is in effect, including endorsements naming the Administrative Agent (on behalf of the Secured Parties) as an additional insured or lender’s loss payee, as the case may be, on all insurance policies maintained with respect to properties of such Koons Restricted Subsidiary constituting part of the Collateral;</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(B)to the extent there are any Additional Koons Restricted Subsidiaries at such time, (x) such certificates of resolutions or other action, incumbency certificates and/or other certificates of Responsible Officers of each Additional Koons Restricted Subsidiary as the Administrative Agent may require evidencing the identity, authority and capacity of each Responsible Officer thereof authorized to act as a Responsible Officer in connection with the Loan Documents to which such Additional Koons Restricted Subsidiary is a party, (y) such documents and certifications as the Administrative Agent may reasonably require to evidence that each Additional Koons Restricted Subsidiary is duly organized or formed, and that such Additional Koons Restricted Subsidiary is validly existing, in good standing and qualified to engage in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367665"/>
                <wp:effectExtent l="0" t="0" r="0" b="0"/>
                <wp:wrapNone/>
                <wp:docPr id="293" name="Frame28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120</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business in the jurisdiction of its organization or formation, and each other jurisdiction where its ownership, lease or operation of properties or the conduct of its business requires such qualification, except to the extent that failure to do so could not reasonably be expected to have a Material Adverse Effect and (z) favorable opinions of Jones Day, counsel to the Loan Parties, and, if requested by the Administrative Agent in its sole discretion, of local counsel to the Loan Parties in each state where an Additional Koons Restricted Subsidiary is organized, in each case addressed to the Administrative Agent and each Lender, in form and substance reasonably satisfactory to the Administrative Agent;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(C)a certificate signed by a Responsible Officer of the Company certifying that the conditions specified in </w:t>
      </w:r>
      <w:r>
        <w:rPr>
          <w:rFonts w:ascii="Times New Roman;sans-serif" w:hAnsi="Times New Roman;sans-serif"/>
          <w:b w:val="false"/>
          <w:color w:val="000000"/>
          <w:sz w:val="22"/>
          <w:u w:val="single"/>
        </w:rPr>
        <w:t>Sections 4.02(i)(iii)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(iv)</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(v)</w:t>
      </w:r>
      <w:r>
        <w:rPr>
          <w:color w:val="000000"/>
        </w:rPr>
        <w:t xml:space="preserve"> </w:t>
      </w:r>
      <w:r>
        <w:rPr>
          <w:rFonts w:ascii="Times New Roman;sans-serif" w:hAnsi="Times New Roman;sans-serif"/>
          <w:b w:val="false"/>
          <w:color w:val="000000"/>
          <w:sz w:val="22"/>
        </w:rPr>
        <w:t>have been satisfied;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(D)each of the documents required to be delivered pursuant to </w:t>
      </w:r>
      <w:r>
        <w:rPr>
          <w:rFonts w:ascii="Times New Roman;sans-serif" w:hAnsi="Times New Roman;sans-serif"/>
          <w:b w:val="false"/>
          <w:color w:val="000000"/>
          <w:sz w:val="22"/>
          <w:u w:val="single"/>
        </w:rPr>
        <w:t>Section 7.19</w:t>
      </w:r>
      <w:r>
        <w:rPr>
          <w:rFonts w:ascii="Times New Roman;sans-serif" w:hAnsi="Times New Roman;sans-serif"/>
          <w:b w:val="false"/>
          <w:color w:val="000000"/>
          <w:sz w:val="22"/>
        </w:rPr>
        <w:t>, (including a duly completed Pro Forma Compliance Certificate, Pro Forma Revolving Borrowing Base Certificate and Pro Forma Used Vehicle Floorplan Borrowing Base Certificate and the financial statements required to be delivered thereby);</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(E)UCC search results with respect to all sellers under the Koons Acquisition Documents and all Additional Koons Restricted Subsidiaries showing only Liens permitted hereunder (or pursuant to which arrangements reasonably satisfactory to the Administrative Agent shall have been made to remove any Liens not permitted hereunder on or prior to the date of such Credit Extension);</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(F)with respect to any Eligible Borrowing Base Real Estate that is reflected in the Revolving Borrowing Base Certificate delivered pursuant to clause (F) above, each of the following, in form and substance reasonably acceptable to the Administrative Agent: (A) a FIRREA-conforming appraisal (or, in the event that a FIRREA-conforming appraisal cannot be obtained prior to the date of such certificate after commercially reasonable efforts, a report as to the tax assessed value for such property), and (C) such other reports or certifications as related to such Eligible Borrowing Base Real Estate as the Administrative Agent may reasonably request; and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(G)if any Koons Restricted Subsidiary has a service loaner program with any Manufacturer or financial affiliate of a Manufacturer, a Service Loaner Intercreditor Agreement with respect to such program.</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(iii)The Specified Koons Acquisition Agreement Representations shall be true and correct on the date of such Credit Extension, both immediately before and after giving effect to the Koons Acquisition and the Koons Acquisition Indebtedness.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(iv)The Specified Representations shall be true and correct on the date of such Credit Extension in all material respects, both immediately before and after giving effect to the Koons Acquisition and the Koons Acquisition Indebtedness.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(v)No Specified Event of Default shall have occurred and be continuing as of the date of such Credit Extension, both immediately before and after giving effect to the Koons Acquisition and the Koons Acquisition Indebtedness.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(vi)There has been no event or circumstance since the date of execution of the Koons Acquisition Documents that has had or could be reasonably expected to have, either individually or in the aggregate, a Material Adverse Change (as defined in the Koons Acquisition Agreement).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(vii)(A) Upon the reasonable request of any Lender made at least ten (10) Business Days prior to the date of such Credit Extension, each Borrower shall have provided to such Lender, and such Lender shall be reasonably satisfied with, the documentation and other information so requested in connection with applicable “know your customer” and anti-money-laundering rules and regulations, including, without limitation, the Act, in each case at least three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367665"/>
                <wp:effectExtent l="0" t="0" r="0" b="0"/>
                <wp:wrapNone/>
                <wp:docPr id="294" name="Frame28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121</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(3) Business Days prior to the date of such Credit Extension and (B) at least three (3) Business Days prior to the date of such Credit Extension, any Loan Party that qualifies as a “legal entity customer” under the Beneficial Ownership Regulation shall have delivered, to each Lender that so requests, a Beneficial Ownership Certification in relation to such Loan Party.</w:t>
      </w:r>
      <w:r>
        <w:rPr>
          <w:color w:val="000000"/>
        </w:rPr>
        <w:t xml:space="preserve"> </w:t>
      </w:r>
    </w:p>
    <w:p>
      <w:pPr>
        <w:pStyle w:val="TextBody"/>
        <w:bidi w:val="0"/>
        <w:spacing w:lineRule="auto" w:line="240" w:before="0" w:after="240"/>
        <w:ind w:left="0" w:right="0" w:firstLine="720"/>
        <w:jc w:val="both"/>
        <w:rPr/>
      </w:pPr>
      <w:r>
        <w:rPr>
          <w:rFonts w:ascii="Times New Roman;sans-serif" w:hAnsi="Times New Roman;sans-serif"/>
          <w:b/>
          <w:color w:val="000000"/>
          <w:sz w:val="22"/>
        </w:rPr>
        <w:t>4.03</w:t>
      </w:r>
      <w:r>
        <w:rPr>
          <w:rFonts w:ascii="Times New Roman;sans-serif" w:hAnsi="Times New Roman;sans-serif"/>
          <w:b/>
          <w:color w:val="000000"/>
          <w:sz w:val="22"/>
        </w:rPr>
        <w:t>Conditions to all New Vehicle Floorplan Swing Line Borrowings pursuant to a Payment Commitment, a Payoff Letter Commitment or the Floorplan On-Line System</w:t>
      </w:r>
      <w:r>
        <w:rPr>
          <w:rFonts w:ascii="Times New Roman;sans-serif" w:hAnsi="Times New Roman;sans-serif"/>
          <w:b w:val="false"/>
          <w:color w:val="000000"/>
          <w:sz w:val="22"/>
        </w:rPr>
        <w:t>. The obligation of the New Vehicle Floorplan Swing Line Lender to honor any request for a New Vehicle Floorplan Borrowing pursuant to a Payment Commitment, a Payoff Letter Commitment or the Floorplan On-Line System is subject to the following conditions precedent: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to the extent required pursuant to the terms of such Payment Commitment, Payoff Letter Commitment or Floorplan On-Line System, as the case may be, the New Vehicle Floorplan Swing Line Lender shall have received a manufacturer/distributor invoice, cash draft, electronic record, depository transfer check, sight draft, or such other documentation as may be specified in such Payment Commitment, Payoff Letter Commitment or Floorplan On-Line System, identifying the Vehicles delivered or to be delivered to the applicable New Vehicle Borrower;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any other conditions precedent set forth in such Payment Commitment, Payoff Letter Commitment or Floorplan On-Line System.</w:t>
      </w:r>
    </w:p>
    <w:p>
      <w:pPr>
        <w:pStyle w:val="TextBody"/>
        <w:bidi w:val="0"/>
        <w:spacing w:lineRule="auto" w:line="240" w:before="0" w:after="240"/>
        <w:jc w:val="center"/>
        <w:rPr/>
      </w:pPr>
      <w:r>
        <w:rPr>
          <w:rFonts w:ascii="Times New Roman;sans-serif" w:hAnsi="Times New Roman;sans-serif"/>
          <w:b/>
          <w:color w:val="000000"/>
          <w:sz w:val="22"/>
        </w:rPr>
        <w:t>ARTICLE V.</w:t>
      </w:r>
      <w:r>
        <w:rPr>
          <w:color w:val="000000"/>
        </w:rPr>
        <w:t xml:space="preserve"> </w:t>
      </w:r>
      <w:r>
        <w:rPr>
          <w:rFonts w:ascii="Times New Roman;sans-serif" w:hAnsi="Times New Roman;sans-serif"/>
          <w:b/>
          <w:color w:val="000000"/>
          <w:sz w:val="22"/>
        </w:rPr>
        <w:t>REPRESENTATIONS AND WARRANTIES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Each of the Company and each Vehicle Borrower represents and warrants to the Administrative Agent and the Lenders that:</w:t>
      </w:r>
    </w:p>
    <w:p>
      <w:pPr>
        <w:pStyle w:val="TextBody"/>
        <w:bidi w:val="0"/>
        <w:spacing w:lineRule="auto" w:line="240" w:before="0" w:after="240"/>
        <w:ind w:left="0" w:right="0" w:firstLine="720"/>
        <w:jc w:val="both"/>
        <w:rPr/>
      </w:pPr>
      <w:r>
        <w:rPr>
          <w:rFonts w:ascii="Times New Roman;sans-serif" w:hAnsi="Times New Roman;sans-serif"/>
          <w:b/>
          <w:color w:val="000000"/>
          <w:sz w:val="22"/>
        </w:rPr>
        <w:t>5.01</w:t>
      </w:r>
      <w:r>
        <w:rPr>
          <w:rFonts w:ascii="Times New Roman;sans-serif" w:hAnsi="Times New Roman;sans-serif"/>
          <w:b/>
          <w:color w:val="000000"/>
          <w:sz w:val="22"/>
        </w:rPr>
        <w:t>Existence, Qualification and Power</w:t>
      </w:r>
      <w:r>
        <w:rPr>
          <w:rFonts w:ascii="Times New Roman;sans-serif" w:hAnsi="Times New Roman;sans-serif"/>
          <w:b w:val="false"/>
          <w:color w:val="000000"/>
          <w:sz w:val="22"/>
        </w:rPr>
        <w:t>. Each Loan Party and each Subsidiary (other than the Specified Insurance Subsidiaries) thereof (a) is duly organized 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clause (b)(i) or (c), to the extent that failure to do so could not reasonably be expected to have a Material Adverse Effect.</w:t>
      </w:r>
    </w:p>
    <w:p>
      <w:pPr>
        <w:pStyle w:val="TextBody"/>
        <w:bidi w:val="0"/>
        <w:spacing w:lineRule="auto" w:line="240" w:before="0" w:after="240"/>
        <w:ind w:left="0" w:right="0" w:firstLine="720"/>
        <w:jc w:val="both"/>
        <w:rPr/>
      </w:pPr>
      <w:r>
        <w:rPr>
          <w:rFonts w:ascii="Times New Roman;sans-serif" w:hAnsi="Times New Roman;sans-serif"/>
          <w:b/>
          <w:color w:val="000000"/>
          <w:sz w:val="22"/>
        </w:rPr>
        <w:t>5.02</w:t>
      </w:r>
      <w:r>
        <w:rPr>
          <w:rFonts w:ascii="Times New Roman;sans-serif" w:hAnsi="Times New Roman;sans-serif"/>
          <w:b/>
          <w:color w:val="000000"/>
          <w:sz w:val="22"/>
        </w:rPr>
        <w:t>Authorization; No Contravention</w:t>
      </w:r>
      <w:r>
        <w:rPr>
          <w:rFonts w:ascii="Times New Roman;sans-serif" w:hAnsi="Times New Roman;sans-serif"/>
          <w:b w:val="false"/>
          <w:color w:val="000000"/>
          <w:sz w:val="22"/>
        </w:rPr>
        <w:t>. The execution, delivery and performance by each Loan Party of each Loan Document to which such Person is party, have been duly authorized by all necessary corporate or other organizational action, and do not and will not (a) contravene the terms of any of such Person’s Organization Documents; (b) conflict with or result in any breach or contravention of, or the creation of any Lien under, or require any payment to be made under (i) any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or (c) violate any Law; except, in the case of clause (b)(i) or (c), to the extent such contravention, conflict or violation would not reasonably be expected to have Material Adverse Effect.</w:t>
      </w:r>
    </w:p>
    <w:p>
      <w:pPr>
        <w:pStyle w:val="TextBody"/>
        <w:bidi w:val="0"/>
        <w:spacing w:lineRule="auto" w:line="240" w:before="0" w:after="240"/>
        <w:ind w:left="0" w:right="0" w:firstLine="720"/>
        <w:jc w:val="both"/>
        <w:rPr/>
      </w:pPr>
      <w:r>
        <w:rPr>
          <w:rFonts w:ascii="Times New Roman;sans-serif" w:hAnsi="Times New Roman;sans-serif"/>
          <w:b/>
          <w:color w:val="000000"/>
          <w:sz w:val="22"/>
        </w:rPr>
        <w:t>5.03</w:t>
      </w:r>
      <w:r>
        <w:rPr>
          <w:rFonts w:ascii="Times New Roman;sans-serif" w:hAnsi="Times New Roman;sans-serif"/>
          <w:b/>
          <w:color w:val="000000"/>
          <w:sz w:val="22"/>
        </w:rPr>
        <w:t>Governmental Authorization; Other Consents</w:t>
      </w:r>
      <w:r>
        <w:rPr>
          <w:rFonts w:ascii="Times New Roman;sans-serif" w:hAnsi="Times New Roman;sans-serif"/>
          <w:b w:val="false"/>
          <w:color w:val="000000"/>
          <w:sz w:val="22"/>
        </w:rPr>
        <w:t>. No registration with, or consent or approval of, or other action by, any federal, state or other Governmental Authority is or will be required in connection with the execution, delivery and performance of this Agreement or any other Loan Document, the execution and delivery of the Notes or repayment of the Borrowings hereunder.</w:t>
      </w:r>
    </w:p>
    <w:p>
      <w:pPr>
        <w:pStyle w:val="TextBody"/>
        <w:bidi w:val="0"/>
        <w:spacing w:lineRule="auto" w:line="240" w:before="0" w:after="240"/>
        <w:ind w:left="0" w:right="0" w:firstLine="720"/>
        <w:jc w:val="both"/>
        <w:rPr/>
      </w:pPr>
      <w:r>
        <w:rPr>
          <w:rFonts w:ascii="Times New Roman;sans-serif" w:hAnsi="Times New Roman;sans-serif"/>
          <w:b/>
          <w:color w:val="000000"/>
          <w:sz w:val="22"/>
        </w:rPr>
        <w:t>5.04</w:t>
      </w:r>
      <w:r>
        <w:rPr>
          <w:rFonts w:ascii="Times New Roman;sans-serif" w:hAnsi="Times New Roman;sans-serif"/>
          <w:b/>
          <w:color w:val="000000"/>
          <w:sz w:val="22"/>
        </w:rPr>
        <w:t>Binding Effect</w:t>
      </w:r>
      <w:r>
        <w:rPr>
          <w:rFonts w:ascii="Times New Roman;sans-serif" w:hAnsi="Times New Roman;sans-serif"/>
          <w:b w:val="false"/>
          <w:color w:val="000000"/>
          <w:sz w:val="22"/>
        </w:rPr>
        <w:t xml:space="preserve">. This Agreement and each of the Loan Documents have been duly executed and delivered by each Loan Party which is a party thereto and constitute legal, valid and binding obligations of each Loan Party party thereto enforceable in accordance with their respective terms,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367665"/>
                <wp:effectExtent l="0" t="0" r="0" b="0"/>
                <wp:wrapNone/>
                <wp:docPr id="295" name="Frame29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122</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subject, as to the enforcement of remedies, to applicable bankruptcy, reorganization, insolvency, moratorium and similar Laws affecting creditors’ rights generally and general principles of equity.</w:t>
      </w:r>
    </w:p>
    <w:p>
      <w:pPr>
        <w:pStyle w:val="TextBody"/>
        <w:bidi w:val="0"/>
        <w:spacing w:lineRule="auto" w:line="240" w:before="0" w:after="240"/>
        <w:ind w:left="0" w:right="0" w:hanging="720"/>
        <w:jc w:val="both"/>
        <w:rPr/>
      </w:pPr>
      <w:r>
        <w:rPr>
          <w:rFonts w:ascii="Times New Roman;sans-serif" w:hAnsi="Times New Roman;sans-serif"/>
          <w:b/>
          <w:color w:val="000000"/>
          <w:sz w:val="22"/>
        </w:rPr>
        <w:t>5.05Financial Statements; No Material Adverse Effect</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Audited Financial Statements (i) were prepared in accordance with GAAP consistently applied throughout the period covered thereby, except as otherwise expressly noted therein; and (ii) fairly present in all material respects the financial condition of the Company and its Subsidiaries as of the date thereof and their results of operations for the period covered thereby in accordance with GAAP consistently applied throughout the period covered thereby, except as otherwise expressly noted therein.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The unaudited consolidated balance sheets of the Company and its Subsidiaries dated June 30, 2023,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in all material respects the financial condition of the Company and its Subsidiaries as of the date thereof and their results of operations for the period covered thereby, subject, in the case of clauses (i) and (ii), to the absence of footnotes and to normal year-end audit adjustments.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Since the date of the Audited Financial Statements, there has been no event or circumstance, either individually or in the aggregate, that has had or could reasonably be expected to have a Material Adverse Effect.</w:t>
      </w:r>
    </w:p>
    <w:p>
      <w:pPr>
        <w:pStyle w:val="TextBody"/>
        <w:bidi w:val="0"/>
        <w:spacing w:lineRule="auto" w:line="240" w:before="0" w:after="240"/>
        <w:ind w:left="0" w:right="0" w:firstLine="720"/>
        <w:jc w:val="both"/>
        <w:rPr/>
      </w:pPr>
      <w:r>
        <w:rPr>
          <w:rFonts w:ascii="Times New Roman;sans-serif" w:hAnsi="Times New Roman;sans-serif"/>
          <w:b/>
          <w:color w:val="000000"/>
          <w:sz w:val="22"/>
        </w:rPr>
        <w:t>5.06</w:t>
      </w:r>
      <w:r>
        <w:rPr>
          <w:rFonts w:ascii="Times New Roman;sans-serif" w:hAnsi="Times New Roman;sans-serif"/>
          <w:b/>
          <w:color w:val="000000"/>
          <w:sz w:val="22"/>
        </w:rPr>
        <w:t>Litigation</w:t>
      </w:r>
      <w:r>
        <w:rPr>
          <w:rFonts w:ascii="Times New Roman;sans-serif" w:hAnsi="Times New Roman;sans-serif"/>
          <w:b w:val="false"/>
          <w:color w:val="000000"/>
          <w:sz w:val="22"/>
        </w:rPr>
        <w:t xml:space="preserve">. There are no actions, suits, proceedings, claims or disputes pending or, to the knowledge of the Company after due and diligent investigation, threatened or contemplated, at law, in equity, in arbitration or before any Governmental Authority, by or against the Company or any of its Subsidiaries or against any of their properties or revenues that (a) purport to affect or pertain to this Agreement or any other Loan Document, or any of the transactions contemplated hereby, or (b) except as specifically disclosed in </w:t>
      </w:r>
      <w:r>
        <w:rPr>
          <w:rFonts w:ascii="Times New Roman;sans-serif" w:hAnsi="Times New Roman;sans-serif"/>
          <w:b w:val="false"/>
          <w:color w:val="000000"/>
          <w:sz w:val="22"/>
          <w:u w:val="single"/>
        </w:rPr>
        <w:t>Schedule 5.06</w:t>
      </w:r>
      <w:r>
        <w:rPr>
          <w:rFonts w:ascii="Times New Roman;sans-serif" w:hAnsi="Times New Roman;sans-serif"/>
          <w:b w:val="false"/>
          <w:color w:val="000000"/>
          <w:sz w:val="22"/>
        </w:rPr>
        <w:t>, either individually or in the aggregate, could reasonably be expected to have a Material Adverse Effect.</w:t>
      </w:r>
    </w:p>
    <w:p>
      <w:pPr>
        <w:pStyle w:val="TextBody"/>
        <w:bidi w:val="0"/>
        <w:spacing w:lineRule="auto" w:line="240" w:before="0" w:after="240"/>
        <w:ind w:left="0" w:right="0" w:firstLine="720"/>
        <w:jc w:val="both"/>
        <w:rPr/>
      </w:pPr>
      <w:r>
        <w:rPr>
          <w:rFonts w:ascii="Times New Roman;sans-serif" w:hAnsi="Times New Roman;sans-serif"/>
          <w:b/>
          <w:color w:val="000000"/>
          <w:sz w:val="22"/>
        </w:rPr>
        <w:t>5.07</w:t>
      </w:r>
      <w:r>
        <w:rPr>
          <w:rFonts w:ascii="Times New Roman;sans-serif" w:hAnsi="Times New Roman;sans-serif"/>
          <w:b/>
          <w:color w:val="000000"/>
          <w:sz w:val="22"/>
        </w:rPr>
        <w:t>No Default</w:t>
      </w:r>
      <w:r>
        <w:rPr>
          <w:rFonts w:ascii="Times New Roman;sans-serif" w:hAnsi="Times New Roman;sans-serif"/>
          <w:b w:val="false"/>
          <w:color w:val="000000"/>
          <w:sz w:val="22"/>
        </w:rPr>
        <w:t>. Neither any Loan Party nor any Subsidiary thereof (other than the Specified Insurance Subsidiaries) is in default under or with respect to any Contractual Obligation that could, either individually or in the aggregate, reasonably be expected to have a Material Adverse Effect. No Default has occurred and is continuing or would result from the consummation of the transactions contemplated by this Agreement or any other Loan Document.</w:t>
      </w:r>
    </w:p>
    <w:p>
      <w:pPr>
        <w:pStyle w:val="TextBody"/>
        <w:bidi w:val="0"/>
        <w:spacing w:lineRule="auto" w:line="240" w:before="0" w:after="240"/>
        <w:ind w:left="0" w:right="0" w:firstLine="720"/>
        <w:jc w:val="both"/>
        <w:rPr/>
      </w:pPr>
      <w:r>
        <w:rPr>
          <w:rFonts w:ascii="Times New Roman;sans-serif" w:hAnsi="Times New Roman;sans-serif"/>
          <w:b/>
          <w:color w:val="000000"/>
          <w:sz w:val="22"/>
        </w:rPr>
        <w:t>5.08</w:t>
      </w:r>
      <w:r>
        <w:rPr>
          <w:rFonts w:ascii="Times New Roman;sans-serif" w:hAnsi="Times New Roman;sans-serif"/>
          <w:b/>
          <w:color w:val="000000"/>
          <w:sz w:val="22"/>
        </w:rPr>
        <w:t>Ownership of Property; Liens</w:t>
      </w:r>
      <w:r>
        <w:rPr>
          <w:rFonts w:ascii="Times New Roman;sans-serif" w:hAnsi="Times New Roman;sans-serif"/>
          <w:b w:val="false"/>
          <w:color w:val="000000"/>
          <w:sz w:val="22"/>
        </w:rPr>
        <w:t xml:space="preserve">. (a) Each of the Company and each Subsidiary (other than the Specified Insurance Subsidiaries) has good record and marketable title in fee simple to, or valid leasehold interests in, all real property necessary or used in the ordinary conduct of its business, and (b) each of the Company and each Subsidiary (other than the Specified Insurance Subsidiaries) owns all property necessary in the operation of its business, except in each case for such defects in title or such failure to own or lease property as could not, individually or in the aggregate, reasonably be expected to have a Material Adverse Effect. The property of the Company and its Subsidiaries is subject to no Liens, other than Liens permitted by </w:t>
      </w:r>
      <w:r>
        <w:rPr>
          <w:rFonts w:ascii="Times New Roman;sans-serif" w:hAnsi="Times New Roman;sans-serif"/>
          <w:b w:val="false"/>
          <w:color w:val="000000"/>
          <w:sz w:val="22"/>
          <w:u w:val="single"/>
        </w:rPr>
        <w:t>Section 7.02</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color w:val="000000"/>
          <w:sz w:val="22"/>
        </w:rPr>
        <w:t>5.09</w:t>
      </w:r>
      <w:r>
        <w:rPr>
          <w:rFonts w:ascii="Times New Roman;sans-serif" w:hAnsi="Times New Roman;sans-serif"/>
          <w:b/>
          <w:color w:val="000000"/>
          <w:sz w:val="22"/>
        </w:rPr>
        <w:t>Environmental Compliance</w:t>
      </w:r>
      <w:r>
        <w:rPr>
          <w:rFonts w:ascii="Times New Roman;sans-serif" w:hAnsi="Times New Roman;sans-serif"/>
          <w:b w:val="false"/>
          <w:color w:val="000000"/>
          <w:sz w:val="22"/>
        </w:rPr>
        <w:t>. The Company and each of its Subsidiaries (other than the Specified Insurance Subsidiaries) has complied in all respects with all Environmental Laws except where the failure to comply could not be expected to have a Material Adverse Effect. Neither the Company nor any of its Subsidiaries (other than the Specified Insurance Subsidiaries) has received written notice of any failure so to comply except where the failure to comply could not be expected to have a Material Adverse Effect. Neither the Company nor any of its Subsidiaries (other than the Specified Insurance Subsidiaries) manages any hazardous wastes, hazardous substances, hazardous materials, toxic substances or toxic pollutants in a manner that violates any regulations promulgated pursuant to Environmental Laws except for any such violation that could not be expected to have a Material Adverse Effect.</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367665"/>
                <wp:effectExtent l="0" t="0" r="0" b="0"/>
                <wp:wrapNone/>
                <wp:docPr id="296" name="Frame29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123</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2"/>
        </w:rPr>
        <w:t>5.10</w:t>
      </w:r>
      <w:r>
        <w:rPr>
          <w:rFonts w:ascii="Times New Roman;sans-serif" w:hAnsi="Times New Roman;sans-serif"/>
          <w:b/>
          <w:color w:val="000000"/>
          <w:sz w:val="22"/>
        </w:rPr>
        <w:t>Insurance</w:t>
      </w:r>
      <w:r>
        <w:rPr>
          <w:rFonts w:ascii="Times New Roman;sans-serif" w:hAnsi="Times New Roman;sans-serif"/>
          <w:b w:val="false"/>
          <w:color w:val="000000"/>
          <w:sz w:val="22"/>
        </w:rPr>
        <w:t>. The properties of the Company and its Subsidiaries (other than the Specified Insurance Subsidiaries) are insured with financially sound and reputable insurance companies not Affiliates of the Company, in such amounts, with such deductibles and covering such risks as are customarily carried by companies engaged in similar businesses and owning similar properties in localities where the Company or the applicable Subsidiary operates.</w:t>
      </w:r>
    </w:p>
    <w:p>
      <w:pPr>
        <w:pStyle w:val="TextBody"/>
        <w:bidi w:val="0"/>
        <w:spacing w:lineRule="auto" w:line="240" w:before="0" w:after="240"/>
        <w:ind w:left="0" w:right="0" w:firstLine="720"/>
        <w:jc w:val="both"/>
        <w:rPr/>
      </w:pPr>
      <w:r>
        <w:rPr>
          <w:rFonts w:ascii="Times New Roman;sans-serif" w:hAnsi="Times New Roman;sans-serif"/>
          <w:b/>
          <w:color w:val="000000"/>
          <w:sz w:val="22"/>
        </w:rPr>
        <w:t>5.11</w:t>
      </w:r>
      <w:r>
        <w:rPr>
          <w:rFonts w:ascii="Times New Roman;sans-serif" w:hAnsi="Times New Roman;sans-serif"/>
          <w:b/>
          <w:color w:val="000000"/>
          <w:sz w:val="22"/>
        </w:rPr>
        <w:t>Taxes</w:t>
      </w:r>
      <w:r>
        <w:rPr>
          <w:rFonts w:ascii="Times New Roman;sans-serif" w:hAnsi="Times New Roman;sans-serif"/>
          <w:b w:val="false"/>
          <w:color w:val="000000"/>
          <w:sz w:val="22"/>
        </w:rPr>
        <w:t>. The Company and its Subsidiaries (other than the Specified Insurance Subsidiaries) have filed all Federal, state and other material tax returns required to be filed, and have paid, or have made adequate provision for payment of, all U.S. federal and material state and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or other appropriate provisions have been provided in accordance with GAAP. There is no proposed tax assessment against the Company or any Subsidiary (other than a Specified Insurance Subsidiary) that would, if made, be reasonably expected to have a Material Adverse Effect.</w:t>
      </w:r>
    </w:p>
    <w:p>
      <w:pPr>
        <w:pStyle w:val="TextBody"/>
        <w:bidi w:val="0"/>
        <w:spacing w:lineRule="auto" w:line="240" w:before="0" w:after="240"/>
        <w:ind w:left="0" w:right="0" w:hanging="720"/>
        <w:jc w:val="both"/>
        <w:rPr/>
      </w:pPr>
      <w:r>
        <w:rPr>
          <w:rFonts w:ascii="Times New Roman;sans-serif" w:hAnsi="Times New Roman;sans-serif"/>
          <w:b/>
          <w:color w:val="000000"/>
          <w:sz w:val="22"/>
        </w:rPr>
        <w:t>5.12ERISA Compliance</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Each Plan is in compliance in all material respects with the applicable provisions of ERISA, the Code and other Federal or state laws. Each Pension Plan that is intended to be a qualified plan under Section 401(a) of the Code has received a favorable determination letter from the Internal Revenue Service to the effect that the form of such Plan is qualified under Section 401(a) of the Code and the trust related thereto has been determined by the Internal Revenue Service to be exempt from federal income tax under Section 501(a) of the Code, or an application for such a letter is currently being processed by the Internal Revenue Service or, in the case of a Pension Plan that is maintained pursuant to the adoption of a master or prototype or volume submitter document, the sponsor of such master or prototype or volume submitter document has obtained from the Internal Revenue Service a favorable opinion letter stating that the form of such master or prototype or volume submitter document is acceptable for the establishment of a tax-qualified plan under Section 401(a) of the Code. To the best knowledge of the Company, nothing has occurred that would prevent or cause the loss of such tax-qualified status.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There are no pending or, to the best knowledge of the Company,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No ERISA Event has occurred that would reasonably be expected to result in a material liability, and neither the Company nor any ERISA Affiliate is aware of any fact, event or circumstance that could reasonably be expected to constitute or result in an ERISA event that would result in a material liability. Except to the extent the following would not reasonably be expected to have a Material Adverse Effect, (i) the Borrower and each ERISA Affiliate has met all applicable requirements under the Pension Funding Rules in respect of each Pension Plan, and no waiver of the minimum funding standards under the Pension Funding Rules has been applied for or obtained; (ii) as of the most recent valuation date for any Pension Plan, the funding target attainment percentage (as defined in Section 430(d)(2) of the Code) is 60% or higher and neither the Company nor any ERISA Affiliate knows of any facts or circumstances that could reasonably be expected to cause the funding target attainment percentage for any such plan to drop below 60% as of the most recent valuation date; (iii) neither the Company nor any ERISA Affiliate has incurred any liability to the PBGC other than for the payment of premiums, and there are no premium payments which have become due that are unpaid; (iv) neither the Company nor any ERISA Affiliate has engaged in a transaction that could be subject to Section 4069 or Section 4212(c) of ERISA; and (v) no Pension Plan has been terminated by the plan administrator thereof nor by the PBGC, and no event or circumstance has occurred or exists that could reasonably be expected to cause the PBGC to institute proceedings under Title IV of ERISA to terminate any Pension Plan.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Neither the Company or any ERISA Affiliate maintains or contributes to, or has any unsatisfied obligation to contribute to, or liability under, any active or terminated Pension Plan other than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367665"/>
                <wp:effectExtent l="0" t="0" r="0" b="0"/>
                <wp:wrapNone/>
                <wp:docPr id="297" name="Frame29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124</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(A) on the Closing Date, those listed on </w:t>
      </w:r>
      <w:r>
        <w:rPr>
          <w:rFonts w:ascii="Times New Roman;sans-serif" w:hAnsi="Times New Roman;sans-serif"/>
          <w:b w:val="false"/>
          <w:color w:val="000000"/>
          <w:sz w:val="22"/>
          <w:u w:val="single"/>
        </w:rPr>
        <w:t>Schedule 5.12(d)</w:t>
      </w:r>
      <w:r>
        <w:rPr>
          <w:color w:val="000000"/>
        </w:rPr>
        <w:t xml:space="preserve"> </w:t>
      </w:r>
      <w:r>
        <w:rPr>
          <w:rFonts w:ascii="Times New Roman;sans-serif" w:hAnsi="Times New Roman;sans-serif"/>
          <w:b w:val="false"/>
          <w:color w:val="000000"/>
          <w:sz w:val="22"/>
        </w:rPr>
        <w:t>hereto and (B) thereafter, Pension Plans not otherwise prohibited by this Agreement.</w:t>
      </w:r>
    </w:p>
    <w:p>
      <w:pPr>
        <w:pStyle w:val="TextBody"/>
        <w:bidi w:val="0"/>
        <w:spacing w:lineRule="auto" w:line="240" w:before="0" w:after="240"/>
        <w:ind w:left="0" w:right="0" w:firstLine="720"/>
        <w:jc w:val="both"/>
        <w:rPr/>
      </w:pPr>
      <w:r>
        <w:rPr>
          <w:rFonts w:ascii="Times New Roman;sans-serif" w:hAnsi="Times New Roman;sans-serif"/>
          <w:b/>
          <w:color w:val="000000"/>
          <w:sz w:val="22"/>
        </w:rPr>
        <w:t>5.13</w:t>
      </w:r>
      <w:r>
        <w:rPr>
          <w:rFonts w:ascii="Times New Roman;sans-serif" w:hAnsi="Times New Roman;sans-serif"/>
          <w:b/>
          <w:color w:val="000000"/>
          <w:sz w:val="22"/>
        </w:rPr>
        <w:t>Subsidiaries; Addresses; Equity Interests</w:t>
      </w:r>
      <w:r>
        <w:rPr>
          <w:rFonts w:ascii="Times New Roman;sans-serif" w:hAnsi="Times New Roman;sans-serif"/>
          <w:b w:val="false"/>
          <w:color w:val="000000"/>
          <w:sz w:val="22"/>
        </w:rPr>
        <w:t xml:space="preserve">. As of the Closing Date, the Company has no Subsidiaries other than those specifically disclosed in Part (a) of </w:t>
      </w:r>
      <w:r>
        <w:rPr>
          <w:rFonts w:ascii="Times New Roman;sans-serif" w:hAnsi="Times New Roman;sans-serif"/>
          <w:b w:val="false"/>
          <w:color w:val="000000"/>
          <w:sz w:val="22"/>
          <w:u w:val="single"/>
        </w:rPr>
        <w:t>Schedule 5.13</w:t>
      </w:r>
      <w:r>
        <w:rPr>
          <w:rFonts w:ascii="Times New Roman;sans-serif" w:hAnsi="Times New Roman;sans-serif"/>
          <w:b w:val="false"/>
          <w:color w:val="000000"/>
          <w:sz w:val="22"/>
        </w:rPr>
        <w:t xml:space="preserve">, and all of the outstanding Equity Interests in such Subsidiaries have been validly issued, and, to the extent applicable, are fully paid and nonassessable, and are owned by a Loan Party in the percentages specified on Part (a) of </w:t>
      </w:r>
      <w:r>
        <w:rPr>
          <w:rFonts w:ascii="Times New Roman;sans-serif" w:hAnsi="Times New Roman;sans-serif"/>
          <w:b w:val="false"/>
          <w:color w:val="000000"/>
          <w:sz w:val="22"/>
          <w:u w:val="single"/>
        </w:rPr>
        <w:t>Schedule 5.13</w:t>
      </w:r>
      <w:r>
        <w:rPr>
          <w:color w:val="000000"/>
        </w:rPr>
        <w:t xml:space="preserve"> </w:t>
      </w:r>
      <w:r>
        <w:rPr>
          <w:rFonts w:ascii="Times New Roman;sans-serif" w:hAnsi="Times New Roman;sans-serif"/>
          <w:b w:val="false"/>
          <w:color w:val="000000"/>
          <w:sz w:val="22"/>
        </w:rPr>
        <w:t xml:space="preserve">free and clear of all Liens (except for Liens permitted by </w:t>
      </w:r>
      <w:r>
        <w:rPr>
          <w:rFonts w:ascii="Times New Roman;sans-serif" w:hAnsi="Times New Roman;sans-serif"/>
          <w:b w:val="false"/>
          <w:color w:val="000000"/>
          <w:sz w:val="22"/>
          <w:u w:val="single"/>
        </w:rPr>
        <w:t>Section 7.02(a),</w:t>
      </w:r>
      <w:r>
        <w:rPr>
          <w:color w:val="000000"/>
        </w:rPr>
        <w:t xml:space="preserve"> </w:t>
      </w:r>
      <w:r>
        <w:rPr>
          <w:rFonts w:ascii="Times New Roman;sans-serif" w:hAnsi="Times New Roman;sans-serif"/>
          <w:b w:val="false"/>
          <w:color w:val="000000"/>
          <w:sz w:val="22"/>
          <w:u w:val="single"/>
        </w:rPr>
        <w:t>(c)</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(d)</w:t>
      </w:r>
      <w:r>
        <w:rPr>
          <w:rFonts w:ascii="Times New Roman;sans-serif" w:hAnsi="Times New Roman;sans-serif"/>
          <w:b w:val="false"/>
          <w:color w:val="000000"/>
          <w:sz w:val="22"/>
        </w:rPr>
        <w:t xml:space="preserve">, and transfer restrictions contained in the Franchise Agreements and the Framework Agreements). As of the Closing Date, the addresses set forth in </w:t>
      </w:r>
      <w:r>
        <w:rPr>
          <w:rFonts w:ascii="Times New Roman;sans-serif" w:hAnsi="Times New Roman;sans-serif"/>
          <w:b w:val="false"/>
          <w:color w:val="000000"/>
          <w:sz w:val="22"/>
          <w:u w:val="single"/>
        </w:rPr>
        <w:t>Schedule 5.13</w:t>
      </w:r>
      <w:r>
        <w:rPr>
          <w:color w:val="000000"/>
        </w:rPr>
        <w:t xml:space="preserve"> </w:t>
      </w:r>
      <w:r>
        <w:rPr>
          <w:rFonts w:ascii="Times New Roman;sans-serif" w:hAnsi="Times New Roman;sans-serif"/>
          <w:b w:val="false"/>
          <w:color w:val="000000"/>
          <w:sz w:val="22"/>
        </w:rPr>
        <w:t xml:space="preserve">are each Loan Party’s place of business and each Loan Party is formed or incorporated only in the state shown for it on </w:t>
      </w:r>
      <w:r>
        <w:rPr>
          <w:rFonts w:ascii="Times New Roman;sans-serif" w:hAnsi="Times New Roman;sans-serif"/>
          <w:b w:val="false"/>
          <w:color w:val="000000"/>
          <w:sz w:val="22"/>
          <w:u w:val="single"/>
        </w:rPr>
        <w:t>Schedule 5.13</w:t>
      </w:r>
      <w:r>
        <w:rPr>
          <w:color w:val="000000"/>
        </w:rPr>
        <w:t xml:space="preserve"> </w:t>
      </w:r>
      <w:r>
        <w:rPr>
          <w:rFonts w:ascii="Times New Roman;sans-serif" w:hAnsi="Times New Roman;sans-serif"/>
          <w:b w:val="false"/>
          <w:color w:val="000000"/>
          <w:sz w:val="22"/>
        </w:rPr>
        <w:t>hereto.</w:t>
      </w:r>
    </w:p>
    <w:p>
      <w:pPr>
        <w:pStyle w:val="TextBody"/>
        <w:bidi w:val="0"/>
        <w:spacing w:lineRule="auto" w:line="240" w:before="0" w:after="240"/>
        <w:ind w:left="0" w:right="0" w:hanging="720"/>
        <w:jc w:val="both"/>
        <w:rPr/>
      </w:pPr>
      <w:r>
        <w:rPr>
          <w:rFonts w:ascii="Times New Roman;sans-serif" w:hAnsi="Times New Roman;sans-serif"/>
          <w:b/>
          <w:color w:val="000000"/>
          <w:sz w:val="22"/>
        </w:rPr>
        <w:t>5.14Margin Regulations; Investment Company Act</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Neither the Company nor any Vehicle Borrower is engaged or will engage, principally or as one of its important activities, in the business of purchasing or carrying margin stock (within the meaning of Regulation U issued by the FRB) or extending credit for the purpose of purchasing or carrying margin stock.</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None of the Company, any Person Controlling the Company, or any Subsidiary is or is required to be registered as an “investment company” under the Investment Company Act of 1940.</w:t>
      </w:r>
    </w:p>
    <w:p>
      <w:pPr>
        <w:pStyle w:val="TextBody"/>
        <w:bidi w:val="0"/>
        <w:spacing w:lineRule="auto" w:line="240" w:before="0" w:after="240"/>
        <w:ind w:left="0" w:right="0" w:hanging="720"/>
        <w:jc w:val="both"/>
        <w:rPr/>
      </w:pPr>
      <w:r>
        <w:rPr>
          <w:rFonts w:ascii="Times New Roman;sans-serif" w:hAnsi="Times New Roman;sans-serif"/>
          <w:b/>
          <w:color w:val="000000"/>
          <w:sz w:val="22"/>
        </w:rPr>
        <w:t>5.15Disclosure</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Neither this Agreement, the other Loan Documents, nor any other document delivered by or with the knowledge and consent of the Company on behalf of the Company or any Subsidiary in connection with the transactions contemplated hereby and the negotiation of this Agreement or in connection with any Loan Document or included therein contained or contains when furnished any material misstatement of fact or omitted or omits to state any fact necessary to make the statements therein, in the light of the circumstances under which they were made, not materially misleading;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with respect to projected financial information, the Borrowers represent only that such information was prepared in good faith based upon assumptions believed to be reasonable at the time prepared, it being understood that projections by their nature are uncertain and no assurance is given that the results reflected in such projections will be achieved.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As of the Closing Date, the information included in the Beneficial Ownership Certification, if applicable, is true and correct in all respects.</w:t>
      </w:r>
    </w:p>
    <w:p>
      <w:pPr>
        <w:pStyle w:val="TextBody"/>
        <w:bidi w:val="0"/>
        <w:spacing w:lineRule="auto" w:line="240" w:before="0" w:after="240"/>
        <w:ind w:left="0" w:right="0" w:firstLine="720"/>
        <w:jc w:val="both"/>
        <w:rPr/>
      </w:pPr>
      <w:r>
        <w:rPr>
          <w:rFonts w:ascii="Times New Roman;sans-serif" w:hAnsi="Times New Roman;sans-serif"/>
          <w:b/>
          <w:color w:val="000000"/>
          <w:sz w:val="22"/>
        </w:rPr>
        <w:t>5.16</w:t>
      </w:r>
      <w:r>
        <w:rPr>
          <w:rFonts w:ascii="Times New Roman;sans-serif" w:hAnsi="Times New Roman;sans-serif"/>
          <w:b/>
          <w:color w:val="000000"/>
          <w:sz w:val="22"/>
        </w:rPr>
        <w:t>Compliance with Laws</w:t>
      </w:r>
      <w:r>
        <w:rPr>
          <w:rFonts w:ascii="Times New Roman;sans-serif" w:hAnsi="Times New Roman;sans-serif"/>
          <w:b w:val="false"/>
          <w:color w:val="000000"/>
          <w:sz w:val="22"/>
        </w:rPr>
        <w:t>. Each of the Company and each Subsidiary thereof (other than the Specified Insurance Subsidiaries) is in 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pStyle w:val="TextBody"/>
        <w:bidi w:val="0"/>
        <w:spacing w:lineRule="auto" w:line="240" w:before="0" w:after="240"/>
        <w:ind w:left="0" w:right="0" w:firstLine="720"/>
        <w:jc w:val="both"/>
        <w:rPr/>
      </w:pPr>
      <w:r>
        <w:rPr>
          <w:rFonts w:ascii="Times New Roman;sans-serif" w:hAnsi="Times New Roman;sans-serif"/>
          <w:b/>
          <w:color w:val="000000"/>
          <w:sz w:val="22"/>
        </w:rPr>
        <w:t>5.17</w:t>
      </w:r>
      <w:r>
        <w:rPr>
          <w:rFonts w:ascii="Times New Roman;sans-serif" w:hAnsi="Times New Roman;sans-serif"/>
          <w:b/>
          <w:color w:val="000000"/>
          <w:sz w:val="22"/>
        </w:rPr>
        <w:t>Intellectual Property; Licenses, Etc</w:t>
      </w:r>
      <w:r>
        <w:rPr>
          <w:rFonts w:ascii="Times New Roman;sans-serif" w:hAnsi="Times New Roman;sans-serif"/>
          <w:b w:val="false"/>
          <w:color w:val="000000"/>
          <w:sz w:val="22"/>
        </w:rPr>
        <w:t>. The Company and its Subsidiaries (other than the Specified Insurance Subsidiaries) own, or possess the right to use, all of the trademarks, service marks, trade names, copyrights, patents, patent rights, franchises, licenses and other intellectual property rights (collectively, “</w:t>
      </w:r>
      <w:r>
        <w:rPr>
          <w:rFonts w:ascii="Times New Roman;sans-serif" w:hAnsi="Times New Roman;sans-serif"/>
          <w:b w:val="false"/>
          <w:color w:val="000000"/>
          <w:sz w:val="22"/>
          <w:u w:val="single"/>
        </w:rPr>
        <w:t>IP Rights</w:t>
      </w:r>
      <w:r>
        <w:rPr>
          <w:color w:val="000000"/>
        </w:rPr>
        <w:t>”</w:t>
      </w:r>
      <w:r>
        <w:rPr>
          <w:rFonts w:ascii="Times New Roman;sans-serif" w:hAnsi="Times New Roman;sans-serif"/>
          <w:b w:val="false"/>
          <w:color w:val="000000"/>
          <w:sz w:val="22"/>
        </w:rPr>
        <w:t>) that are reasonably necessary for the operation of their respective businesses, without conflict with the rights of any other Person, except to the extent such conflict would not reasonably be expected to result in a Material Adverse Effect. No slogan or other advertising device, product, process, method, substance, part or other material now employed, or now contemplated to be employed, by the Company or any Subsidiary infringes upon any rights held by any other Person in a manner that would reasonably be expected to result in a Material Adverse Effect.</w:t>
      </w:r>
    </w:p>
    <w:p>
      <w:pPr>
        <w:pStyle w:val="TextBody"/>
        <w:bidi w:val="0"/>
        <w:spacing w:lineRule="auto" w:line="240" w:before="0" w:after="240"/>
        <w:ind w:left="0" w:right="0" w:firstLine="720"/>
        <w:jc w:val="both"/>
        <w:rPr/>
      </w:pPr>
      <w:r>
        <w:rPr>
          <w:rFonts w:ascii="Times New Roman;sans-serif" w:hAnsi="Times New Roman;sans-serif"/>
          <w:b/>
          <w:color w:val="000000"/>
          <w:sz w:val="22"/>
        </w:rPr>
        <w:t>5.18</w:t>
      </w:r>
      <w:r>
        <w:rPr>
          <w:rFonts w:ascii="Times New Roman;sans-serif" w:hAnsi="Times New Roman;sans-serif"/>
          <w:b/>
          <w:color w:val="000000"/>
          <w:sz w:val="22"/>
        </w:rPr>
        <w:t>Location of Vehicles and Books and Records</w:t>
      </w:r>
      <w:r>
        <w:rPr>
          <w:rFonts w:ascii="Times New Roman;sans-serif" w:hAnsi="Times New Roman;sans-serif"/>
          <w:b w:val="false"/>
          <w:color w:val="000000"/>
          <w:sz w:val="22"/>
        </w:rPr>
        <w:t xml:space="preserve">. As of the Closing Date, the locations (and addresses) set forth in </w:t>
      </w:r>
      <w:r>
        <w:rPr>
          <w:rFonts w:ascii="Times New Roman;sans-serif" w:hAnsi="Times New Roman;sans-serif"/>
          <w:b w:val="false"/>
          <w:color w:val="000000"/>
          <w:sz w:val="22"/>
          <w:u w:val="single"/>
        </w:rPr>
        <w:t>Schedule 5.18</w:t>
      </w:r>
      <w:r>
        <w:rPr>
          <w:color w:val="000000"/>
        </w:rPr>
        <w:t xml:space="preserve"> </w:t>
      </w:r>
      <w:r>
        <w:rPr>
          <w:rFonts w:ascii="Times New Roman;sans-serif" w:hAnsi="Times New Roman;sans-serif"/>
          <w:b w:val="false"/>
          <w:color w:val="000000"/>
          <w:sz w:val="22"/>
        </w:rPr>
        <w:t xml:space="preserve">are all the locations at which the Company and its Subsidiaries keep the Vehicles held as inventory, except for times when such Vehicles may, in the ordinary course of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367665"/>
                <wp:effectExtent l="0" t="0" r="0" b="0"/>
                <wp:wrapNone/>
                <wp:docPr id="298" name="Frame29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125</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business, be (a) in transit between locations, (b) in transit for “dealer trades”, (c) being test driven by potential customers or (d) being repaired at a repair shop, and in each such instance described in clauses (a) through (d) the Company maintains records with the location of the Vehicle and, where applicable, the name of, and such other relevant information as is standard in the industry with respect to, the dealer involved in such a dealer trade (or the customer test driving such Vehicle). Each of the Company and each Subsidiary (other than the Specified Insurance Subsidiaries) maintains proper books of record and account, in which full, true and correct entries in conformity with GAAP consistently applied have been made of all financial transactions and matters involving the assets and business of the Company or such Subsidiary, as the case may be.</w:t>
      </w:r>
    </w:p>
    <w:p>
      <w:pPr>
        <w:pStyle w:val="TextBody"/>
        <w:bidi w:val="0"/>
        <w:spacing w:lineRule="auto" w:line="240" w:before="0" w:after="240"/>
        <w:ind w:left="0" w:right="0" w:firstLine="720"/>
        <w:jc w:val="both"/>
        <w:rPr/>
      </w:pPr>
      <w:r>
        <w:rPr>
          <w:rFonts w:ascii="Times New Roman;sans-serif" w:hAnsi="Times New Roman;sans-serif"/>
          <w:b/>
          <w:color w:val="000000"/>
          <w:sz w:val="22"/>
        </w:rPr>
        <w:t>5.19</w:t>
      </w:r>
      <w:r>
        <w:rPr>
          <w:rFonts w:ascii="Times New Roman;sans-serif" w:hAnsi="Times New Roman;sans-serif"/>
          <w:b/>
          <w:color w:val="000000"/>
          <w:sz w:val="22"/>
        </w:rPr>
        <w:t>Franchise Agreements and Framework Agreements</w:t>
      </w:r>
      <w:r>
        <w:rPr>
          <w:rFonts w:ascii="Times New Roman;sans-serif" w:hAnsi="Times New Roman;sans-serif"/>
          <w:b w:val="false"/>
          <w:color w:val="000000"/>
          <w:sz w:val="22"/>
        </w:rPr>
        <w:t xml:space="preserve">. Each of the Franchise Agreements and Framework Agreements is currently in full force and effect, and as of the Closing Date no Loan Party has received any notice of termination with respect to any such agreements; and, except as disclosed on </w:t>
      </w:r>
      <w:r>
        <w:rPr>
          <w:rFonts w:ascii="Times New Roman;sans-serif" w:hAnsi="Times New Roman;sans-serif"/>
          <w:b w:val="false"/>
          <w:color w:val="000000"/>
          <w:sz w:val="22"/>
          <w:u w:val="single"/>
        </w:rPr>
        <w:t>Schedule 5.19</w:t>
      </w:r>
      <w:r>
        <w:rPr>
          <w:rFonts w:ascii="Times New Roman;sans-serif" w:hAnsi="Times New Roman;sans-serif"/>
          <w:b w:val="false"/>
          <w:color w:val="000000"/>
          <w:sz w:val="22"/>
        </w:rPr>
        <w:t>, no Loan Party is aware of any event which with notice, lapse of time, or both would allow any manufacturer which is a party to any of the Franchise Agreements or Framework Agreements to terminate any such agreements. There exists no present condition or state of facts or circumstances in regard to said Franchise Agreements or Framework Agreements, in the aggregate, which would reasonably be expected to have a Material Adverse Effect.</w:t>
      </w:r>
    </w:p>
    <w:p>
      <w:pPr>
        <w:pStyle w:val="TextBody"/>
        <w:bidi w:val="0"/>
        <w:spacing w:lineRule="auto" w:line="240" w:before="0" w:after="240"/>
        <w:ind w:left="0" w:right="0" w:firstLine="720"/>
        <w:jc w:val="both"/>
        <w:rPr/>
      </w:pPr>
      <w:r>
        <w:rPr>
          <w:rFonts w:ascii="Times New Roman;sans-serif" w:hAnsi="Times New Roman;sans-serif"/>
          <w:b/>
          <w:color w:val="000000"/>
          <w:sz w:val="22"/>
        </w:rPr>
        <w:t>5.20</w:t>
      </w:r>
      <w:r>
        <w:rPr>
          <w:rFonts w:ascii="Times New Roman;sans-serif" w:hAnsi="Times New Roman;sans-serif"/>
          <w:b/>
          <w:color w:val="000000"/>
          <w:sz w:val="22"/>
        </w:rPr>
        <w:t>Engaged in Business of Vehicle Sales and Related Businesses</w:t>
      </w:r>
      <w:r>
        <w:rPr>
          <w:rFonts w:ascii="Times New Roman;sans-serif" w:hAnsi="Times New Roman;sans-serif"/>
          <w:b w:val="false"/>
          <w:color w:val="000000"/>
          <w:sz w:val="22"/>
        </w:rPr>
        <w:t xml:space="preserve">. Neither the Company nor any other Borrower is engaged in any business in any material respect other than the business of (a) selling Vehicles and business activities that are reasonably related or incidental thereto, including, without limitation, the offering and/or selling of parts and service, including vehicle repair and maintenance services, replacement parts, and collision repair services, and finance and insurance products, including arranging vehicle financing through third parties and aftermarket products, such as extended service contracts, guaranteed asset protection insurance, prepaid maintenance, and credit life and disability insurance and (b) acquiring, owning, operating and, in some cases, selling dealerships engaged in such businesses;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such insurance products described in clause (a) shall require the Company or any of its Subsidiaries to assume the risk of loss in respect of such policies.</w:t>
      </w:r>
    </w:p>
    <w:p>
      <w:pPr>
        <w:pStyle w:val="TextBody"/>
        <w:bidi w:val="0"/>
        <w:spacing w:lineRule="auto" w:line="240" w:before="0" w:after="240"/>
        <w:ind w:left="0" w:right="0" w:firstLine="720"/>
        <w:jc w:val="both"/>
        <w:rPr/>
      </w:pPr>
      <w:r>
        <w:rPr>
          <w:rFonts w:ascii="Times New Roman;sans-serif" w:hAnsi="Times New Roman;sans-serif"/>
          <w:b/>
          <w:color w:val="000000"/>
          <w:sz w:val="22"/>
        </w:rPr>
        <w:t>5.21</w:t>
      </w:r>
      <w:r>
        <w:rPr>
          <w:rFonts w:ascii="Times New Roman;sans-serif" w:hAnsi="Times New Roman;sans-serif"/>
          <w:b/>
          <w:color w:val="000000"/>
          <w:sz w:val="22"/>
        </w:rPr>
        <w:t>Collateral</w:t>
      </w:r>
      <w:r>
        <w:rPr>
          <w:rFonts w:ascii="Times New Roman;sans-serif" w:hAnsi="Times New Roman;sans-serif"/>
          <w:b w:val="false"/>
          <w:color w:val="000000"/>
          <w:sz w:val="22"/>
        </w:rPr>
        <w:t>. The provisions of each of the Security Instruments are effective to create in favor of the Administrative Agent for the benefit of the Secured Parties, a legal, valid and enforceable perfected security interest in all right, title and interest of each applicable Loan Party in the Collateral described therein, except as otherwise permitted hereunder. For the avoidance of doubt, in no event shall the Collateral include (i) any asset of any Foreign Subsidiary or (ii) voting Equity Interests in any Foreign Subsidiary representing more than 65% of the voting Equity Interests of such Foreign Subsidiary.</w:t>
      </w:r>
    </w:p>
    <w:p>
      <w:pPr>
        <w:pStyle w:val="TextBody"/>
        <w:bidi w:val="0"/>
        <w:spacing w:lineRule="auto" w:line="240" w:before="0" w:after="240"/>
        <w:ind w:left="0" w:right="0" w:firstLine="720"/>
        <w:jc w:val="both"/>
        <w:rPr/>
      </w:pPr>
      <w:r>
        <w:rPr>
          <w:rFonts w:ascii="Times New Roman;sans-serif" w:hAnsi="Times New Roman;sans-serif"/>
          <w:b/>
          <w:color w:val="000000"/>
          <w:sz w:val="22"/>
        </w:rPr>
        <w:t>5.22</w:t>
      </w:r>
      <w:r>
        <w:rPr>
          <w:rFonts w:ascii="Times New Roman;sans-serif" w:hAnsi="Times New Roman;sans-serif"/>
          <w:b/>
          <w:color w:val="000000"/>
          <w:sz w:val="22"/>
        </w:rPr>
        <w:t>Solvency</w:t>
      </w:r>
      <w:r>
        <w:rPr>
          <w:rFonts w:ascii="Times New Roman;sans-serif" w:hAnsi="Times New Roman;sans-serif"/>
          <w:b w:val="false"/>
          <w:color w:val="000000"/>
          <w:sz w:val="22"/>
        </w:rPr>
        <w:t>. Both immediately before and after giving effect to the Loans hereunder, the Company individually is Solvent, and the Loan Parties taken as a whole are Solvent.</w:t>
      </w:r>
    </w:p>
    <w:p>
      <w:pPr>
        <w:pStyle w:val="TextBody"/>
        <w:bidi w:val="0"/>
        <w:spacing w:lineRule="auto" w:line="240" w:before="0" w:after="240"/>
        <w:ind w:left="0" w:right="0" w:firstLine="720"/>
        <w:jc w:val="both"/>
        <w:rPr/>
      </w:pPr>
      <w:r>
        <w:rPr>
          <w:rFonts w:ascii="Times New Roman;sans-serif" w:hAnsi="Times New Roman;sans-serif"/>
          <w:b/>
          <w:color w:val="000000"/>
          <w:sz w:val="22"/>
        </w:rPr>
        <w:t>5.23</w:t>
      </w:r>
      <w:r>
        <w:rPr>
          <w:rFonts w:ascii="Times New Roman;sans-serif" w:hAnsi="Times New Roman;sans-serif"/>
          <w:b/>
          <w:color w:val="000000"/>
          <w:sz w:val="22"/>
        </w:rPr>
        <w:t>Labor Matters</w:t>
      </w:r>
      <w:r>
        <w:rPr>
          <w:rFonts w:ascii="Times New Roman;sans-serif" w:hAnsi="Times New Roman;sans-serif"/>
          <w:b w:val="false"/>
          <w:color w:val="000000"/>
          <w:sz w:val="22"/>
        </w:rPr>
        <w:t>. As of the Closing Date, to the Company’s and its Subsidiaries’ (other than the Specified Insurance Subsidiaries’) knowledge, there are no material labor disputes to which the Company or any of its Subsidiaries (other than the Specified Insurance Subsidiaries) are or are reasonably expected to become a party, including, without limitation, any strikes, lockouts or other disputes relating to such Persons’ plants and other facilities.</w:t>
      </w:r>
    </w:p>
    <w:p>
      <w:pPr>
        <w:pStyle w:val="TextBody"/>
        <w:bidi w:val="0"/>
        <w:spacing w:lineRule="auto" w:line="240" w:before="0" w:after="240"/>
        <w:ind w:left="0" w:right="0" w:firstLine="720"/>
        <w:jc w:val="both"/>
        <w:rPr/>
      </w:pPr>
      <w:r>
        <w:rPr>
          <w:rFonts w:ascii="Times New Roman;sans-serif" w:hAnsi="Times New Roman;sans-serif"/>
          <w:b/>
          <w:color w:val="000000"/>
          <w:sz w:val="22"/>
        </w:rPr>
        <w:t>5.24</w:t>
      </w:r>
      <w:r>
        <w:rPr>
          <w:rFonts w:ascii="Times New Roman;sans-serif" w:hAnsi="Times New Roman;sans-serif"/>
          <w:b/>
          <w:color w:val="000000"/>
          <w:sz w:val="22"/>
        </w:rPr>
        <w:t>Taxpayer Identification Number</w:t>
      </w:r>
      <w:r>
        <w:rPr>
          <w:rFonts w:ascii="Times New Roman;sans-serif" w:hAnsi="Times New Roman;sans-serif"/>
          <w:b w:val="false"/>
          <w:color w:val="000000"/>
          <w:sz w:val="22"/>
        </w:rPr>
        <w:t xml:space="preserve">. The Company’s true and correct U.S. taxpayer identification number is set forth on </w:t>
      </w:r>
      <w:r>
        <w:rPr>
          <w:rFonts w:ascii="Times New Roman;sans-serif" w:hAnsi="Times New Roman;sans-serif"/>
          <w:b w:val="false"/>
          <w:color w:val="000000"/>
          <w:sz w:val="22"/>
          <w:u w:val="single"/>
        </w:rPr>
        <w:t>Schedule 10.02</w:t>
      </w:r>
      <w:r>
        <w:rPr>
          <w:rFonts w:ascii="Times New Roman;sans-serif" w:hAnsi="Times New Roman;sans-serif"/>
          <w:b w:val="false"/>
          <w:color w:val="000000"/>
          <w:sz w:val="22"/>
        </w:rPr>
        <w:t>.</w:t>
      </w:r>
    </w:p>
    <w:p>
      <w:pPr>
        <w:pStyle w:val="TextBody"/>
        <w:bidi w:val="0"/>
        <w:spacing w:lineRule="auto" w:line="240" w:before="0" w:after="0"/>
        <w:ind w:left="0" w:right="0" w:firstLine="720"/>
        <w:jc w:val="left"/>
        <w:rPr/>
      </w:pPr>
      <w:r>
        <w:rPr>
          <w:rFonts w:ascii="Times New Roman;sans-serif" w:hAnsi="Times New Roman;sans-serif"/>
          <w:b/>
          <w:color w:val="000000"/>
          <w:sz w:val="22"/>
        </w:rPr>
        <w:t>5.25</w:t>
      </w:r>
      <w:r>
        <w:rPr>
          <w:rFonts w:ascii="Times New Roman;sans-serif" w:hAnsi="Times New Roman;sans-serif"/>
          <w:b/>
          <w:color w:val="000000"/>
          <w:sz w:val="22"/>
        </w:rPr>
        <w:t>OFAC</w:t>
      </w:r>
      <w:r>
        <w:rPr>
          <w:rFonts w:ascii="Times New Roman;sans-serif" w:hAnsi="Times New Roman;sans-serif"/>
          <w:b w:val="false"/>
          <w:color w:val="000000"/>
          <w:sz w:val="22"/>
        </w:rPr>
        <w:t>. No Borrower, nor any of their respective Subsidiaries, nor, to the knowledge of any Borrower and their respective Subsidiaries (in each case, other than the Specified Insurance Subsidiaries), any director, officer, employee, agent, affiliate or representative thereof, is an individual or entity currently the subject of any Sanctions or included on OFAC’s List of Specially Designated Nationals, HMT’s Consolidated List of Financial Sanctions Targets and the Investment Ban List, or any similar list enforced by any other relevant sanctions authority, nor is any Borrower or any Subsidiary located, organized or resident in a Designated Jurisdiction.</w:t>
      </w:r>
    </w:p>
    <w:p>
      <w:pPr>
        <w:pStyle w:val="TextBody"/>
        <w:bidi w:val="0"/>
        <w:ind w:left="0" w:right="0" w:firstLine="720"/>
        <w:jc w:val="left"/>
        <w:rPr/>
      </w:pPr>
      <w:r>
        <w:rPr/>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367665"/>
                <wp:effectExtent l="0" t="0" r="0" b="0"/>
                <wp:wrapNone/>
                <wp:docPr id="299" name="Frame29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126</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2"/>
        </w:rPr>
        <w:t>5.26</w:t>
      </w:r>
      <w:r>
        <w:rPr>
          <w:rFonts w:ascii="Times New Roman;sans-serif" w:hAnsi="Times New Roman;sans-serif"/>
          <w:b/>
          <w:color w:val="000000"/>
          <w:sz w:val="22"/>
        </w:rPr>
        <w:t>Anti-Corruption Laws</w:t>
      </w:r>
      <w:r>
        <w:rPr>
          <w:rFonts w:ascii="Times New Roman;sans-serif" w:hAnsi="Times New Roman;sans-serif"/>
          <w:b w:val="false"/>
          <w:color w:val="000000"/>
          <w:sz w:val="22"/>
        </w:rPr>
        <w:t>. Each Borrower and its Subsidiaries (other than the Specified Insurance Subsidiaries) have conducted their businesses in material compliance with the United States Foreign Corrupt Practices Act of 1977 and other similar anti-corruption legislation in other jurisdictions that are applicable to any Borrower or its Subsidiaries (other than the Specified Insurance Subsidiaries) (including, if applicable, the UK Bribery Act 2010), and have instituted and maintained policies and procedures designed to promote and achieve compliance with such laws.</w:t>
      </w:r>
    </w:p>
    <w:p>
      <w:pPr>
        <w:pStyle w:val="TextBody"/>
        <w:bidi w:val="0"/>
        <w:spacing w:lineRule="auto" w:line="240" w:before="0" w:after="240"/>
        <w:ind w:left="0" w:right="0" w:hanging="720"/>
        <w:jc w:val="both"/>
        <w:rPr/>
      </w:pPr>
      <w:r>
        <w:rPr>
          <w:rFonts w:ascii="Times New Roman;sans-serif" w:hAnsi="Times New Roman;sans-serif"/>
          <w:b/>
          <w:color w:val="000000"/>
          <w:sz w:val="22"/>
        </w:rPr>
        <w:t>5.27Affected Financial Institutions.</w:t>
      </w:r>
      <w:r>
        <w:rPr>
          <w:color w:val="000000"/>
        </w:rPr>
        <w:t xml:space="preserve"> </w:t>
      </w:r>
      <w:r>
        <w:rPr>
          <w:rFonts w:ascii="Times New Roman;sans-serif" w:hAnsi="Times New Roman;sans-serif"/>
          <w:b w:val="false"/>
          <w:color w:val="000000"/>
          <w:sz w:val="22"/>
        </w:rPr>
        <w:t>No Loan Party is an Affected Financial Institution.</w:t>
      </w:r>
    </w:p>
    <w:p>
      <w:pPr>
        <w:pStyle w:val="TextBody"/>
        <w:bidi w:val="0"/>
        <w:spacing w:lineRule="auto" w:line="240" w:before="0" w:after="240"/>
        <w:ind w:left="0" w:right="0" w:hanging="720"/>
        <w:jc w:val="both"/>
        <w:rPr/>
      </w:pPr>
      <w:r>
        <w:rPr>
          <w:rFonts w:ascii="Times New Roman;sans-serif" w:hAnsi="Times New Roman;sans-serif"/>
          <w:b/>
          <w:color w:val="000000"/>
          <w:sz w:val="22"/>
        </w:rPr>
        <w:t>5.28Covered Entities.</w:t>
      </w:r>
      <w:r>
        <w:rPr>
          <w:color w:val="000000"/>
        </w:rPr>
        <w:t xml:space="preserve"> </w:t>
      </w:r>
      <w:r>
        <w:rPr>
          <w:rFonts w:ascii="Times New Roman;sans-serif" w:hAnsi="Times New Roman;sans-serif"/>
          <w:b w:val="false"/>
          <w:color w:val="000000"/>
          <w:sz w:val="22"/>
        </w:rPr>
        <w:t>No Loan Party is a Covered Entity.</w:t>
      </w:r>
    </w:p>
    <w:p>
      <w:pPr>
        <w:pStyle w:val="TextBody"/>
        <w:bidi w:val="0"/>
        <w:spacing w:lineRule="auto" w:line="240" w:before="0" w:after="240"/>
        <w:jc w:val="center"/>
        <w:rPr/>
      </w:pPr>
      <w:r>
        <w:rPr>
          <w:rFonts w:ascii="Times New Roman;sans-serif" w:hAnsi="Times New Roman;sans-serif"/>
          <w:b/>
          <w:color w:val="000000"/>
          <w:sz w:val="22"/>
        </w:rPr>
        <w:t>ARTICLE VI.</w:t>
      </w:r>
      <w:r>
        <w:rPr>
          <w:color w:val="000000"/>
        </w:rPr>
        <w:t xml:space="preserve"> </w:t>
      </w:r>
      <w:r>
        <w:rPr>
          <w:rFonts w:ascii="Times New Roman;sans-serif" w:hAnsi="Times New Roman;sans-serif"/>
          <w:b/>
          <w:color w:val="000000"/>
          <w:sz w:val="22"/>
        </w:rPr>
        <w:t>AFFIRMATIVE COVENANTS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So long as any Lender shall have any Commitment hereunder, any Loan or other Obligation hereunder (other than Obligations consisting of continuing indemnities and other contingent Obligations that, in each case, expressly survive termination of this Agreement and for which no claim has been made against any Loan Party) shall remain unpaid or unsatisfied, or any Letter of Credit shall remain outstanding, the Company shall, and shall (except in the case of the covenants set forth in </w:t>
      </w:r>
      <w:r>
        <w:rPr>
          <w:rFonts w:ascii="Times New Roman;sans-serif" w:hAnsi="Times New Roman;sans-serif"/>
          <w:b w:val="false"/>
          <w:color w:val="000000"/>
          <w:sz w:val="22"/>
          <w:u w:val="single"/>
        </w:rPr>
        <w:t>Sections 6.01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6.02</w:t>
      </w:r>
      <w:r>
        <w:rPr>
          <w:rFonts w:ascii="Times New Roman;sans-serif" w:hAnsi="Times New Roman;sans-serif"/>
          <w:b w:val="false"/>
          <w:color w:val="000000"/>
          <w:sz w:val="22"/>
        </w:rPr>
        <w:t xml:space="preserve">, and </w:t>
      </w:r>
      <w:r>
        <w:rPr>
          <w:rFonts w:ascii="Times New Roman;sans-serif" w:hAnsi="Times New Roman;sans-serif"/>
          <w:b w:val="false"/>
          <w:color w:val="000000"/>
          <w:sz w:val="22"/>
          <w:u w:val="single"/>
        </w:rPr>
        <w:t>6.03</w:t>
      </w:r>
      <w:r>
        <w:rPr>
          <w:rFonts w:ascii="Times New Roman;sans-serif" w:hAnsi="Times New Roman;sans-serif"/>
          <w:b w:val="false"/>
          <w:color w:val="000000"/>
          <w:sz w:val="22"/>
        </w:rPr>
        <w:t xml:space="preserve">) cause each Subsidiary (other than, with respect to all covenants in this Article VI other than those contained in </w:t>
      </w:r>
      <w:r>
        <w:rPr>
          <w:rFonts w:ascii="Times New Roman;sans-serif" w:hAnsi="Times New Roman;sans-serif"/>
          <w:b w:val="false"/>
          <w:color w:val="000000"/>
          <w:sz w:val="22"/>
          <w:u w:val="single"/>
        </w:rPr>
        <w:t>Section 6.07</w:t>
      </w:r>
      <w:r>
        <w:rPr>
          <w:rFonts w:ascii="Times New Roman;sans-serif" w:hAnsi="Times New Roman;sans-serif"/>
          <w:b w:val="false"/>
          <w:color w:val="000000"/>
          <w:sz w:val="22"/>
        </w:rPr>
        <w:t>, the Specified Insurance Subsidiaries and any Designated Escrow Subsidiary) to:</w:t>
      </w:r>
    </w:p>
    <w:p>
      <w:pPr>
        <w:pStyle w:val="TextBody"/>
        <w:bidi w:val="0"/>
        <w:spacing w:lineRule="auto" w:line="240" w:before="0" w:after="240"/>
        <w:ind w:left="0" w:right="0" w:firstLine="720"/>
        <w:jc w:val="both"/>
        <w:rPr/>
      </w:pPr>
      <w:r>
        <w:rPr>
          <w:rFonts w:ascii="Times New Roman;sans-serif" w:hAnsi="Times New Roman;sans-serif"/>
          <w:b/>
          <w:color w:val="000000"/>
          <w:sz w:val="22"/>
        </w:rPr>
        <w:t>6.01</w:t>
      </w:r>
      <w:r>
        <w:rPr>
          <w:rFonts w:ascii="Times New Roman;sans-serif" w:hAnsi="Times New Roman;sans-serif"/>
          <w:b/>
          <w:color w:val="000000"/>
          <w:sz w:val="22"/>
        </w:rPr>
        <w:t>Financial Statements</w:t>
      </w:r>
      <w:r>
        <w:rPr>
          <w:rFonts w:ascii="Times New Roman;sans-serif" w:hAnsi="Times New Roman;sans-serif"/>
          <w:b w:val="false"/>
          <w:color w:val="000000"/>
          <w:sz w:val="22"/>
        </w:rPr>
        <w:t>. Deliver to the Administrative Agent and each Lender, in form and detail satisfactory to the Administrative Agent and the Required Lenders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item in clause (a) or (b) below which is filed with the SEC in accordance with SEC requirements shall be deemed to be satisfactory):</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as soon as available, but in any event within ninety (90) days after the end of each fiscal year of the Company (or if earlier, fifteen (15) days after the date required to be filed with the SEC):</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(i)an audited consolidated balance sheet of the Company and its Subsidiaries as at the end of such fiscal year, setting forth in comparative form the figures for the previous fiscal year, in reasonable detail and prepared in accordance with GAAP;</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(ii)if requested by the Administrative Agent, a consolidating balance sheet of the Company and its Subsidiaries as at the end of such fiscal year, with New Vehicle and Used Vehicle inventories designated, as well as associated lien payoffs, in each case prior to intercompany eliminations (and, upon request of the Administrative Agent, setting forth in comparative form the figures for the previous fiscal year), all in reasonable detail and prepared in accordance with GAAP, and accompanied by a combined balance sheet of the Subsidiaries that operate Ford or Lincoln dealerships as at the end of such fiscal year (and upon request of the Administrative Agent, setting forth in comparative form the figures for the previous fiscal year);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(iii)the related audited consolidated statement of income or operations for such fiscal year setting forth in each case in comparative form the figures for the previous fiscal year, all in reasonable detail and prepared in accordance with GAAP;</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(iv)if requested by the Administrative Agent, the related consolidating statements of income or operations for such fiscal year (and, upon request of the Administrative Agent, setting forth in comparative form the figures for the previous fiscal year), all in reasonable detail and prepared in accordance with GAAP, and accompanied by combined statements of income and operations of the Subsidiaries that operate Ford or Lincoln dealerships for such fiscal year (and upon request of the Administrative Agent, setting forth in comparative form the figures for the previous fiscal year); and</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367665"/>
                <wp:effectExtent l="0" t="0" r="0" b="0"/>
                <wp:wrapNone/>
                <wp:docPr id="300" name="Frame29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127</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(v)the related audited consolidated statements of stockholders’ equity and cash flows for such fiscal year setting forth in comparative form the figures for the previous fiscal year, all in reasonable detail and prepared in accordance with GAAP;</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such consolidated financial statements to be audited and accompanied by (x) a report and opinion of Ernst &amp; Young LLP or any other Registered Public Accounting Firm of nationally recognized standing reasonably acceptable to the Administrative Agent, which report and opinion shall be prepared in accordance with audit standards of the Public Company Accounting Oversight Board and applicable Securities Laws and shall not be subject to any “going concern” or like qualification or exception (other than a “going concern” statement, explanatory note or like qualification or exception resulting solely from the Maturity Date under this Agreement occurring within one year from the time such opinion is delivered) or any qualification or exception as to the scope of such audit;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as soon as available, but in any event within forty-five (45) days after the end of each of the first three fiscal quarters of each fiscal year of the Company (or if earlier, five days after the date required to be filed with the SEC):</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(i)an unaudited consolidated balance sheet of the Company and its Subsidiaries as at the end of such fiscal quarter, setting forth in comparative form the figures for the corresponding fiscal quarter of the previous fiscal year, in reasonable detail and prepared in accordance with GAAP;</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(ii)if requested by the Administrative Agent, a consolidating balance sheet of the Company and its Subsidiaries as at the end of such fiscal quarter, with New Vehicle and Used Vehicle inventories designated, as well as associated lien payoffs, in each case prior to intercompany eliminations (and, upon the request of the Administrative Agent, setting forth in comparative form the figures for the corresponding fiscal quarter of the previous fiscal year), all in reasonable detail and prepared in accordance with GAAP, and accompanied by a combined balance sheet of the Subsidiaries that operate Ford or Lincoln dealerships as at the end of such fiscal quarter (and upon request of the Administrative Agent, setting forth in comparative form the figures for the previous fiscal quarter);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(iii)the related unaudited consolidated statement of income or operations for the portion of the Company’s fiscal year then ended, setting forth in each case in comparative form the figures for the corresponding portion of the previous fiscal year, all in reasonable detail and prepared in accordance with GAAP;</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(iv)if requested by the Administrative Agent, the related consolidating statements of income or operations for the portion of the Company’s fiscal year then ended (and, upon the request of the Administrative Agent, setting forth in comparative form the figures for the corresponding portion of the previous fiscal year), all in reasonable detail and prepared in accordance with GAAP, and accompanied by combined statements of income and operations of the Subsidiaries that operate Ford or Lincoln dealerships for such portion of the fiscal year then ended (and upon request of the Administrative Agent, setting forth in comparative form the figures for the corresponding portion of the previous fiscal year); and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(v)the related unaudited consolidated statements of stockholders’ equity and cash flows for such fiscal quarter (and the portion of the Company’s fiscal year then ended) setting forth in comparative form the figures for the corresponding fiscal quarter (and portion) of the previous fiscal year, all in reasonable detail and prepared in accordance with GAAP;</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such consolidated and consolidating financial statements described in this </w:t>
      </w:r>
      <w:r>
        <w:rPr>
          <w:rFonts w:ascii="Times New Roman;sans-serif" w:hAnsi="Times New Roman;sans-serif"/>
          <w:b w:val="false"/>
          <w:color w:val="000000"/>
          <w:sz w:val="22"/>
          <w:u w:val="single"/>
        </w:rPr>
        <w:t>Section 6.01(b)</w:t>
      </w:r>
      <w:r>
        <w:rPr>
          <w:color w:val="000000"/>
        </w:rPr>
        <w:t xml:space="preserve"> </w:t>
      </w:r>
      <w:r>
        <w:rPr>
          <w:rFonts w:ascii="Times New Roman;sans-serif" w:hAnsi="Times New Roman;sans-serif"/>
          <w:b w:val="false"/>
          <w:color w:val="000000"/>
          <w:sz w:val="22"/>
        </w:rPr>
        <w:t xml:space="preserve">to be unaudited and certified by a Responsible Officer of the Company as fairly presenting the financial condition, results of operations, shareholders’ equity and cash flows of the Company and its Subsidiaries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367665"/>
                <wp:effectExtent l="0" t="0" r="0" b="0"/>
                <wp:wrapNone/>
                <wp:docPr id="301" name="Frame29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 accordance with GAAP, subject only to normal year-end audit adjustments and the absence of footnotes;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if requested by the Administrative Agent, as soon as available, but in any event within twenty (20) days after the end of each fiscal quarter (including the fourth quarter of each fiscal year) of the Company quarterly factory form financial statements for each Vehicle Borrower;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As to any information contained in materials furnished pursuant to </w:t>
      </w:r>
      <w:r>
        <w:rPr>
          <w:rFonts w:ascii="Times New Roman;sans-serif" w:hAnsi="Times New Roman;sans-serif"/>
          <w:b w:val="false"/>
          <w:color w:val="000000"/>
          <w:sz w:val="22"/>
          <w:u w:val="single"/>
        </w:rPr>
        <w:t>Section 6.02(f)</w:t>
      </w:r>
      <w:r>
        <w:rPr>
          <w:rFonts w:ascii="Times New Roman;sans-serif" w:hAnsi="Times New Roman;sans-serif"/>
          <w:b w:val="false"/>
          <w:color w:val="000000"/>
          <w:sz w:val="22"/>
        </w:rPr>
        <w:t>, the Company shall not be separately required to furnish such information under clause (a) or (b) above, but the foregoing shall not be in derogation of the obligation of the Company to furnish the information and materials described in clauses (a) and (b) above at the times specified therein.</w:t>
      </w:r>
    </w:p>
    <w:p>
      <w:pPr>
        <w:pStyle w:val="TextBody"/>
        <w:bidi w:val="0"/>
        <w:spacing w:lineRule="auto" w:line="240" w:before="0" w:after="240"/>
        <w:ind w:left="0" w:right="0" w:firstLine="720"/>
        <w:jc w:val="both"/>
        <w:rPr/>
      </w:pPr>
      <w:r>
        <w:rPr>
          <w:rFonts w:ascii="Times New Roman;sans-serif" w:hAnsi="Times New Roman;sans-serif"/>
          <w:b/>
          <w:color w:val="000000"/>
          <w:sz w:val="22"/>
        </w:rPr>
        <w:t>6.02</w:t>
      </w:r>
      <w:r>
        <w:rPr>
          <w:rFonts w:ascii="Times New Roman;sans-serif" w:hAnsi="Times New Roman;sans-serif"/>
          <w:b/>
          <w:color w:val="000000"/>
          <w:sz w:val="22"/>
        </w:rPr>
        <w:t>Certificates; Other Information</w:t>
      </w:r>
      <w:r>
        <w:rPr>
          <w:rFonts w:ascii="Times New Roman;sans-serif" w:hAnsi="Times New Roman;sans-serif"/>
          <w:b w:val="false"/>
          <w:color w:val="000000"/>
          <w:sz w:val="22"/>
        </w:rPr>
        <w:t>. Deliver to the Administrative Agent and each Lender, in form and detail satisfactory to the Administrative Agent: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Concurrently with:</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(i)the delivery of the financial statements referred to in </w:t>
      </w:r>
      <w:r>
        <w:rPr>
          <w:rFonts w:ascii="Times New Roman;sans-serif" w:hAnsi="Times New Roman;sans-serif"/>
          <w:b w:val="false"/>
          <w:color w:val="000000"/>
          <w:sz w:val="22"/>
          <w:u w:val="single"/>
        </w:rPr>
        <w:t>Section 6.01(a)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xml:space="preserve">, (A) a duly completed Compliance Certificate signed by a Responsible Officer of the Company, including the calculation of the financial covenants set forth in </w:t>
      </w:r>
      <w:r>
        <w:rPr>
          <w:rFonts w:ascii="Times New Roman;sans-serif" w:hAnsi="Times New Roman;sans-serif"/>
          <w:b w:val="false"/>
          <w:color w:val="000000"/>
          <w:sz w:val="22"/>
          <w:u w:val="single"/>
        </w:rPr>
        <w:t>Section 7.11(a)</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xml:space="preserve">, along with calculations of Restricted Payment availability and usage and the Consolidated Total Leverage Ratio in form and substance reasonably acceptable to the Administrative Agent, (B) a schedule (which such schedule may be included in the Compliance Certificate delivered with respect to such period) describing the entry of any final, non-appealable judgment or decree against the Company and/or any of its Subsidiaries if the aggregate amount of such judgment or decree exceeds $15,000,000 (after deducting the amount with respect to which the Company or such Subsidiary is insured and with respect to which the insurer has assumed the defense in writing and has not contested or denied its responsibility for such amount) and (C) a duly completed Revolving Borrowing Base Certificate signed by a Responsible Officer of the Company as at the end of the respective fiscal quarter or fiscal year,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any Event of Default shall have occurred and be continuing, the Company shall deliver such Revolving Borrowing Base Certificates, each signed by a Responsible Officer of the Company, at any other time requested by the Administrative Agent;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(ii)the delivery of the financial statements referred to in </w:t>
      </w:r>
      <w:r>
        <w:rPr>
          <w:rFonts w:ascii="Times New Roman;sans-serif" w:hAnsi="Times New Roman;sans-serif"/>
          <w:b w:val="false"/>
          <w:color w:val="000000"/>
          <w:sz w:val="22"/>
          <w:u w:val="single"/>
        </w:rPr>
        <w:t>Section 6.01(a)</w:t>
      </w:r>
      <w:r>
        <w:rPr>
          <w:rFonts w:ascii="Times New Roman;sans-serif" w:hAnsi="Times New Roman;sans-serif"/>
          <w:b w:val="false"/>
          <w:color w:val="000000"/>
          <w:sz w:val="22"/>
        </w:rPr>
        <w:t>, financial projections for the 12 months succeeding the date of such financial statements, such projections to be prepared by management of the Company, in form reasonably satisfactory to the Administrative Agent;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(iii)any event described herein requiring Pro Forma Compliance, to the extent otherwise required under </w:t>
      </w:r>
      <w:r>
        <w:rPr>
          <w:rFonts w:ascii="Times New Roman;sans-serif" w:hAnsi="Times New Roman;sans-serif"/>
          <w:b w:val="false"/>
          <w:color w:val="000000"/>
          <w:sz w:val="22"/>
          <w:u w:val="single"/>
        </w:rPr>
        <w:t>Section 7.04</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7.16</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7.19</w:t>
      </w:r>
      <w:r>
        <w:rPr>
          <w:rFonts w:ascii="Times New Roman;sans-serif" w:hAnsi="Times New Roman;sans-serif"/>
          <w:b w:val="false"/>
          <w:color w:val="000000"/>
          <w:sz w:val="22"/>
        </w:rPr>
        <w:t xml:space="preserve">, a duly completed Pro Forma Compliance Certificate (including the calculation of the financial covenants set forth in </w:t>
      </w:r>
      <w:r>
        <w:rPr>
          <w:rFonts w:ascii="Times New Roman;sans-serif" w:hAnsi="Times New Roman;sans-serif"/>
          <w:b w:val="false"/>
          <w:color w:val="000000"/>
          <w:sz w:val="22"/>
          <w:u w:val="single"/>
        </w:rPr>
        <w:t>Section 7.11(a)</w:t>
      </w:r>
      <w:r>
        <w:rPr>
          <w:color w:val="000000"/>
        </w:rPr>
        <w:t xml:space="preserve"> </w:t>
      </w:r>
      <w:r>
        <w:rPr>
          <w:rFonts w:ascii="Times New Roman;sans-serif" w:hAnsi="Times New Roman;sans-serif"/>
          <w:b w:val="false"/>
          <w:color w:val="000000"/>
          <w:sz w:val="22"/>
        </w:rPr>
        <w:t>and (b)), Pro Forma Revolving Borrowing Base Certificate, or Pro Forma Used Vehicle Floorplan Borrowing Base Certificate, as applicable, signed by a Responsible Officer of the Company;</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to other reporting requirements under this Agreement, if calculation of any financial ratio gives pro forma effect to any Material Disposition or Material Acquisition occurring during the relevant period or after the relevant period and on or prior to the date of determination, as described above and if (Y) the aggregate adjustment to Consolidated EBITDAR (as a result of all Material Dispositions and Material Acquisitions) either increases or decreases Consolidated EBITDAR for such period by at least 10% or (Z) the Administrative Agent requests such additional reporting, then (in the case of either clause (Y) or (Z)), the Company will provide additional financial reporting and compliance reporting segregating actual financial line items from pro forma line items for such period in a manner reasonably acceptable to the Administrative Agent.</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367665"/>
                <wp:effectExtent l="0" t="0" r="0" b="0"/>
                <wp:wrapNone/>
                <wp:docPr id="302" name="Frame29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129</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within twenty (20) days after the end of each calendar month, a duly completed Used Vehicle Floorplan Borrowing Base Certificate signed by a Responsible Officer of the Company as at the end of such calendar month;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any Event of Default shall have occurred and be continuing, the Company shall deliver such Used Vehicle Floorplan Borrowing Base Certificates, each signed by a Responsible Officer of the Company, at any other time requested by the Administrative Agent;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promptly upon the reasonable request of the Administrative Agent from time, receivables ageing reports and inventory and equipment listings, in either consolidated or consolidating format, including a detailed list of each Used Vehicle constituting Eligible Used Vehicle Inventory, stating the make, model, year and book value of each such Vehicle;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in the event of any Acquisition, the certificates and information required by </w:t>
      </w:r>
      <w:r>
        <w:rPr>
          <w:rFonts w:ascii="Times New Roman;sans-serif" w:hAnsi="Times New Roman;sans-serif"/>
          <w:b w:val="false"/>
          <w:color w:val="000000"/>
          <w:sz w:val="22"/>
          <w:u w:val="single"/>
        </w:rPr>
        <w:t>Section 7.19</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within a reasonable period of time after any reasonable request by the Administrative Agent, Vehicle Title Documentation and manufacturer/dealer statements;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promptly after the same are available, copies of each annual report, proxy or financial statement or other report or communication sent to the stockholders of the Company, and copies of all annual, regular, periodic and special reports and registration statements which the Company may file or be required to file with the SEC under Section 13 or 15(d) of the Securities Exchange Act of 1934, and not otherwise required to be delivered to the Administrative Agent pursuant 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promptly, and in any event within five Business Days after receipt thereof by any Loan Party or any Subsidiary thereof, copies of each material notice or other material correspondence received from the SEC (or comparable agency in any applicable non-U.S. jurisdiction) concerning any investigation or possible investigation by such agency regarding financial or other operational results of any Loan Party or any Subsidiary thereof;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[reserved];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in the event of any casualty loss or condemnation suffered by any Loan Party that has the effect of reducing either the Revolving Borrowing Base or the Used Vehicle Floorplan Borrowing Base by more than $35,000,000, an updated Revolving Borrowing Base Certificate or Used Vehicle Floorplan Borrowing Base Certificate, as applicable, reflecting such casualty loss or condemnation;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rPr>
        <w:t xml:space="preserve">in the event any real property is added to or removed from the Revolving Borrowing Base, an updated Revolving Borrowing Base Certificate reflecting such addition or removal, as applicable;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(k)</w:t>
      </w:r>
      <w:r>
        <w:rPr>
          <w:rFonts w:ascii="Times New Roman;sans-serif" w:hAnsi="Times New Roman;sans-serif"/>
          <w:b w:val="false"/>
          <w:color w:val="000000"/>
          <w:sz w:val="22"/>
        </w:rPr>
        <w:t xml:space="preserve">promptly following any request therefor, provide information and documentation reasonably requested by the Administrative Agent or any Lender for purposes of compliance with applicable “know your customer” and anti-money-laundering rules and regulations, including the PATRIOT Act and the Beneficial Ownership Regulation; and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(l)</w:t>
      </w:r>
      <w:r>
        <w:rPr>
          <w:rFonts w:ascii="Times New Roman;sans-serif" w:hAnsi="Times New Roman;sans-serif"/>
          <w:b w:val="false"/>
          <w:color w:val="000000"/>
          <w:sz w:val="22"/>
        </w:rPr>
        <w:t>promptly, such additional information regarding the business, financial or corporate affairs of the Company or any Subsidiary, or compliance with the terms of the Loan Documents, as the Administrative Agent or any Lender may from time to time reasonably request.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Documents required to be delivered pursuant to </w:t>
      </w:r>
      <w:r>
        <w:rPr>
          <w:rFonts w:ascii="Times New Roman;sans-serif" w:hAnsi="Times New Roman;sans-serif"/>
          <w:b w:val="false"/>
          <w:color w:val="000000"/>
          <w:sz w:val="22"/>
          <w:u w:val="single"/>
        </w:rPr>
        <w:t>Section 6.01(a)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(b)</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(c)</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6.02(f)</w:t>
      </w:r>
      <w:r>
        <w:rPr>
          <w:color w:val="000000"/>
        </w:rPr>
        <w:t xml:space="preserve"> </w:t>
      </w:r>
      <w:r>
        <w:rPr>
          <w:rFonts w:ascii="Times New Roman;sans-serif" w:hAnsi="Times New Roman;sans-serif"/>
          <w:b w:val="false"/>
          <w:color w:val="000000"/>
          <w:sz w:val="22"/>
        </w:rPr>
        <w:t xml:space="preserve">(to the extent any such documents are included in materials otherwise filed with the SEC) may be delivered electronically and if so delivered, shall be deemed to have been delivered on the date (i) on which the Company posts such documents, or provides a link thereto on the Company’s website on the Internet at the website address listed on </w:t>
      </w:r>
      <w:r>
        <w:rPr>
          <w:rFonts w:ascii="Times New Roman;sans-serif" w:hAnsi="Times New Roman;sans-serif"/>
          <w:b w:val="false"/>
          <w:color w:val="000000"/>
          <w:sz w:val="22"/>
          <w:u w:val="single"/>
        </w:rPr>
        <w:t>Schedule 10.02</w:t>
      </w:r>
      <w:r>
        <w:rPr>
          <w:rFonts w:ascii="Times New Roman;sans-serif" w:hAnsi="Times New Roman;sans-serif"/>
          <w:b w:val="false"/>
          <w:color w:val="000000"/>
          <w:sz w:val="22"/>
        </w:rPr>
        <w:t xml:space="preserve">; or (ii) on which such documents are posted on the Company’s behalf on an Internet or intranet website, if any, to which each Lender and the Administrative Agent have access (whether a commercial, third-party website or whether sponsored by the Administrative Agent);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Company shall notify the Administrative Agent and each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367665"/>
                <wp:effectExtent l="0" t="0" r="0" b="0"/>
                <wp:wrapNone/>
                <wp:docPr id="303" name="Frame29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Lender (by facsimile or electronic mail) of the posting of any such documents and provide to the Administrative Agent by electronic mail electronic versions (</w:t>
      </w:r>
      <w:r>
        <w:rPr>
          <w:rFonts w:ascii="Times New Roman;sans-serif" w:hAnsi="Times New Roman;sans-serif"/>
          <w:b w:val="false"/>
          <w:color w:val="000000"/>
          <w:sz w:val="22"/>
          <w:u w:val="single"/>
        </w:rPr>
        <w:t>i.e.</w:t>
      </w:r>
      <w:r>
        <w:rPr>
          <w:rFonts w:ascii="Times New Roman;sans-serif" w:hAnsi="Times New Roman;sans-serif"/>
          <w:b w:val="false"/>
          <w:color w:val="000000"/>
          <w:sz w:val="22"/>
        </w:rPr>
        <w:t>, soft copies) of such documents. The Administrative Agent shall have no obligation to request the delivery or to maintain copies of the documents referred to above, and in any event shall have no responsibility to monitor compliance by the Company with any such request for delivery, and each Lender shall be solely responsible for requesting delivery to it or maintaining its copies of such documents.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Each Borrower hereby acknowledges that (a) the Administrative Agent and/or the Arranger may, but shall not be obligated to, make available to the Lenders and the L/C Issuer materials and/or information provided by or on behalf of the Company or any Loan Party hereunder (collectively, “</w:t>
      </w:r>
      <w:r>
        <w:rPr>
          <w:rFonts w:ascii="Times New Roman;sans-serif" w:hAnsi="Times New Roman;sans-serif"/>
          <w:b w:val="false"/>
          <w:color w:val="000000"/>
          <w:sz w:val="22"/>
          <w:u w:val="single"/>
        </w:rPr>
        <w:t>Borrower Materials</w:t>
      </w:r>
      <w:r>
        <w:rPr>
          <w:color w:val="000000"/>
        </w:rPr>
        <w:t>”</w:t>
      </w:r>
      <w:r>
        <w:rPr>
          <w:rFonts w:ascii="Times New Roman;sans-serif" w:hAnsi="Times New Roman;sans-serif"/>
          <w:b w:val="false"/>
          <w:color w:val="000000"/>
          <w:sz w:val="22"/>
        </w:rPr>
        <w:t>) by posting the Borrower Materials on IntraLinks, SyndTrak, ClearPar or another similar electronic system (the “</w:t>
      </w:r>
      <w:r>
        <w:rPr>
          <w:rFonts w:ascii="Times New Roman;sans-serif" w:hAnsi="Times New Roman;sans-serif"/>
          <w:b w:val="false"/>
          <w:color w:val="000000"/>
          <w:sz w:val="22"/>
          <w:u w:val="single"/>
        </w:rPr>
        <w:t>Platform</w:t>
      </w:r>
      <w:r>
        <w:rPr>
          <w:color w:val="000000"/>
        </w:rPr>
        <w:t>”</w:t>
      </w:r>
      <w:r>
        <w:rPr>
          <w:rFonts w:ascii="Times New Roman;sans-serif" w:hAnsi="Times New Roman;sans-serif"/>
          <w:b w:val="false"/>
          <w:color w:val="000000"/>
          <w:sz w:val="22"/>
        </w:rPr>
        <w:t>) and (b) certain of the Lenders (each, a “</w:t>
      </w:r>
      <w:r>
        <w:rPr>
          <w:rFonts w:ascii="Times New Roman;sans-serif" w:hAnsi="Times New Roman;sans-serif"/>
          <w:b w:val="false"/>
          <w:color w:val="000000"/>
          <w:sz w:val="22"/>
          <w:u w:val="single"/>
        </w:rPr>
        <w:t>Public Lender</w:t>
      </w:r>
      <w:r>
        <w:rPr>
          <w:color w:val="000000"/>
        </w:rPr>
        <w:t>”</w:t>
      </w:r>
      <w:r>
        <w:rPr>
          <w:rFonts w:ascii="Times New Roman;sans-serif" w:hAnsi="Times New Roman;sans-serif"/>
          <w:b w:val="false"/>
          <w:color w:val="000000"/>
          <w:sz w:val="22"/>
        </w:rPr>
        <w:t>) may have personnel who do not wish to receive material non-public information with respect to the Company or its Affiliates, or the respective securities of any of the foregoing, and who may be engaged in investment and other market-related activities with respect to such Persons’ securities. Each Borrower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the Company and each Borrower shall be deemed to have authorized the Administrative Agent, the Arranger, the L/C Issuer and the Lenders to treat such Borrower Materials as not containing any material non-public information with respect to the Company and the other Borrowers or their respective securities for purposes of United States Federal and state securities laws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to the extent such Borrower Materials constitute Information, they shall be treated as set forth in </w:t>
      </w:r>
      <w:r>
        <w:rPr>
          <w:rFonts w:ascii="Times New Roman;sans-serif" w:hAnsi="Times New Roman;sans-serif"/>
          <w:b w:val="false"/>
          <w:color w:val="000000"/>
          <w:sz w:val="22"/>
          <w:u w:val="single"/>
        </w:rPr>
        <w:t>Section 10.07)</w:t>
      </w:r>
      <w:r>
        <w:rPr>
          <w:rFonts w:ascii="Times New Roman;sans-serif" w:hAnsi="Times New Roman;sans-serif"/>
          <w:b w:val="false"/>
          <w:color w:val="000000"/>
          <w:sz w:val="22"/>
        </w:rPr>
        <w:t>; (y) all Borrower Materials marked “PUBLIC” are permitted to be made available through a portion of the Platform designated “Public Side Information”; and (z) the Administrative Agent and the Arranger shall be entitled to treat any Borrower Materials that are not marked “PUBLIC” as being suitable only for posting on a portion of the Platform not designated “Public Side Information”.</w:t>
      </w:r>
    </w:p>
    <w:p>
      <w:pPr>
        <w:pStyle w:val="TextBody"/>
        <w:bidi w:val="0"/>
        <w:spacing w:lineRule="auto" w:line="240" w:before="0" w:after="240"/>
        <w:ind w:left="0" w:right="0" w:firstLine="720"/>
        <w:jc w:val="both"/>
        <w:rPr/>
      </w:pPr>
      <w:r>
        <w:rPr>
          <w:rFonts w:ascii="Times New Roman;sans-serif" w:hAnsi="Times New Roman;sans-serif"/>
          <w:b/>
          <w:color w:val="000000"/>
          <w:sz w:val="22"/>
        </w:rPr>
        <w:t>6.03</w:t>
      </w:r>
      <w:r>
        <w:rPr>
          <w:rFonts w:ascii="Times New Roman;sans-serif" w:hAnsi="Times New Roman;sans-serif"/>
          <w:b/>
          <w:color w:val="000000"/>
          <w:sz w:val="22"/>
        </w:rPr>
        <w:t>Notices</w:t>
      </w:r>
      <w:r>
        <w:rPr>
          <w:rFonts w:ascii="Times New Roman;sans-serif" w:hAnsi="Times New Roman;sans-serif"/>
          <w:b w:val="false"/>
          <w:color w:val="000000"/>
          <w:sz w:val="22"/>
        </w:rPr>
        <w:t>. Promptly following any Responsible Officer of the Company having notice or knowledge thereof, notify the Administrative Agent: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of the occurrence of any Default;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of any matter that has resulted or could reasonably be expected to result in a Material Adverse Effect, including (i) breach or non-performance of, or any default under, a Contractual Obligation of the Company or any Subsidiary that has resulted or could reasonably be expected to result in a Material Adverse Effect; (ii) any dispute, litigation, investigation, proceeding or suspension between the Company or any Subsidiary and any Governmental Authority which dispute, litigation, investigation, proceeding or suspension arising under this clause (ii) has resulted or could reasonably be expected to result in a Material Adverse Effect; or (iii) the commencement of, or any material development in, any litigation or proceeding affecting the Company or any Subsidiary, including pursuant to any applicable Environmental Laws, where the result of such event arising under this clause (iii) has resulted or could reasonably be expected to result in a Material Adverse Effect;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of the occurrence of any ERISA Event;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of any material change in accounting policies or financial reporting practices by the Company or any Subsidiary;</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of the incurrence by the Company or any Subsidiary of any Indebtedness (other than the Obligations) having a principal amount in excess of $50,000,000;</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of any sale of Equity Interests of any Subsidiary to any Person that is not a Loan Party;</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367665"/>
                <wp:effectExtent l="0" t="0" r="0" b="0"/>
                <wp:wrapNone/>
                <wp:docPr id="304" name="Frame29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131</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 xml:space="preserve">of any Disposition by the Company or any Subsidiary of any dealership, Franchise Agreement or Framework Agreement to the extent required by </w:t>
      </w:r>
      <w:r>
        <w:rPr>
          <w:rFonts w:ascii="Times New Roman;sans-serif" w:hAnsi="Times New Roman;sans-serif"/>
          <w:b w:val="false"/>
          <w:color w:val="000000"/>
          <w:sz w:val="22"/>
          <w:u w:val="single"/>
        </w:rPr>
        <w:t>Section 7.04</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of (i) any Franchise Agreement entered into after the Closing Date (and a copy of such Franchise Agreement) which deviates in any material respect from the Franchise Agreements for the applicable vehicle manufacturer or distributor delivered on or prior to the Closing Date, (ii) any Framework Agreement (and a copy of such Framework Agreement) entered into after the Closing Date (including the subject matter and term of such Framework Agreement), (iii) any material amendment or other modification (and a copy of such amendment or modification) of any Framework Agreement, and (iv) any material adverse change in the relationship between the Company or any Subsidiary and any vehicle manufacturer or distributor, including the written threat of loss of a new vehicle franchise or the written threat of termination of a Franchise Agreement or Framework Agreement; provided, that the obligations under this clause (h) shall be subject in all respects to any confidentiality or similar restriction binding upon the Company or any Subsidiary;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 xml:space="preserve">of the occurrence of any Disposition by the Company or any Subsidiary to the extent required pursuant to </w:t>
      </w:r>
      <w:r>
        <w:rPr>
          <w:rFonts w:ascii="Times New Roman;sans-serif" w:hAnsi="Times New Roman;sans-serif"/>
          <w:b w:val="false"/>
          <w:color w:val="000000"/>
          <w:sz w:val="22"/>
          <w:u w:val="single"/>
        </w:rPr>
        <w:t>Section 7.04</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Each notice pursuant to this </w:t>
      </w:r>
      <w:r>
        <w:rPr>
          <w:rFonts w:ascii="Times New Roman;sans-serif" w:hAnsi="Times New Roman;sans-serif"/>
          <w:b w:val="false"/>
          <w:color w:val="000000"/>
          <w:sz w:val="22"/>
          <w:u w:val="single"/>
        </w:rPr>
        <w:t>Section 6.03</w:t>
      </w:r>
      <w:r>
        <w:rPr>
          <w:color w:val="000000"/>
        </w:rPr>
        <w:t xml:space="preserve"> </w:t>
      </w:r>
      <w:r>
        <w:rPr>
          <w:rFonts w:ascii="Times New Roman;sans-serif" w:hAnsi="Times New Roman;sans-serif"/>
          <w:b w:val="false"/>
          <w:color w:val="000000"/>
          <w:sz w:val="22"/>
        </w:rPr>
        <w:t xml:space="preserve">shall be accompanied by a statement of a Responsible Officer of the Company setting forth details of the occurrence referred to therein and, if applicable, stating what action the Company has taken and proposes to take with respect thereto. Each notice pursuant to </w:t>
      </w:r>
      <w:r>
        <w:rPr>
          <w:rFonts w:ascii="Times New Roman;sans-serif" w:hAnsi="Times New Roman;sans-serif"/>
          <w:b w:val="false"/>
          <w:color w:val="000000"/>
          <w:sz w:val="22"/>
          <w:u w:val="single"/>
        </w:rPr>
        <w:t>Section 6.03(a)</w:t>
      </w:r>
      <w:r>
        <w:rPr>
          <w:color w:val="000000"/>
        </w:rPr>
        <w:t xml:space="preserve"> </w:t>
      </w:r>
      <w:r>
        <w:rPr>
          <w:rFonts w:ascii="Times New Roman;sans-serif" w:hAnsi="Times New Roman;sans-serif"/>
          <w:b w:val="false"/>
          <w:color w:val="000000"/>
          <w:sz w:val="22"/>
        </w:rPr>
        <w:t xml:space="preserve">shall describe with particularity any and all provisions of this Agreement and any other Loan Document that have been breached. The Administrative Agent shall promptly deliver to each Lender each notice and accompanying statement of Responsible Officer delivered to the Administrative Agent pursuant to this </w:t>
      </w:r>
      <w:r>
        <w:rPr>
          <w:rFonts w:ascii="Times New Roman;sans-serif" w:hAnsi="Times New Roman;sans-serif"/>
          <w:b w:val="false"/>
          <w:color w:val="000000"/>
          <w:sz w:val="22"/>
          <w:u w:val="single"/>
        </w:rPr>
        <w:t>Section 6.03</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color w:val="000000"/>
          <w:sz w:val="22"/>
        </w:rPr>
        <w:t>6.04</w:t>
      </w:r>
      <w:r>
        <w:rPr>
          <w:rFonts w:ascii="Times New Roman;sans-serif" w:hAnsi="Times New Roman;sans-serif"/>
          <w:b/>
          <w:color w:val="000000"/>
          <w:sz w:val="22"/>
        </w:rPr>
        <w:t>Payment of Obligations</w:t>
      </w:r>
      <w:r>
        <w:rPr>
          <w:rFonts w:ascii="Times New Roman;sans-serif" w:hAnsi="Times New Roman;sans-serif"/>
          <w:b w:val="false"/>
          <w:color w:val="000000"/>
          <w:sz w:val="22"/>
        </w:rPr>
        <w:t>. Pay and discharge and cause each of its Subsidiaries to pay and discharge, when due, (i) all U.S. federal and material state income or property taxes, and all other material taxes, assessments and governmental charges or levies imposed upon the Company or such Subsidiary, as the case may be, and (ii) all lawful claims for labor, materials and supplies to the extent the failure to pay or discharge such claims for labor, materials and supplies would reasonably be expected to have a Material Adverse Effect, unless and only to the extent, in the case of each of clauses (i) and (ii) above, that the Company or such Subsidiary, as the case may be, is contesting such taxes, assessments and governmental charges, levies or claims in good faith and by appropriate proceedings and the Company or such Subsidiary has set aside on its books such reserves or other appropriate provisions therefor as may be required by GAAP.</w:t>
      </w:r>
    </w:p>
    <w:p>
      <w:pPr>
        <w:pStyle w:val="TextBody"/>
        <w:bidi w:val="0"/>
        <w:spacing w:lineRule="auto" w:line="240" w:before="0" w:after="240"/>
        <w:ind w:left="0" w:right="0" w:firstLine="720"/>
        <w:jc w:val="both"/>
        <w:rPr/>
      </w:pPr>
      <w:r>
        <w:rPr>
          <w:rFonts w:ascii="Times New Roman;sans-serif" w:hAnsi="Times New Roman;sans-serif"/>
          <w:b/>
          <w:color w:val="000000"/>
          <w:sz w:val="22"/>
        </w:rPr>
        <w:t>6.05</w:t>
      </w:r>
      <w:r>
        <w:rPr>
          <w:rFonts w:ascii="Times New Roman;sans-serif" w:hAnsi="Times New Roman;sans-serif"/>
          <w:b/>
          <w:color w:val="000000"/>
          <w:sz w:val="22"/>
        </w:rPr>
        <w:t>Preservation of Existence, Etc.; Maintenance of Vehicle Title Documentation</w:t>
      </w:r>
      <w:r>
        <w:rPr>
          <w:rFonts w:ascii="Times New Roman;sans-serif" w:hAnsi="Times New Roman;sans-serif"/>
          <w:b w:val="false"/>
          <w:color w:val="000000"/>
          <w:sz w:val="22"/>
        </w:rPr>
        <w:t xml:space="preserve">. (a) Except for any Unrestricted Subsidiary, preserve, renew and maintain in full force and effect its legal existence and good standing under the Laws of the jurisdiction of its organization except in a transaction permitted by </w:t>
      </w:r>
      <w:r>
        <w:rPr>
          <w:rFonts w:ascii="Times New Roman;sans-serif" w:hAnsi="Times New Roman;sans-serif"/>
          <w:b w:val="false"/>
          <w:color w:val="000000"/>
          <w:sz w:val="22"/>
          <w:u w:val="single"/>
        </w:rPr>
        <w:t>Section 7.03</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7.04</w:t>
      </w:r>
      <w:r>
        <w:rPr>
          <w:rFonts w:ascii="Times New Roman;sans-serif" w:hAnsi="Times New Roman;sans-serif"/>
          <w:b w:val="false"/>
          <w:color w:val="000000"/>
          <w:sz w:val="22"/>
        </w:rPr>
        <w:t>; (b) take all reasonable action to maintain all rights, privileges, permits, licenses and franchises necessary or desirable in the normal conduct of its business, except to the extent that failure to do so could not reasonably be expected to have a Material Adverse Effect; (c) preserve or renew all of its registered patents, trademarks, trade names and service marks, the non-preservation of which would reasonably be expected to have a Material Adverse Effect; and (d) if applicable, preserve and maintain, in accordance with its standard policies and procedures, all manufacturer statements of origin, certificates of origin, certificates of title or ownership and other customary vehicle title documentation (collectively, the “</w:t>
      </w:r>
      <w:r>
        <w:rPr>
          <w:rFonts w:ascii="Times New Roman;sans-serif" w:hAnsi="Times New Roman;sans-serif"/>
          <w:b w:val="false"/>
          <w:color w:val="000000"/>
          <w:sz w:val="22"/>
          <w:u w:val="single"/>
        </w:rPr>
        <w:t>Vehicle Title Documentation</w:t>
      </w:r>
      <w:r>
        <w:rPr>
          <w:color w:val="000000"/>
        </w:rPr>
        <w:t>”</w:t>
      </w:r>
      <w:r>
        <w:rPr>
          <w:rFonts w:ascii="Times New Roman;sans-serif" w:hAnsi="Times New Roman;sans-serif"/>
          <w:b w:val="false"/>
          <w:color w:val="000000"/>
          <w:sz w:val="22"/>
        </w:rPr>
        <w:t>) necessary or desirable in the normal conduct of its business and maintain records evidencing which Vehicles are being used as Demonstrators and Rental Vehicles.</w:t>
      </w:r>
    </w:p>
    <w:p>
      <w:pPr>
        <w:pStyle w:val="TextBody"/>
        <w:bidi w:val="0"/>
        <w:spacing w:lineRule="auto" w:line="240" w:before="0" w:after="240"/>
        <w:ind w:left="0" w:right="0" w:firstLine="720"/>
        <w:jc w:val="both"/>
        <w:rPr/>
      </w:pPr>
      <w:r>
        <w:rPr>
          <w:rFonts w:ascii="Times New Roman;sans-serif" w:hAnsi="Times New Roman;sans-serif"/>
          <w:b/>
          <w:color w:val="000000"/>
          <w:sz w:val="22"/>
        </w:rPr>
        <w:t>6.06</w:t>
      </w:r>
      <w:r>
        <w:rPr>
          <w:rFonts w:ascii="Times New Roman;sans-serif" w:hAnsi="Times New Roman;sans-serif"/>
          <w:b/>
          <w:color w:val="000000"/>
          <w:sz w:val="22"/>
        </w:rPr>
        <w:t>Maintenance of Properties</w:t>
      </w:r>
      <w:r>
        <w:rPr>
          <w:rFonts w:ascii="Times New Roman;sans-serif" w:hAnsi="Times New Roman;sans-serif"/>
          <w:b w:val="false"/>
          <w:color w:val="000000"/>
          <w:sz w:val="22"/>
        </w:rPr>
        <w:t>. (a) Maintain, preserve and protect all of its properties and equipment necessary in the operation of its business in good working order and condition, ordinary wear and tear excepted except where the failure to do so could not reasonably be expected to have a Material Adverse Effect; (b) make all necessary repairs thereto and renewals and replacements thereof except where the failure to do so could not reasonably be expected to have a Material Adverse Effect; and (c) use the standard of care typical in the industry in the operation and maintenance of its facilities.</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367665"/>
                <wp:effectExtent l="0" t="0" r="0" b="0"/>
                <wp:wrapNone/>
                <wp:docPr id="305" name="Frame30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132</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2"/>
        </w:rPr>
        <w:t>6.07</w:t>
      </w:r>
      <w:r>
        <w:rPr>
          <w:rFonts w:ascii="Times New Roman;sans-serif" w:hAnsi="Times New Roman;sans-serif"/>
          <w:b/>
          <w:color w:val="000000"/>
          <w:sz w:val="22"/>
        </w:rPr>
        <w:t>Maintenance of Insurance</w:t>
      </w:r>
      <w:r>
        <w:rPr>
          <w:rFonts w:ascii="Times New Roman;sans-serif" w:hAnsi="Times New Roman;sans-serif"/>
          <w:b w:val="false"/>
          <w:color w:val="000000"/>
          <w:sz w:val="22"/>
        </w:rPr>
        <w:t>. Maintain with financially sound and reputable insurance companies (including any Captive Insurance Company, in accordance with the terms and conditions of this Agreement),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 and such endorsements as are reasonably acceptable to the Administrative Agent. The Company and its Subsidiaries will, and will cause each Captive Insurance Company and each Specified Insurance Subsidiary to, preserve and maintain: (i) the licensing and certification of each Captive Insurance Company or Specified Insurance Subsidiary, as applicable, pursuant to all applicable insurance and warranty laws and regulations; (ii) all certifications and authorizations necessary to ensure that each Captive Insurance Company is eligible for all reimbursements available under all applicable insurance and service contract laws and regulations; and (iii) all material licenses, permits, authorizations and qualifications required under all applicable insurance and service contract laws and regulations in connection with the existence and operation of each Captive Insurance Company and each Specified Insurance Subsidiary. If requested by the Administrative Agent, Borrowers will provide to the Administrative Agent such audited statements such Captive Insurance Company and such Specified Insurance Subsidiary as requested by the Administrative Agent as of the end of each fiscal year within the sooner to occur of: (i) five days following filing with the applicable regulatory agencies; or (ii) 180 days following the end of such fiscal year. Each Captive Insurance Company and each Specified Insurance Subsidiary shall conduct its insurance business in material compliance with all applicable laws and using sound actuarial principles. The insurance premiums and other expenses charged by any Captive Insurance Company to the Company and its Subsidiaries shall be reasonable and customary and in accordance with all applicable insurance and service contract laws and regulations. The insurance premiums and other fees charged by any Specified Insurance Company to the customers of the Vehicle Borrowers shall be in accordance with all applicable insurance and service contract laws and regulations. If requested by the Administrative Agent, the Company and its Subsidiaries will provide the Administrative Agent copies of any outside actuarial reports prepared with respect to any projection, valuation or appraisal of any Captive Insurance Company or any Specified Insurance Company promptly.</w:t>
      </w:r>
    </w:p>
    <w:p>
      <w:pPr>
        <w:pStyle w:val="TextBody"/>
        <w:bidi w:val="0"/>
        <w:spacing w:lineRule="auto" w:line="240" w:before="0" w:after="240"/>
        <w:ind w:left="0" w:right="0" w:firstLine="720"/>
        <w:jc w:val="both"/>
        <w:rPr/>
      </w:pPr>
      <w:r>
        <w:rPr>
          <w:rFonts w:ascii="Times New Roman;sans-serif" w:hAnsi="Times New Roman;sans-serif"/>
          <w:b/>
          <w:color w:val="000000"/>
          <w:sz w:val="22"/>
        </w:rPr>
        <w:t>6.08</w:t>
      </w:r>
      <w:r>
        <w:rPr>
          <w:rFonts w:ascii="Times New Roman;sans-serif" w:hAnsi="Times New Roman;sans-serif"/>
          <w:b/>
          <w:color w:val="000000"/>
          <w:sz w:val="22"/>
        </w:rPr>
        <w:t>Compliance with Laws and Material Contractual Obligations</w:t>
      </w:r>
      <w:r>
        <w:rPr>
          <w:rFonts w:ascii="Times New Roman;sans-serif" w:hAnsi="Times New Roman;sans-serif"/>
          <w:b w:val="false"/>
          <w:color w:val="000000"/>
          <w:sz w:val="22"/>
        </w:rPr>
        <w:t>. Comply in all material respects with the requirements of all Laws and all orders, writs, injunctions and decrees and all Contractual Obligations applicable to it or to its business or property, except in such instances in which (a) such requirement of Law or order, writ, injunction or decree is being contested in good faith by appropriate proceedings diligently conducted; or (b) the failure to comply with such requirement of Law, order, writ, injunction, decree or contractual obligation could not reasonably be expected to have a Material Adverse Effect.</w:t>
      </w:r>
    </w:p>
    <w:p>
      <w:pPr>
        <w:pStyle w:val="TextBody"/>
        <w:bidi w:val="0"/>
        <w:spacing w:lineRule="auto" w:line="240" w:before="0" w:after="240"/>
        <w:ind w:left="0" w:right="0" w:firstLine="720"/>
        <w:jc w:val="both"/>
        <w:rPr/>
      </w:pPr>
      <w:r>
        <w:rPr>
          <w:rFonts w:ascii="Times New Roman;sans-serif" w:hAnsi="Times New Roman;sans-serif"/>
          <w:b/>
          <w:color w:val="000000"/>
          <w:sz w:val="22"/>
        </w:rPr>
        <w:t>6.09</w:t>
      </w:r>
      <w:r>
        <w:rPr>
          <w:rFonts w:ascii="Times New Roman;sans-serif" w:hAnsi="Times New Roman;sans-serif"/>
          <w:b/>
          <w:color w:val="000000"/>
          <w:sz w:val="22"/>
        </w:rPr>
        <w:t>Books and Records</w:t>
      </w:r>
      <w:r>
        <w:rPr>
          <w:rFonts w:ascii="Times New Roman;sans-serif" w:hAnsi="Times New Roman;sans-serif"/>
          <w:b w:val="false"/>
          <w:color w:val="000000"/>
          <w:sz w:val="22"/>
        </w:rPr>
        <w:t>. Maintain proper books of record and account, in which full, true and correct in all material respects entries in conformity with GAAP consistently applied shall be made of all material financial transactions and material matters involving the assets and business of the Company or such Subsidiary, as the case may be, including, if applicable, books and records specifying the year, make, model, cost, price, location and vehicle identification number of each Vehicle owned by the Company or such Subsidiary.</w:t>
      </w:r>
    </w:p>
    <w:p>
      <w:pPr>
        <w:pStyle w:val="TextBody"/>
        <w:bidi w:val="0"/>
        <w:spacing w:lineRule="auto" w:line="240" w:before="0" w:after="240"/>
        <w:ind w:left="0" w:right="0" w:firstLine="720"/>
        <w:jc w:val="both"/>
        <w:rPr/>
      </w:pPr>
      <w:r>
        <w:rPr>
          <w:rFonts w:ascii="Times New Roman;sans-serif" w:hAnsi="Times New Roman;sans-serif"/>
          <w:b/>
          <w:color w:val="000000"/>
          <w:sz w:val="22"/>
        </w:rPr>
        <w:t>6.10</w:t>
      </w:r>
      <w:r>
        <w:rPr>
          <w:rFonts w:ascii="Times New Roman;sans-serif" w:hAnsi="Times New Roman;sans-serif"/>
          <w:b/>
          <w:color w:val="000000"/>
          <w:sz w:val="22"/>
        </w:rPr>
        <w:t>Inspection Rights</w:t>
      </w:r>
      <w:r>
        <w:rPr>
          <w:rFonts w:ascii="Times New Roman;sans-serif" w:hAnsi="Times New Roman;sans-serif"/>
          <w:b w:val="false"/>
          <w:color w:val="000000"/>
          <w:sz w:val="22"/>
        </w:rPr>
        <w:t xml:space="preserve">. Permit representatives and independent contractors of the Administrative Agent and each Lender to visit and inspect any of its properties (including inspecting Vehicles and conducting random samples of the Net Book Value of the Used Vehicles and any assets included in the Revolving Borrowing Base), to examine its corporate, financial and operating records, and make copies thereof or abstracts therefrom, and to discuss its affairs, finances and accounts with its directors, officers, and independent public accountants, all at such reasonable times during normal business hours and as often as may be reasonably desired, upon reasonable advance notice to the Company (except for access required in connection with a floorplan audit pursuant to </w:t>
      </w:r>
      <w:r>
        <w:rPr>
          <w:rFonts w:ascii="Times New Roman;sans-serif" w:hAnsi="Times New Roman;sans-serif"/>
          <w:b w:val="false"/>
          <w:color w:val="000000"/>
          <w:sz w:val="22"/>
          <w:u w:val="single"/>
        </w:rPr>
        <w:t>Section 6.12</w:t>
      </w:r>
      <w:r>
        <w:rPr>
          <w:rFonts w:ascii="Times New Roman;sans-serif" w:hAnsi="Times New Roman;sans-serif"/>
          <w:b w:val="false"/>
          <w:color w:val="000000"/>
          <w:sz w:val="22"/>
        </w:rPr>
        <w:t xml:space="preserve">, which will be permitted at any time during regular business hours (or at other times consistent with standard industry practice) and without advance notice);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(a) without limiting amounts that may be owed under any Fee Letter or </w:t>
      </w:r>
      <w:r>
        <w:rPr>
          <w:rFonts w:ascii="Times New Roman;sans-serif" w:hAnsi="Times New Roman;sans-serif"/>
          <w:b w:val="false"/>
          <w:color w:val="000000"/>
          <w:sz w:val="22"/>
          <w:u w:val="single"/>
        </w:rPr>
        <w:t>Section 6.12</w:t>
      </w:r>
      <w:r>
        <w:rPr>
          <w:color w:val="000000"/>
        </w:rPr>
        <w:t xml:space="preserve"> </w:t>
      </w:r>
      <w:r>
        <w:rPr>
          <w:rFonts w:ascii="Times New Roman;sans-serif" w:hAnsi="Times New Roman;sans-serif"/>
          <w:b w:val="false"/>
          <w:color w:val="000000"/>
          <w:sz w:val="22"/>
        </w:rPr>
        <w:t xml:space="preserve">below, while no Event of Default exists the Borrowers shall be responsible for expenses associated with only one such visit or inspection by the Administrative Agent and its contractors per calendar year, and (b) when an Event of Default exists the Administrative Agent or any Lender (or any of their respective representatives or independent contractors) may do any of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367665"/>
                <wp:effectExtent l="0" t="0" r="0" b="0"/>
                <wp:wrapNone/>
                <wp:docPr id="306" name="Frame30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133</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foregoing at any time or times (all at the expense of the Borrowers) during normal business hours and without advance notice.</w:t>
      </w:r>
    </w:p>
    <w:p>
      <w:pPr>
        <w:pStyle w:val="TextBody"/>
        <w:bidi w:val="0"/>
        <w:spacing w:lineRule="auto" w:line="240" w:before="0" w:after="240"/>
        <w:ind w:left="0" w:right="0" w:hanging="720"/>
        <w:jc w:val="both"/>
        <w:rPr/>
      </w:pPr>
      <w:r>
        <w:rPr>
          <w:rFonts w:ascii="Times New Roman;sans-serif" w:hAnsi="Times New Roman;sans-serif"/>
          <w:b/>
          <w:color w:val="000000"/>
          <w:sz w:val="22"/>
        </w:rPr>
        <w:t>6.11Use of Proceeds</w:t>
      </w:r>
      <w:r>
        <w:rPr>
          <w:rFonts w:ascii="Times New Roman;sans-serif" w:hAnsi="Times New Roman;sans-serif"/>
          <w:b w:val="false"/>
          <w:color w:val="000000"/>
          <w:sz w:val="22"/>
        </w:rPr>
        <w:t>. Use the proceeds of the Borrowings: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in the case of the Revolving Credit Facility (i) to continue indebtedness outstanding under the revolving credit facility of the Existing Credit Agreement, and (ii) for Permitted Acquisitions, other working capital, capital expenditures and other lawful corporate purposes, in each case not in contravention of any Law or of any Loan Document;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in the case of the New Vehicle Floorplan Facility (i) to finance the acquisition by the New Vehicle Borrowers of New Vehicle Inventory (including dealer trade, Demonstrators, Rental Vehicles and Fleet Vehicles) pursuant to New Vehicle Floorplan Committed Loan Notices, New Vehicle Floorplan Swing Line Loan Notices, Payment Commitments, Payoff Letter Commitments or electronic requests via the Floorplan On-Line System, (ii) to refinance indebtedness outstanding under existing new vehicle floorplan facilities of the New Vehicle Borrowers, provided pursuant to the Existing Credit Agreement, in each case not in contravention of any Law or any Loan Document and (iii) if deemed necessary by the Administrative Agent, to finance the return of amounts from the New Vehicle Floorplan Offset Account to New Vehicle Borrowers pursuant to </w:t>
      </w:r>
      <w:r>
        <w:rPr>
          <w:rFonts w:ascii="Times New Roman;sans-serif" w:hAnsi="Times New Roman;sans-serif"/>
          <w:b w:val="false"/>
          <w:color w:val="000000"/>
          <w:sz w:val="22"/>
          <w:u w:val="single"/>
        </w:rPr>
        <w:t>Section 2.09(b)(ii)</w:t>
      </w:r>
      <w:r>
        <w:rPr>
          <w:rFonts w:ascii="Times New Roman;sans-serif" w:hAnsi="Times New Roman;sans-serif"/>
          <w:b w:val="false"/>
          <w:color w:val="000000"/>
          <w:sz w:val="22"/>
        </w:rPr>
        <w:t>;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in the case of the Used Vehicle Floorplan Facility (i) to finance the acquisition of Used Vehicle inventory, (ii) to continue indebtedness outstanding under the used vehicle floorplan facility of the Used Vehicle Borrowers, provided pursuant to the Existing Credit Agreement, and (iii) other working capital, capital expenditures and other lawful corporate purposes (including Permitted Acquisitions), in each case not in contravention of any Law or of any Loan Document;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 Credit Extension shall be advanced by any Lender directly to any Unrestricted Subsidiary;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the foregoing proviso shall not be construed to prohibit Investments expressly permitted by </w:t>
      </w:r>
      <w:r>
        <w:rPr>
          <w:rFonts w:ascii="Times New Roman;sans-serif" w:hAnsi="Times New Roman;sans-serif"/>
          <w:b w:val="false"/>
          <w:color w:val="000000"/>
          <w:sz w:val="22"/>
          <w:u w:val="single"/>
        </w:rPr>
        <w:t>Section 7.05</w:t>
      </w:r>
      <w:r>
        <w:rPr>
          <w:rFonts w:ascii="Times New Roman;sans-serif" w:hAnsi="Times New Roman;sans-serif"/>
          <w:b w:val="false"/>
          <w:color w:val="000000"/>
          <w:sz w:val="22"/>
        </w:rPr>
        <w:t>.</w:t>
      </w:r>
    </w:p>
    <w:p>
      <w:pPr>
        <w:pStyle w:val="TextBody"/>
        <w:bidi w:val="0"/>
        <w:spacing w:lineRule="auto" w:line="240" w:before="0" w:after="240"/>
        <w:ind w:left="0" w:right="0" w:hanging="720"/>
        <w:jc w:val="both"/>
        <w:rPr/>
      </w:pPr>
      <w:r>
        <w:rPr>
          <w:rFonts w:ascii="Times New Roman;sans-serif" w:hAnsi="Times New Roman;sans-serif"/>
          <w:b/>
          <w:color w:val="000000"/>
          <w:sz w:val="22"/>
        </w:rPr>
        <w:t>6.12Floorplan Audits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Entry on Premises</w:t>
      </w:r>
      <w:r>
        <w:rPr>
          <w:rFonts w:ascii="Times New Roman;sans-serif" w:hAnsi="Times New Roman;sans-serif"/>
          <w:b w:val="false"/>
          <w:color w:val="000000"/>
          <w:sz w:val="22"/>
        </w:rPr>
        <w:t>. Each New Vehicle Borrower shall permit a duly authorized representative of the New Vehicle Floorplan Swing Line Lender to enter upon such New Vehicle Borrower’s premises during regular business hours (or at other times consistent with standard industry practice) to perform audits of Vehicles constituting Collateral in a manner reasonably satisfactory to the New Vehicle Floorplan Swing Line Lender on a quarterly basis or at other intervals as required by the New Vehicle Floorplan Swing Line Lender from time to time, but no less frequently than three times in any twelve (12) month period. Each New Vehicle Borrower shall assist the New Vehicle Floorplan Swing Line Lender, and its representatives, in whatever way reasonably necessary to make the inspections and audits provided for herein. The Borrowers (jointly and severally) shall reimburse the Administrative Agent for any floorplan audits if an out-of-trust situation or Event of Default has occurred, and the Borrowers shall continue to reimburse the Administrative Agent for such floorplan audits until such time as (i) consecutive floorplan audits demonstrate no out-of-trust situation and (ii) no Event of Default has occurred and is continuing.</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Delivery of Audit Results</w:t>
      </w:r>
      <w:r>
        <w:rPr>
          <w:rFonts w:ascii="Times New Roman;sans-serif" w:hAnsi="Times New Roman;sans-serif"/>
          <w:b w:val="false"/>
          <w:color w:val="000000"/>
          <w:sz w:val="22"/>
        </w:rPr>
        <w:t>. Within thirty (30) days after the end of each calendar month of the Company, the New Vehicle Floorplan Swing Line Lender shall deliver to the Administrative Agent a summary of the audit results of each of the New Vehicle Borrowers performed by the New Vehicle Floorplan Swing Line Lender during the calendar month just ended, setting forth therein a spread sheet reflecting, for each New Vehicle Borrower, a summary of the results of each floorplan audit during the calendar month. The Administrative Agent shall promptly deliver a copy of such report to each Lender.</w:t>
      </w:r>
    </w:p>
    <w:p>
      <w:pPr>
        <w:pStyle w:val="TextBody"/>
        <w:bidi w:val="0"/>
        <w:spacing w:lineRule="auto" w:line="240" w:before="0" w:after="240"/>
        <w:ind w:left="0" w:right="0" w:firstLine="720"/>
        <w:jc w:val="both"/>
        <w:rPr/>
      </w:pPr>
      <w:r>
        <w:rPr>
          <w:rFonts w:ascii="Times New Roman;sans-serif" w:hAnsi="Times New Roman;sans-serif"/>
          <w:b/>
          <w:color w:val="000000"/>
          <w:sz w:val="22"/>
        </w:rPr>
        <w:t>6.13</w:t>
      </w:r>
      <w:r>
        <w:rPr>
          <w:rFonts w:ascii="Times New Roman;sans-serif" w:hAnsi="Times New Roman;sans-serif"/>
          <w:b/>
          <w:color w:val="000000"/>
          <w:sz w:val="22"/>
        </w:rPr>
        <w:t>Location of Vehicles</w:t>
      </w:r>
      <w:r>
        <w:rPr>
          <w:rFonts w:ascii="Times New Roman;sans-serif" w:hAnsi="Times New Roman;sans-serif"/>
          <w:b w:val="false"/>
          <w:color w:val="000000"/>
          <w:sz w:val="22"/>
        </w:rPr>
        <w:t xml:space="preserve">. Keep the Vehicles only at the locations set forth on </w:t>
      </w:r>
      <w:r>
        <w:rPr>
          <w:rFonts w:ascii="Times New Roman;sans-serif" w:hAnsi="Times New Roman;sans-serif"/>
          <w:b w:val="false"/>
          <w:color w:val="000000"/>
          <w:sz w:val="22"/>
          <w:u w:val="single"/>
        </w:rPr>
        <w:t>Schedule 5.18</w:t>
      </w:r>
      <w:r>
        <w:rPr>
          <w:rFonts w:ascii="Times New Roman;sans-serif" w:hAnsi="Times New Roman;sans-serif"/>
          <w:b w:val="false"/>
          <w:color w:val="000000"/>
          <w:sz w:val="22"/>
        </w:rPr>
        <w:t xml:space="preserve">, as such schedule may be revised from time to time as set forth in the Compliance Certificate delivered pursuant to </w:t>
      </w:r>
      <w:r>
        <w:rPr>
          <w:rFonts w:ascii="Times New Roman;sans-serif" w:hAnsi="Times New Roman;sans-serif"/>
          <w:b w:val="false"/>
          <w:color w:val="000000"/>
          <w:sz w:val="22"/>
          <w:u w:val="single"/>
        </w:rPr>
        <w:t>Section 6.02(a)</w:t>
      </w:r>
      <w:r>
        <w:rPr>
          <w:rFonts w:ascii="Times New Roman;sans-serif" w:hAnsi="Times New Roman;sans-serif"/>
          <w:b w:val="false"/>
          <w:color w:val="000000"/>
          <w:sz w:val="22"/>
        </w:rPr>
        <w:t xml:space="preserve">, except that Vehicles may, in the ordinary course of business, be (a) in transit between locations, (b) in transit for “dealer trades”, (c) being test driven by potential customers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367665"/>
                <wp:effectExtent l="0" t="0" r="0" b="0"/>
                <wp:wrapNone/>
                <wp:docPr id="307" name="Frame30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134</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or (d) being repaired at a collision repair center, and in each such instance described in clauses (a) – (d), the Company shall maintain records with the location of the Vehicle and, where applicable, the name of, and such other relevant information as is standard in the industry with respect to, the dealer involved in such a dealer trade (or the customer test driving such Vehicle), and shall provide any such records to the Administrative Agent promptly upon the Administrative Agent’s request therefor.</w:t>
      </w:r>
    </w:p>
    <w:p>
      <w:pPr>
        <w:pStyle w:val="TextBody"/>
        <w:bidi w:val="0"/>
        <w:spacing w:lineRule="auto" w:line="240" w:before="0" w:after="240"/>
        <w:ind w:left="0" w:right="0" w:firstLine="720"/>
        <w:jc w:val="both"/>
        <w:rPr/>
      </w:pPr>
      <w:r>
        <w:rPr>
          <w:rFonts w:ascii="Times New Roman;sans-serif" w:hAnsi="Times New Roman;sans-serif"/>
          <w:b/>
          <w:color w:val="000000"/>
          <w:sz w:val="22"/>
        </w:rPr>
        <w:t>6.14</w:t>
      </w:r>
      <w:r>
        <w:rPr>
          <w:rFonts w:ascii="Times New Roman;sans-serif" w:hAnsi="Times New Roman;sans-serif"/>
          <w:b/>
          <w:color w:val="000000"/>
          <w:sz w:val="22"/>
        </w:rPr>
        <w:t>Additional Subsidiaries</w:t>
      </w:r>
      <w:r>
        <w:rPr>
          <w:rFonts w:ascii="Times New Roman;sans-serif" w:hAnsi="Times New Roman;sans-serif"/>
          <w:b w:val="false"/>
          <w:color w:val="000000"/>
          <w:sz w:val="22"/>
        </w:rPr>
        <w:t>. As soon as practicable (but in any event within ten (10) days in the case of any Restricted Subsidiary that owns or operates a dealership, and thirty (30) days in the case of any other Restricted Subsidiary (or, in either such case, such longer period as the Administrative Agent may agree in its sole discretion) after the acquisition, creation or designation of any Restricted Subsidiary that is a Domestic Subsidiary, including the creation of any such Person pursuant to a Division (or the date a Subsidiary otherwise qualifies as a Restricted Subsidiary that is a Domestic Subsidiary), cause to be delivered to the Administrative Agent each of the following:</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a Joinder Agreement duly executed by such Restricted Subsidiary with all schedules and information thereto appropriately completed with respect to (i) such Restricted Subsidiary (A) becoming a “Used Vehicle Borrower” and a “Subsidiary Guarantor”, if such Restricted Subsidiary owns or operates a dealership, (B) becoming a “New Vehicle Borrower” and a “Subsidiary Guarantor”, if such Restricted Subsidiary is a Specified Subsidiary, and (C) becoming a “Subsidiary Guarantor”, if such Restricted Subsidiary does not own or operate a dealership, and (ii) the Equity Interests of such Restricted Subsidiary becoming pledged pursuant to the Pledge Agreement or escrowed pursuant to the Escrow and Security Agreement, as the case may be;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[reserved];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UCC financing statements naming such Subsidiary as “Debtor” and naming the Revolving Administrative Agent for the benefit of the Secured Parties as “Secured Party,” in form, substance and number sufficient in the reasonable opinion of the Administrative Agent and its counsel to be filed in all UCC filing offices in which filing is necessary or advisable to perfect in favor of the Revolving Administrative Agent for the benefit of the Secured Parties the Liens on the Collateral conferred under such Joinder Agreement and other Security Instruments to the extent such Lien may be perfected by UCC filings;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unless the Administrative Agent expressly waives such requirement in accordance with </w:t>
      </w:r>
      <w:r>
        <w:rPr>
          <w:rFonts w:ascii="Times New Roman;sans-serif" w:hAnsi="Times New Roman;sans-serif"/>
          <w:b w:val="false"/>
          <w:color w:val="000000"/>
          <w:sz w:val="22"/>
          <w:u w:val="single"/>
        </w:rPr>
        <w:t>Section 10.01</w:t>
      </w:r>
      <w:r>
        <w:rPr>
          <w:rFonts w:ascii="Times New Roman;sans-serif" w:hAnsi="Times New Roman;sans-serif"/>
          <w:b w:val="false"/>
          <w:color w:val="000000"/>
          <w:sz w:val="22"/>
        </w:rPr>
        <w:t xml:space="preserve">, in the case of any single Acquisition or any related series of Acquisitions with an aggregate Cost of Acquisition in excess of the lesser of (i) $100,000,000 and (ii) an amount that results in an increase or decrease in the aggregate of the Revolving Borrowing Base or the Used Vehicle Floorplan Borrowing Base of more than ten percent (10%), an opinion or opinions of counsel to such Restricted Subsidiary dated as of the date of delivery of such Joinder Agreements (and other Loan Documents) provided for in this </w:t>
      </w:r>
      <w:r>
        <w:rPr>
          <w:rFonts w:ascii="Times New Roman;sans-serif" w:hAnsi="Times New Roman;sans-serif"/>
          <w:b w:val="false"/>
          <w:color w:val="000000"/>
          <w:sz w:val="22"/>
          <w:u w:val="single"/>
        </w:rPr>
        <w:t>Section 6.14</w:t>
      </w:r>
      <w:r>
        <w:rPr>
          <w:color w:val="000000"/>
        </w:rPr>
        <w:t xml:space="preserve"> </w:t>
      </w:r>
      <w:r>
        <w:rPr>
          <w:rFonts w:ascii="Times New Roman;sans-serif" w:hAnsi="Times New Roman;sans-serif"/>
          <w:b w:val="false"/>
          <w:color w:val="000000"/>
          <w:sz w:val="22"/>
        </w:rPr>
        <w:t>and addressed to the Administrative Agent, in form and substance acceptable to the Administrative Agent;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 xml:space="preserve">the documents described in </w:t>
      </w:r>
      <w:r>
        <w:rPr>
          <w:rFonts w:ascii="Times New Roman;sans-serif" w:hAnsi="Times New Roman;sans-serif"/>
          <w:b w:val="false"/>
          <w:color w:val="000000"/>
          <w:sz w:val="22"/>
          <w:u w:val="single"/>
        </w:rPr>
        <w:t>Sections 4.01(a)(iii)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(iv)</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(vii)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(x)</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(xi)</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(xx)</w:t>
      </w:r>
      <w:r>
        <w:rPr>
          <w:color w:val="000000"/>
        </w:rPr>
        <w:t xml:space="preserve"> </w:t>
      </w:r>
      <w:r>
        <w:rPr>
          <w:rFonts w:ascii="Times New Roman;sans-serif" w:hAnsi="Times New Roman;sans-serif"/>
          <w:b w:val="false"/>
          <w:color w:val="000000"/>
          <w:sz w:val="22"/>
        </w:rPr>
        <w:t>with respect to such Restricted Subsidiary;</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within 3 Business Days of demand therefor by the Administrative Agent, evidence satisfactory to the Administrative Agent that all taxes, filing fees, recording fees related to the perfection of the Liens securing the Obligations have been paid and all reasonable costs and expenses of the Administrative Agent in connection therewith have been paid.</w:t>
      </w:r>
    </w:p>
    <w:p>
      <w:pPr>
        <w:pStyle w:val="TextBody"/>
        <w:bidi w:val="0"/>
        <w:spacing w:lineRule="auto" w:line="240" w:before="0" w:after="240"/>
        <w:ind w:left="0" w:right="0" w:firstLine="720"/>
        <w:jc w:val="both"/>
        <w:rPr/>
      </w:pPr>
      <w:r>
        <w:rPr>
          <w:rFonts w:ascii="Times New Roman;sans-serif" w:hAnsi="Times New Roman;sans-serif"/>
          <w:b/>
          <w:color w:val="000000"/>
          <w:sz w:val="22"/>
        </w:rPr>
        <w:t>6.15</w:t>
      </w:r>
      <w:r>
        <w:rPr>
          <w:rFonts w:ascii="Times New Roman;sans-serif" w:hAnsi="Times New Roman;sans-serif"/>
          <w:b/>
          <w:color w:val="000000"/>
          <w:sz w:val="22"/>
        </w:rPr>
        <w:t>Further Assurances</w:t>
      </w:r>
      <w:r>
        <w:rPr>
          <w:rFonts w:ascii="Times New Roman;sans-serif" w:hAnsi="Times New Roman;sans-serif"/>
          <w:b w:val="false"/>
          <w:color w:val="000000"/>
          <w:sz w:val="22"/>
        </w:rPr>
        <w:t>. Execute, acknowledge, deliver, and record or file such further instruments, including, without limitation,</w:t>
      </w:r>
      <w:r>
        <w:rPr>
          <w:color w:val="000000"/>
          <w:u w:val="single"/>
        </w:rPr>
        <w:t xml:space="preserve"> </w:t>
      </w:r>
      <w:r>
        <w:rPr>
          <w:rFonts w:ascii="Times New Roman;sans-serif" w:hAnsi="Times New Roman;sans-serif"/>
          <w:b w:val="false"/>
          <w:color w:val="000000"/>
          <w:sz w:val="22"/>
        </w:rPr>
        <w:t xml:space="preserve">further security agreements, financing statements, and continuation statements, and do such further acts as may be reasonably necessary, desirable, or proper to carry out more effectively the purposes of this Agreement, including, without limitation, (i) causing any additions, substitutions, replacements, or equipment related to the Vehicles financed hereunder to be covered by and subject to the Liens created in the Loan Documents to which any Vehicle Borrower is a party; and (ii) with respect to any Vehicles which are, or are required to be, subject to Liens under the Loan Documents, execute, acknowledge, endorse, deliver, procure, and record or file any document or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367665"/>
                <wp:effectExtent l="0" t="0" r="0" b="0"/>
                <wp:wrapNone/>
                <wp:docPr id="308" name="Frame30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135</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instrument, including, without limitation, any financing statement or, if an Event of Default has occurred and is continuing, any Vehicle Title Documentation, deemed advisable by the Administrative Agent or the New Vehicle Floorplan Swing Line Lender to protect the Liens granted in this Agreement or the Loan Documents against the rights or interests of third Persons, and the Company will pay all reasonable costs connected with any of the foregoing.</w:t>
      </w:r>
    </w:p>
    <w:p>
      <w:pPr>
        <w:pStyle w:val="TextBody"/>
        <w:bidi w:val="0"/>
        <w:spacing w:lineRule="auto" w:line="240" w:before="0" w:after="240"/>
        <w:ind w:left="0" w:right="0" w:firstLine="720"/>
        <w:jc w:val="both"/>
        <w:rPr/>
      </w:pPr>
      <w:r>
        <w:rPr>
          <w:rFonts w:ascii="Times New Roman;sans-serif" w:hAnsi="Times New Roman;sans-serif"/>
          <w:b/>
          <w:color w:val="000000"/>
          <w:sz w:val="22"/>
        </w:rPr>
        <w:t>6.16</w:t>
      </w:r>
      <w:r>
        <w:rPr>
          <w:rFonts w:ascii="Times New Roman;sans-serif" w:hAnsi="Times New Roman;sans-serif"/>
          <w:b/>
          <w:color w:val="000000"/>
          <w:sz w:val="22"/>
        </w:rPr>
        <w:t>Landlord Waivers</w:t>
      </w:r>
      <w:r>
        <w:rPr>
          <w:rFonts w:ascii="Times New Roman;sans-serif" w:hAnsi="Times New Roman;sans-serif"/>
          <w:b w:val="false"/>
          <w:color w:val="000000"/>
          <w:sz w:val="22"/>
        </w:rPr>
        <w:t xml:space="preserve">. With respect to any real property leased by the Company or any Loan Party from a Person that is not a Loan Party, the Company and each Loan Party shall deliver to the Administrative Agent Landlord Waivers duly executed by the applicable landlord in form and substance reasonably satisfactory to the Administrative Agent and in sufficient quantity so that the Administrative Agent shall have satisfactory access to Collateral located in at least seventy percent (70%) of the aggregate owned and leased dealer locations of the Company and its Subsidiaries (it being acknowledged and agreed by the Administrative Agent and the Lenders that the Administrative Agent has satisfactory access to Collateral located at dealer locations owned by a Loan Party which has entered into the Security Agreement (including pursuant to a Joinder Agreement));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if the addition of a Subsidiary as contemplated by </w:t>
      </w:r>
      <w:r>
        <w:rPr>
          <w:rFonts w:ascii="Times New Roman;sans-serif" w:hAnsi="Times New Roman;sans-serif"/>
          <w:b w:val="false"/>
          <w:color w:val="000000"/>
          <w:sz w:val="22"/>
          <w:u w:val="single"/>
        </w:rPr>
        <w:t>Section 6.14</w:t>
      </w:r>
      <w:r>
        <w:rPr>
          <w:color w:val="000000"/>
        </w:rPr>
        <w:t xml:space="preserve"> </w:t>
      </w:r>
      <w:r>
        <w:rPr>
          <w:rFonts w:ascii="Times New Roman;sans-serif" w:hAnsi="Times New Roman;sans-serif"/>
          <w:b w:val="false"/>
          <w:color w:val="000000"/>
          <w:sz w:val="22"/>
        </w:rPr>
        <w:t>causes the Company and each Loan Party to cease to satisfy the seventy percent (70%) requirement described above, the Company and each Loan Party shall, within ninety (90) days from the addition of such Subsidiary, deliver additional Landlord Waivers necessary to satisfy the seventy percent (70%) requirement.</w:t>
      </w:r>
    </w:p>
    <w:p>
      <w:pPr>
        <w:pStyle w:val="TextBody"/>
        <w:bidi w:val="0"/>
        <w:spacing w:lineRule="auto" w:line="240" w:before="0" w:after="240"/>
        <w:ind w:left="0" w:right="0" w:firstLine="720"/>
        <w:jc w:val="both"/>
        <w:rPr/>
      </w:pPr>
      <w:r>
        <w:rPr>
          <w:rFonts w:ascii="Times New Roman;sans-serif" w:hAnsi="Times New Roman;sans-serif"/>
          <w:b/>
          <w:color w:val="000000"/>
          <w:sz w:val="22"/>
        </w:rPr>
        <w:t>6.17</w:t>
      </w:r>
      <w:r>
        <w:rPr>
          <w:rFonts w:ascii="Times New Roman;sans-serif" w:hAnsi="Times New Roman;sans-serif"/>
          <w:b/>
          <w:color w:val="000000"/>
          <w:sz w:val="22"/>
        </w:rPr>
        <w:t>Demonstrator, Rental Vehicle or Other Mileaged New Vehicle</w:t>
      </w:r>
      <w:r>
        <w:rPr>
          <w:rFonts w:ascii="Times New Roman;sans-serif" w:hAnsi="Times New Roman;sans-serif"/>
          <w:b w:val="false"/>
          <w:color w:val="000000"/>
          <w:sz w:val="22"/>
        </w:rPr>
        <w:t>. With respect to any Vehicle used by the Company or any Subsidiary as a Demonstrator, Rental Vehicle or other mileaged New Vehicle, the Company or such Subsidiary shall designate such Vehicle in its books and records as a Demonstrator, Rental Vehicle or other mileaged New Vehicle, as the case may be, and indicate in such books and records when such Vehicle was Deemed To Be A Mileage Vehicle.</w:t>
      </w:r>
    </w:p>
    <w:p>
      <w:pPr>
        <w:pStyle w:val="TextBody"/>
        <w:bidi w:val="0"/>
        <w:spacing w:lineRule="auto" w:line="240" w:before="0" w:after="240"/>
        <w:ind w:left="0" w:right="0" w:firstLine="720"/>
        <w:jc w:val="both"/>
        <w:rPr/>
      </w:pPr>
      <w:r>
        <w:rPr>
          <w:rFonts w:ascii="Times New Roman;sans-serif" w:hAnsi="Times New Roman;sans-serif"/>
          <w:b/>
          <w:color w:val="000000"/>
          <w:sz w:val="22"/>
        </w:rPr>
        <w:t>6.18</w:t>
      </w:r>
      <w:r>
        <w:rPr>
          <w:rFonts w:ascii="Times New Roman;sans-serif" w:hAnsi="Times New Roman;sans-serif"/>
          <w:b/>
          <w:color w:val="000000"/>
          <w:sz w:val="22"/>
        </w:rPr>
        <w:t>Anti-Corruption Laws</w:t>
      </w:r>
      <w:r>
        <w:rPr>
          <w:rFonts w:ascii="Times New Roman;sans-serif" w:hAnsi="Times New Roman;sans-serif"/>
          <w:b w:val="false"/>
          <w:color w:val="000000"/>
          <w:sz w:val="22"/>
        </w:rPr>
        <w:t>. Conduct its businesses in material compliance with the United States Foreign Corrupt Practices Act of 1977 and other similar anti-corruption legislation in other jurisdictions that are applicable to any Borrower or its Subsidiaries (including, if applicable, the UK Bribery Act 2010), and maintain policies and procedures designed to promote and achieve compliance with such laws.</w:t>
      </w:r>
    </w:p>
    <w:p>
      <w:pPr>
        <w:pStyle w:val="TextBody"/>
        <w:bidi w:val="0"/>
        <w:spacing w:lineRule="auto" w:line="240" w:before="0" w:after="240"/>
        <w:jc w:val="center"/>
        <w:rPr/>
      </w:pPr>
      <w:r>
        <w:rPr>
          <w:rFonts w:ascii="Times New Roman;sans-serif" w:hAnsi="Times New Roman;sans-serif"/>
          <w:b/>
          <w:color w:val="000000"/>
          <w:sz w:val="22"/>
        </w:rPr>
        <w:t>ARTICLE VII.</w:t>
      </w:r>
      <w:r>
        <w:rPr>
          <w:color w:val="000000"/>
        </w:rPr>
        <w:t xml:space="preserve"> </w:t>
      </w:r>
      <w:r>
        <w:rPr>
          <w:rFonts w:ascii="Times New Roman;sans-serif" w:hAnsi="Times New Roman;sans-serif"/>
          <w:b/>
          <w:color w:val="000000"/>
          <w:sz w:val="22"/>
        </w:rPr>
        <w:t>NEGATIVE COVENANTS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So long as any Lender shall have any Commitment hereunder, any Loan or other Obligation hereunder (other than Obligations consisting of continuing indemnities and other contingent Obligations that, in each case, expressly survive termination of this Agreement and for which no claim has been made against any Loan Party) shall remain unpaid or unsatisfied, or any Letter of Credit shall remain outstanding, the Company shall not, nor shall it permit any Subsidiary (other than the Specified Insurance Subsidiaries and any Designated Escrow Subsidiary) to, directly or indirectly:</w:t>
      </w:r>
    </w:p>
    <w:p>
      <w:pPr>
        <w:pStyle w:val="TextBody"/>
        <w:bidi w:val="0"/>
        <w:spacing w:lineRule="auto" w:line="240" w:before="0" w:after="240"/>
        <w:ind w:left="0" w:right="0" w:hanging="720"/>
        <w:jc w:val="both"/>
        <w:rPr/>
      </w:pPr>
      <w:r>
        <w:rPr>
          <w:rFonts w:ascii="Times New Roman;sans-serif" w:hAnsi="Times New Roman;sans-serif"/>
          <w:b/>
          <w:color w:val="000000"/>
          <w:sz w:val="22"/>
        </w:rPr>
        <w:t>7.01Indebtedness</w:t>
      </w:r>
      <w:r>
        <w:rPr>
          <w:rFonts w:ascii="Times New Roman;sans-serif" w:hAnsi="Times New Roman;sans-serif"/>
          <w:b w:val="false"/>
          <w:color w:val="000000"/>
          <w:sz w:val="22"/>
        </w:rPr>
        <w:t>. Incur, create, assume or suffer to exist any Indebtedness, except: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Obligations under this Agreement and the other Loan Documents;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Indebtedness of the Company or any Subsidiary existing at the Closing Date which is reflected in </w:t>
      </w:r>
      <w:r>
        <w:rPr>
          <w:rFonts w:ascii="Times New Roman;sans-serif" w:hAnsi="Times New Roman;sans-serif"/>
          <w:b w:val="false"/>
          <w:color w:val="000000"/>
          <w:sz w:val="22"/>
          <w:u w:val="single"/>
        </w:rPr>
        <w:t>Schedule 7.01(b)</w:t>
      </w:r>
      <w:r>
        <w:rPr>
          <w:color w:val="000000"/>
        </w:rPr>
        <w:t xml:space="preserve"> </w:t>
      </w:r>
      <w:r>
        <w:rPr>
          <w:rFonts w:ascii="Times New Roman;sans-serif" w:hAnsi="Times New Roman;sans-serif"/>
          <w:b w:val="false"/>
          <w:color w:val="000000"/>
          <w:sz w:val="22"/>
        </w:rPr>
        <w:t>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Indebtedness created under leases which, in accordance with GAAP, have been recorded and/or should have been recorded on the books of the applicable Borrower as capital leases or finance leases;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unsecured Subordinated Indebtedness;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 xml:space="preserve">accounts payable (for the deferred purchase price of property or services) which are from time to time incurred in the ordinary course of business and which (i) are not in excess of (A) ninety (90)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367665"/>
                <wp:effectExtent l="0" t="0" r="0" b="0"/>
                <wp:wrapNone/>
                <wp:docPr id="309" name="Frame30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136</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days past the due date or (B) if such account payable has no due date, one hundred twenty (120) days past the invoice or billing date or (ii) if outstanding for more than ninety (90) days past such due date (or one hundred twenty (120) days past such invoice or billing date, as applicable), as to which a good faith dispute exists and adequate reserves in conformity with GAAP have been established on the books of such Person;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Permitted Real Estate Debt and Guarantees by the Company or any Subsidiary that is a Loan Party;</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 xml:space="preserve">Indebtedness (other than floorplan Indebtedness) of any Subsidiary of the Company in existence (but not incurred or created in connection with an acquisition) on the date on which such Subsidiary is acquired by any Loan Party pursuant to a Permitted Acquisition,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(i) neither the Company nor any of its other Subsidiaries has any obligation with respect to such Indebtedness, (ii) none of the properties of the Company or any of its other Subsidiaries is bound with respect to such Indebtedness, and (iii) the Company is in full compliance with </w:t>
      </w:r>
      <w:r>
        <w:rPr>
          <w:rFonts w:ascii="Times New Roman;sans-serif" w:hAnsi="Times New Roman;sans-serif"/>
          <w:b w:val="false"/>
          <w:color w:val="000000"/>
          <w:sz w:val="22"/>
          <w:u w:val="single"/>
        </w:rPr>
        <w:t>Section 7.11</w:t>
      </w:r>
      <w:r>
        <w:rPr>
          <w:color w:val="000000"/>
        </w:rPr>
        <w:t xml:space="preserve"> </w:t>
      </w:r>
      <w:r>
        <w:rPr>
          <w:rFonts w:ascii="Times New Roman;sans-serif" w:hAnsi="Times New Roman;sans-serif"/>
          <w:b w:val="false"/>
          <w:color w:val="000000"/>
          <w:sz w:val="22"/>
        </w:rPr>
        <w:t>hereof immediately before and after such acquisition;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 xml:space="preserve">Indebtedness (other than floorplan Indebtedness) secured by Liens upon any property hereafter acquired by the Company or any of its Subsidiaries which Indebtedness is in existence on the date of a Permitted Acquisition (but not incurred or created in connection with such acquisition) at a time when the Company is in full compliance with </w:t>
      </w:r>
      <w:r>
        <w:rPr>
          <w:rFonts w:ascii="Times New Roman;sans-serif" w:hAnsi="Times New Roman;sans-serif"/>
          <w:b w:val="false"/>
          <w:color w:val="000000"/>
          <w:sz w:val="22"/>
          <w:u w:val="single"/>
        </w:rPr>
        <w:t>Section 7.11</w:t>
      </w:r>
      <w:r>
        <w:rPr>
          <w:color w:val="000000"/>
        </w:rPr>
        <w:t xml:space="preserve"> </w:t>
      </w:r>
      <w:r>
        <w:rPr>
          <w:rFonts w:ascii="Times New Roman;sans-serif" w:hAnsi="Times New Roman;sans-serif"/>
          <w:b w:val="false"/>
          <w:color w:val="000000"/>
          <w:sz w:val="22"/>
        </w:rPr>
        <w:t>hereof immediately before and after such Permitted Acquisition, which Indebtedness is assumed by such acquiring Person simultaneously with such acquisition, which Liens extend only to such property so acquired (and not to any after-acquired property) and with respect to which Indebtedness neither the Company nor any of its Subsidiaries (other than the acquiring Person and its Subsidiaries) has any obligation;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contingent obligations (including Guarantees) of any Indebtedness permitted hereunder;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rPr>
        <w:t xml:space="preserve">Indebtedness in respect of obligations (contingent or otherwise) of the Company or any Subsidiary existing or arising under any Swap Contract,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such obligations are (or were) entered into by such Person in the ordinary course of business for the purpose of directly mitigating risks or managing costs associated with liabilities, commitments, investments, assets, or property held or reasonably anticipated by such Person, or changes in the value of securities issued by such Person, and not for purposes of speculation; and (ii) such Swap Contract does not contain any provision exonerating the non-defaulting party from its obligation to make payments on outstanding transactions to the defaulting party;</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(k)</w:t>
      </w:r>
      <w:r>
        <w:rPr>
          <w:rFonts w:ascii="Times New Roman;sans-serif" w:hAnsi="Times New Roman;sans-serif"/>
          <w:b w:val="false"/>
          <w:color w:val="000000"/>
          <w:sz w:val="22"/>
        </w:rPr>
        <w:t xml:space="preserve">Indebtedness that renews, refinances, refunds or extends any then-existing Indebtedness (other than Permitted FMCC Floorplan Indebtedness or Permitted Service Loaner Indebtedness) of any Loan Party, so long as (A) such renewal, refinancing, refunding or extension does not in any material respect increase the principal amount thereof or expand or add any property subject to any Lien (unless otherwise permitted under this Agreement), (B) if the Indebtedness being refinanced is Subordinated Indebtedness, then such refinancing Indebtedness must also be Subordinated Indebtedness, (C) such renewal, refinancing, refunding, or extension has a final maturity date equal to or greater than the final maturity of, and has a weighted average life to maturity equal to or greater than the weighted average life to maturity of, the Indebtedness being renewed, refinanced, refunded or extended, and (D) without limitation of any other provision herein (including </w:t>
      </w:r>
      <w:r>
        <w:rPr>
          <w:rFonts w:ascii="Times New Roman;sans-serif" w:hAnsi="Times New Roman;sans-serif"/>
          <w:b w:val="false"/>
          <w:color w:val="000000"/>
          <w:sz w:val="22"/>
          <w:u w:val="single"/>
        </w:rPr>
        <w:t>Section 7.16</w:t>
      </w:r>
      <w:r>
        <w:rPr>
          <w:rFonts w:ascii="Times New Roman;sans-serif" w:hAnsi="Times New Roman;sans-serif"/>
          <w:b w:val="false"/>
          <w:color w:val="000000"/>
          <w:sz w:val="22"/>
        </w:rPr>
        <w:t>), the terms and conditions (including, without limitation, terms and conditions relating to repurchase, redemption, prepayment and defeasance requirements) of such renewal, refinancing, refunding or extension are not materially more restrictive or burdensome than the Indebtedness being renewed, refinanced, refunded or extended (as determined by the Company in good faith);</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(l)</w:t>
      </w:r>
      <w:r>
        <w:rPr>
          <w:rFonts w:ascii="Times New Roman;sans-serif" w:hAnsi="Times New Roman;sans-serif"/>
          <w:b w:val="false"/>
          <w:color w:val="000000"/>
          <w:sz w:val="22"/>
        </w:rPr>
        <w:t>Indebtedness of any Loan Party secured by Liens upon property (other than Inventory, property acquired using purchase-money Indebtedness with respect to that property provided by Lenders pursuant to this Agreement, or any property included in the Revolving Borrowing Base) which Liens extend only to such property, with respect to which Indebtedness none of the Subsidiaries other than the owner of such encumbered asset has any obligation;</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367665"/>
                <wp:effectExtent l="0" t="0" r="0" b="0"/>
                <wp:wrapNone/>
                <wp:docPr id="310" name="Frame30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137</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(m)</w:t>
      </w:r>
      <w:r>
        <w:rPr>
          <w:rFonts w:ascii="Times New Roman;sans-serif" w:hAnsi="Times New Roman;sans-serif"/>
          <w:b w:val="false"/>
          <w:color w:val="000000"/>
          <w:sz w:val="22"/>
        </w:rPr>
        <w:t xml:space="preserve">unsecured Indebtedness of the Company and Guarantees of such Indebtedness by Subsidiary Guarantors;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 the Company and its Subsidiaries shall be in Pro Forma Compliance after giving effect to the incurrence of any such Indebtedness, and (B) not more than $75,000,000 of such aggregate amount may have a maturity prior to the then applicable Maturity Date at the time of such incurrence;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(n)</w:t>
      </w:r>
      <w:r>
        <w:rPr>
          <w:rFonts w:ascii="Times New Roman;sans-serif" w:hAnsi="Times New Roman;sans-serif"/>
          <w:b w:val="false"/>
          <w:color w:val="000000"/>
          <w:sz w:val="22"/>
        </w:rPr>
        <w:t xml:space="preserve">Indebtedness consisting of Guarantees by the Company or any of its Subsidiaries in favor of any Person of retail installment contracts or other retail payment obligations in respect of Vehicles sold to a customer;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sum of (A) the aggregate face amount of such guaranteed retail installment contracts and other retail payment obligations described in this </w:t>
      </w:r>
      <w:r>
        <w:rPr>
          <w:rFonts w:ascii="Times New Roman;sans-serif" w:hAnsi="Times New Roman;sans-serif"/>
          <w:b w:val="false"/>
          <w:color w:val="000000"/>
          <w:sz w:val="22"/>
          <w:u w:val="single"/>
        </w:rPr>
        <w:t>Section 7.01(n)</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(B) the aggregate amount of Investments (on a gross basis excluding any reserves) permitted under </w:t>
      </w:r>
      <w:r>
        <w:rPr>
          <w:rFonts w:ascii="Times New Roman;sans-serif" w:hAnsi="Times New Roman;sans-serif"/>
          <w:b w:val="false"/>
          <w:color w:val="000000"/>
          <w:sz w:val="22"/>
          <w:u w:val="single"/>
        </w:rPr>
        <w:t>Section 7.05(j)</w:t>
      </w:r>
      <w:r>
        <w:rPr>
          <w:color w:val="000000"/>
        </w:rPr>
        <w:t xml:space="preserve"> </w:t>
      </w:r>
      <w:r>
        <w:rPr>
          <w:rFonts w:ascii="Times New Roman;sans-serif" w:hAnsi="Times New Roman;sans-serif"/>
          <w:b w:val="false"/>
          <w:color w:val="000000"/>
          <w:sz w:val="22"/>
        </w:rPr>
        <w:t>shall not exceed $35,000,000 at any time;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(o)</w:t>
      </w:r>
      <w:r>
        <w:rPr>
          <w:rFonts w:ascii="Times New Roman;sans-serif" w:hAnsi="Times New Roman;sans-serif"/>
          <w:b w:val="false"/>
          <w:color w:val="000000"/>
          <w:sz w:val="22"/>
        </w:rPr>
        <w:t xml:space="preserve">Obligations in respect of surety or other bonds or similar instruments entered into in the ordinary course of business;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aggregate amount of such Indebtedness shall not exceed $25,000,000 at any time;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(p)</w:t>
      </w:r>
      <w:r>
        <w:rPr>
          <w:rFonts w:ascii="Times New Roman;sans-serif" w:hAnsi="Times New Roman;sans-serif"/>
          <w:b w:val="false"/>
          <w:color w:val="000000"/>
          <w:sz w:val="22"/>
        </w:rPr>
        <w:t xml:space="preserve">Unsecured Indebtedness owed by the Company or any Subsidiary Guarantor to the Company or to any Subsidiary of the Company;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(q)</w:t>
      </w:r>
      <w:r>
        <w:rPr>
          <w:rFonts w:ascii="Times New Roman;sans-serif" w:hAnsi="Times New Roman;sans-serif"/>
          <w:b w:val="false"/>
          <w:color w:val="000000"/>
          <w:sz w:val="22"/>
        </w:rPr>
        <w:t xml:space="preserve">Indebtedness of any Borrower created under a Qualified Service Loaner Program;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(r)</w:t>
      </w:r>
      <w:r>
        <w:rPr>
          <w:rFonts w:ascii="Times New Roman;sans-serif" w:hAnsi="Times New Roman;sans-serif"/>
          <w:b w:val="false"/>
          <w:color w:val="000000"/>
          <w:sz w:val="22"/>
        </w:rPr>
        <w:t>Permitted FMCC Floorplan Indebtedness;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(s)</w:t>
      </w:r>
      <w:r>
        <w:rPr>
          <w:rFonts w:ascii="Times New Roman;sans-serif" w:hAnsi="Times New Roman;sans-serif"/>
          <w:b w:val="false"/>
          <w:color w:val="000000"/>
          <w:sz w:val="22"/>
        </w:rPr>
        <w:t xml:space="preserve">Indebtedness of the Company under a bridge loan facility with a maturity that is 364 days or less from the date of the incurrence of such Indebtedness. </w:t>
      </w:r>
    </w:p>
    <w:p>
      <w:pPr>
        <w:pStyle w:val="TextBody"/>
        <w:bidi w:val="0"/>
        <w:spacing w:lineRule="auto" w:line="240" w:before="0" w:after="240"/>
        <w:ind w:left="0" w:right="0" w:firstLine="720"/>
        <w:jc w:val="both"/>
        <w:rPr/>
      </w:pPr>
      <w:r>
        <w:rPr>
          <w:rFonts w:ascii="Times New Roman;sans-serif" w:hAnsi="Times New Roman;sans-serif"/>
          <w:b/>
          <w:color w:val="000000"/>
          <w:sz w:val="22"/>
        </w:rPr>
        <w:t>7.02</w:t>
      </w:r>
      <w:r>
        <w:rPr>
          <w:rFonts w:ascii="Times New Roman;sans-serif" w:hAnsi="Times New Roman;sans-serif"/>
          <w:b/>
          <w:color w:val="000000"/>
          <w:sz w:val="22"/>
        </w:rPr>
        <w:t>Liens</w:t>
      </w:r>
      <w:r>
        <w:rPr>
          <w:rFonts w:ascii="Times New Roman;sans-serif" w:hAnsi="Times New Roman;sans-serif"/>
          <w:b w:val="false"/>
          <w:color w:val="000000"/>
          <w:sz w:val="22"/>
        </w:rPr>
        <w:t>. Incur, create, assume or permit to exist any Lien on any of its property or assets, whether owned at the date hereof or hereafter acquired, except: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Liens securing payment of the Obligations;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Liens of the lessor on the property leased pursuant to a lease permitted by </w:t>
      </w:r>
      <w:r>
        <w:rPr>
          <w:rFonts w:ascii="Times New Roman;sans-serif" w:hAnsi="Times New Roman;sans-serif"/>
          <w:b w:val="false"/>
          <w:color w:val="000000"/>
          <w:sz w:val="22"/>
          <w:u w:val="single"/>
        </w:rPr>
        <w:t>Section 7.01(c)</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Liens on property (other than Inventory, property acquired using purchase-money Indebtedness with respect to that property provided by Lenders pursuant to this Agreement, or any property included in the Revolving Borrowing Base), which Liens secure Indebtedness permitted by </w:t>
      </w:r>
      <w:r>
        <w:rPr>
          <w:rFonts w:ascii="Times New Roman;sans-serif" w:hAnsi="Times New Roman;sans-serif"/>
          <w:b w:val="false"/>
          <w:color w:val="000000"/>
          <w:sz w:val="22"/>
          <w:u w:val="single"/>
        </w:rPr>
        <w:t>Section 7.01(l)</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Liens on real property, fixtures, related real property rights and related contracts, and proceeds of the foregoing (including, without limitation, insurance proceeds in respect of the foregoing) owned by such Loan Party (in each case, other than property included in the Revolving Borrowing Base), securing Permitted Real Estate Debt;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 xml:space="preserve">extensions, renewals and replacements of Liens referred to in </w:t>
      </w:r>
      <w:r>
        <w:rPr>
          <w:rFonts w:ascii="Times New Roman;sans-serif" w:hAnsi="Times New Roman;sans-serif"/>
          <w:b w:val="false"/>
          <w:color w:val="000000"/>
          <w:sz w:val="22"/>
          <w:u w:val="single"/>
        </w:rPr>
        <w:t>Section 7.02(a)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(c)</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(d)</w:t>
      </w:r>
      <w:r>
        <w:rPr>
          <w:rFonts w:ascii="Times New Roman;sans-serif" w:hAnsi="Times New Roman;sans-serif"/>
          <w:b w:val="false"/>
          <w:color w:val="000000"/>
          <w:sz w:val="22"/>
        </w:rPr>
        <w:t xml:space="preserve">, and </w:t>
      </w:r>
      <w:r>
        <w:rPr>
          <w:rFonts w:ascii="Times New Roman;sans-serif" w:hAnsi="Times New Roman;sans-serif"/>
          <w:b w:val="false"/>
          <w:color w:val="000000"/>
          <w:sz w:val="22"/>
          <w:u w:val="single"/>
        </w:rPr>
        <w:t>(g)</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any such extension, renewal or replacement Lien shall be limited to the property or assets covered by the Lien being extended, renewed or replaced and that the Indebtedness secured by any such extension, renewal or replacement lien shall be in an amount not greater than (i) the amount of the Indebtedness secured by the original Lien extended, renewed or replaced,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(ii) any closing fees, prepayment premiums and reasonable closing costs related to such extension, renewal or replacement;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 xml:space="preserve">Liens (including, without limitation, certain rights of set-off and title retention agreements) in favor of a Manufacturer securing amounts owing in connection with Inventory purchased from such Manufacturer, so long as such Liens do not secure Indebtedness, other than (i) Indebtedness of the type described in clause (e) of the definition of “Indebtedness” (and which Indebtedness does not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367665"/>
                <wp:effectExtent l="0" t="0" r="0" b="0"/>
                <wp:wrapNone/>
                <wp:docPr id="311" name="Frame30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138</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satisfy the requirements of clause (a), (b), (c), (d), (f), (g) or (h) of such definition) and (ii) Guarantees of Indebtedness described in clause (i) above;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 xml:space="preserve">Liens on property (other than Inventory, property acquired using purchase-money Indebtedness with respect to that property provided by Lenders pursuant to this Agreement, or any property included in the Revolving Borrowing Base) related to other Indebtedness permitted under </w:t>
      </w:r>
      <w:r>
        <w:rPr>
          <w:rFonts w:ascii="Times New Roman;sans-serif" w:hAnsi="Times New Roman;sans-serif"/>
          <w:b w:val="false"/>
          <w:color w:val="000000"/>
          <w:sz w:val="22"/>
          <w:u w:val="single"/>
        </w:rPr>
        <w:t>Section 7.01(g)</w:t>
      </w:r>
      <w:r>
        <w:rPr>
          <w:rFonts w:ascii="Times New Roman;sans-serif" w:hAnsi="Times New Roman;sans-serif"/>
          <w:b w:val="false"/>
          <w:color w:val="000000"/>
          <w:sz w:val="22"/>
        </w:rPr>
        <w:t xml:space="preserve">, or </w:t>
      </w:r>
      <w:r>
        <w:rPr>
          <w:rFonts w:ascii="Times New Roman;sans-serif" w:hAnsi="Times New Roman;sans-serif"/>
          <w:b w:val="false"/>
          <w:color w:val="000000"/>
          <w:sz w:val="22"/>
          <w:u w:val="single"/>
        </w:rPr>
        <w:t>(h)</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 xml:space="preserve">Liens on property (including real property) other than the Collateral or property included in the Revolving Borrowing Base,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which Liens secure Swap Contracts permitted under </w:t>
      </w:r>
      <w:r>
        <w:rPr>
          <w:rFonts w:ascii="Times New Roman;sans-serif" w:hAnsi="Times New Roman;sans-serif"/>
          <w:b w:val="false"/>
          <w:color w:val="000000"/>
          <w:sz w:val="22"/>
          <w:u w:val="single"/>
        </w:rPr>
        <w:t>Section 7.01(j)</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 xml:space="preserve">Liens securing Permitted Service Loaner Indebtedness (which Liens extend only to Rental Vehicles financed by such Permitted Service Loaner Indebtedness and proceeds of such Vehicles);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rPr>
        <w:t xml:space="preserve">Liens securing Permitted FMCC Floorplan Indebtedness permitted by </w:t>
      </w:r>
      <w:r>
        <w:rPr>
          <w:rFonts w:ascii="Times New Roman;sans-serif" w:hAnsi="Times New Roman;sans-serif"/>
          <w:b w:val="false"/>
          <w:color w:val="000000"/>
          <w:sz w:val="22"/>
          <w:u w:val="single"/>
        </w:rPr>
        <w:t>Section 7.01(r)</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(k)</w:t>
      </w:r>
      <w:r>
        <w:rPr>
          <w:rFonts w:ascii="Times New Roman;sans-serif" w:hAnsi="Times New Roman;sans-serif"/>
          <w:b w:val="false"/>
          <w:color w:val="000000"/>
          <w:sz w:val="22"/>
        </w:rPr>
        <w:t>Liens for Taxes not past due for more than thirty (30) days or Taxes being contested in good faith and by appropriate proceedings diligently conducted, and as to which reserves or other appropriate provisions as may be required by GAAP are being maintained;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(l)</w:t>
      </w:r>
      <w:r>
        <w:rPr>
          <w:rFonts w:ascii="Times New Roman;sans-serif" w:hAnsi="Times New Roman;sans-serif"/>
          <w:b w:val="false"/>
          <w:color w:val="000000"/>
          <w:sz w:val="22"/>
        </w:rPr>
        <w:t>carriers’, warehousemen’s, mechanics’, materialmen’s, landlord’s and other like statutory or contractual Liens arising in the ordinary course of business securing obligations which are not overdue for a period of more than thirty (30) days or which are being contested in good faith and by appropriate proceedings, diligently conducted, and as to which such reserves or other appropriate provisions as may be required by GAAP are being maintained;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(m)</w:t>
      </w:r>
      <w:r>
        <w:rPr>
          <w:rFonts w:ascii="Times New Roman;sans-serif" w:hAnsi="Times New Roman;sans-serif"/>
          <w:b w:val="false"/>
          <w:color w:val="000000"/>
          <w:sz w:val="22"/>
        </w:rPr>
        <w:t>pledges or deposits in connection with workers’ compensation, unemployment insurance and other social security legislation;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(n)</w:t>
      </w:r>
      <w:r>
        <w:rPr>
          <w:rFonts w:ascii="Times New Roman;sans-serif" w:hAnsi="Times New Roman;sans-serif"/>
          <w:b w:val="false"/>
          <w:color w:val="000000"/>
          <w:sz w:val="22"/>
        </w:rPr>
        <w:t>deposits to secure the performance of bids, trade contracts, statutory obligations, and other obligations of a like nature incurred in the ordinary course of business;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(o)</w:t>
      </w:r>
      <w:r>
        <w:rPr>
          <w:rFonts w:ascii="Times New Roman;sans-serif" w:hAnsi="Times New Roman;sans-serif"/>
          <w:b w:val="false"/>
          <w:color w:val="000000"/>
          <w:sz w:val="22"/>
        </w:rPr>
        <w:t xml:space="preserve">zoning, easements and other restrictions on the use of real property that do not, in the aggregate, materially impair the use of such property;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(p)</w:t>
      </w:r>
      <w:r>
        <w:rPr>
          <w:rFonts w:ascii="Times New Roman;sans-serif" w:hAnsi="Times New Roman;sans-serif"/>
          <w:b w:val="false"/>
          <w:color w:val="000000"/>
          <w:sz w:val="22"/>
        </w:rPr>
        <w:t xml:space="preserve">Liens in existence on the date hereof and listed on </w:t>
      </w:r>
      <w:r>
        <w:rPr>
          <w:rFonts w:ascii="Times New Roman;sans-serif" w:hAnsi="Times New Roman;sans-serif"/>
          <w:b w:val="false"/>
          <w:color w:val="000000"/>
          <w:sz w:val="22"/>
          <w:u w:val="single"/>
        </w:rPr>
        <w:t>Schedule 7.02</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(q)</w:t>
      </w:r>
      <w:r>
        <w:rPr>
          <w:rFonts w:ascii="Times New Roman;sans-serif" w:hAnsi="Times New Roman;sans-serif"/>
          <w:b w:val="false"/>
          <w:color w:val="000000"/>
          <w:sz w:val="22"/>
        </w:rPr>
        <w:t xml:space="preserve">purchase options and rights of first refusal in favor of a Manufacturer arising under a Framework Agreement or a Franchise Agreement or the documents executed and delivered in connection therewith;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(r)</w:t>
      </w:r>
      <w:r>
        <w:rPr>
          <w:rFonts w:ascii="Times New Roman;sans-serif" w:hAnsi="Times New Roman;sans-serif"/>
          <w:b w:val="false"/>
          <w:color w:val="000000"/>
          <w:sz w:val="22"/>
        </w:rPr>
        <w:t xml:space="preserve">Liens on real property, fixtures, related real property rights and related contracts, and proceeds of the foregoing (including, without limitation, insurance proceeds in respect of the foregoing) owned by such Loan Party (in each case, other than property included in the Revolving Borrowing Base), securing Indebtedness permitted by </w:t>
      </w:r>
      <w:r>
        <w:rPr>
          <w:rFonts w:ascii="Times New Roman;sans-serif" w:hAnsi="Times New Roman;sans-serif"/>
          <w:b w:val="false"/>
          <w:color w:val="000000"/>
          <w:sz w:val="22"/>
          <w:u w:val="single"/>
        </w:rPr>
        <w:t>Section 7.01(s)</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and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(s)</w:t>
      </w:r>
      <w:r>
        <w:rPr>
          <w:rFonts w:ascii="Times New Roman;sans-serif" w:hAnsi="Times New Roman;sans-serif"/>
          <w:b w:val="false"/>
          <w:color w:val="000000"/>
          <w:sz w:val="22"/>
        </w:rPr>
        <w:t>Liens not otherwise permitted hereby securing permitted Indebtedness of the Company and its Subsidiaries so long as, after giving effect to such Indebtedness, the aggregate principal amount of Indebtedness secured by such Liens does not exceed $35,000,000 at any time.</w:t>
      </w:r>
    </w:p>
    <w:p>
      <w:pPr>
        <w:pStyle w:val="TextBody"/>
        <w:bidi w:val="0"/>
        <w:spacing w:lineRule="auto" w:line="240" w:before="0" w:after="240"/>
        <w:ind w:left="0" w:right="0" w:firstLine="720"/>
        <w:jc w:val="both"/>
        <w:rPr/>
      </w:pPr>
      <w:r>
        <w:rPr>
          <w:rFonts w:ascii="Times New Roman;sans-serif" w:hAnsi="Times New Roman;sans-serif"/>
          <w:b/>
          <w:color w:val="000000"/>
          <w:sz w:val="22"/>
        </w:rPr>
        <w:t>7.03</w:t>
      </w:r>
      <w:r>
        <w:rPr>
          <w:rFonts w:ascii="Times New Roman;sans-serif" w:hAnsi="Times New Roman;sans-serif"/>
          <w:b/>
          <w:color w:val="000000"/>
          <w:sz w:val="22"/>
        </w:rPr>
        <w:t>Consolidations and Mergers</w:t>
      </w:r>
      <w:r>
        <w:rPr>
          <w:rFonts w:ascii="Times New Roman;sans-serif" w:hAnsi="Times New Roman;sans-serif"/>
          <w:b w:val="false"/>
          <w:color w:val="000000"/>
          <w:sz w:val="22"/>
        </w:rPr>
        <w:t>. Merge, consolidate with or into, or convey, transfer, lease or otherwise dispose of (whether in one transaction or in a series of transactions) all or substantially all of its assets (whether now owned or hereafter acquired) to or in favor of any Person (including, in each case, pursuant to a Division), except:</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367665"/>
                <wp:effectExtent l="0" t="0" r="0" b="0"/>
                <wp:wrapNone/>
                <wp:docPr id="312" name="Frame30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139</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any of its Subsidiaries may merge with the Company,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Company shall be the continuing or surviving Person, or with any one or more such Subsidiaries,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if any such transaction shall be between Subsidiaries, one of which is a wholly-owned Subsidiary and one of which is not a wholly-owned Subsidiary, the wholly-owned Subsidiary shall be the continuing or surviving Person, and (ii) in any such transaction between any Subsidiary that is a Subsidiary Guarantor and an entity that is not the Company or a Subsidiary Guarantor, the surviving entity shall be a Subsidiary Guarantor;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any Subsidiary of the Company may sell or transfer all or substantially all of its assets (upon voluntary liquidation or otherwise) to the Company or a wholly-owned Subsidiary; provided, that (i) any such sale or transfer by a Subsidiary Guarantor shall be to the Company or a Subsidiary Guarantor and (ii) if the buyer or transferee of such assets would be a Restricted Subsidiary (after giving effect to such sale or transfer), such buyer or transferee shall be a Subsidiary Guarantor;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any Subsidiary of the Company or the Company may merge or consolidate with another Person (that is not the Company or any of its Subsidiaries) if (x) the Company or such Subsidiary involved in the merger or the consolidation is the surviving Person and (y) immediately prior to and after giving effect to such merger or consolidation, there exists no Event of Default;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as permitted by </w:t>
      </w:r>
      <w:r>
        <w:rPr>
          <w:rFonts w:ascii="Times New Roman;sans-serif" w:hAnsi="Times New Roman;sans-serif"/>
          <w:b w:val="false"/>
          <w:color w:val="000000"/>
          <w:sz w:val="22"/>
          <w:u w:val="single"/>
        </w:rPr>
        <w:t>Section 7.04(b)</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(e)</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color w:val="000000"/>
          <w:sz w:val="22"/>
        </w:rPr>
        <w:t>7.04</w:t>
      </w:r>
      <w:r>
        <w:rPr>
          <w:rFonts w:ascii="Times New Roman;sans-serif" w:hAnsi="Times New Roman;sans-serif"/>
          <w:b/>
          <w:color w:val="000000"/>
          <w:sz w:val="22"/>
        </w:rPr>
        <w:t>Disposition of Assets</w:t>
      </w:r>
      <w:r>
        <w:rPr>
          <w:rFonts w:ascii="Times New Roman;sans-serif" w:hAnsi="Times New Roman;sans-serif"/>
          <w:b w:val="false"/>
          <w:color w:val="000000"/>
          <w:sz w:val="22"/>
        </w:rPr>
        <w:t>. Permit any Disposition (whether in one or a series of transactions) of any property or assets (including Accounts, notes receivable, and/or chattel paper, with or without recourse) or enter into any agreement so to do, except: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Dispositions of Vehicles and other inventory in the ordinary course of business;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Dispositions of assets, properties or businesses (including the capital stock of Subsidiaries and Franchises) by the Company or any of its Subsidiaries;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 no Event of Default will result from such Disposition, (B) the Company shall be in compliance with </w:t>
      </w:r>
      <w:r>
        <w:rPr>
          <w:rFonts w:ascii="Times New Roman;sans-serif" w:hAnsi="Times New Roman;sans-serif"/>
          <w:b w:val="false"/>
          <w:color w:val="000000"/>
          <w:sz w:val="22"/>
          <w:u w:val="single"/>
        </w:rPr>
        <w:t>Section 7.11</w:t>
      </w:r>
      <w:r>
        <w:rPr>
          <w:rFonts w:ascii="Times New Roman;sans-serif" w:hAnsi="Times New Roman;sans-serif"/>
          <w:b w:val="false"/>
          <w:color w:val="000000"/>
          <w:sz w:val="22"/>
        </w:rPr>
        <w:t>, (C) the Total Revolving Outstandings shall not exceed the lesser of the pro forma Revolving Borrowing Base or the Aggregate Revolving Commitments, (D) the Total Used Vehicle Floorplan Outstandings shall not exceed the lesser of the pro forma Used Vehicle Floorplan Borrowing Base or the Aggregate Used Vehicle Floorplan Commitments and (E) the Total New Vehicle Floorplan Outstandings shall not exceed the Aggregate New Vehicle Floorplan Commitments, in each case, after giving effect to such Disposition.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Dispositions of equipment and other property which is obsolete, worn out or no longer used in or useful to such Person’s business, all in the ordinary course of business;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Dispositions occurring as the result of a casualty event, condemnation or expropriation;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 xml:space="preserve">Dispositions in any year of other property, assets (including capital stock of its Subsidiaries and Affiliates) or businesses of the Company not otherwise permitted by clauses (a) through (d) of this </w:t>
      </w:r>
      <w:r>
        <w:rPr>
          <w:rFonts w:ascii="Times New Roman;sans-serif" w:hAnsi="Times New Roman;sans-serif"/>
          <w:b w:val="false"/>
          <w:color w:val="000000"/>
          <w:sz w:val="22"/>
          <w:u w:val="single"/>
        </w:rPr>
        <w:t>Section 7.04</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Net Cash Proceeds (excluding income taxes reasonably estimated to be actually payable within two years of the date of such Disposition as a result of any gain recognized in connection therewith) realized from such Disposition in any applicable year in excess of ten percent (10%) of the tangible assets of the Company as of the beginning of such year are either reinvested within one (1) year in useful assets or used to repay the Obligations, or, with the consent of the Administrative Agent, other senior Indebtedness (without any permanent reduction of any applicable Commitments);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 xml:space="preserve">Dispositions pursuant to Qualified Sale/Leaseback Transactions so long as no Event of Default exists under </w:t>
      </w:r>
      <w:r>
        <w:rPr>
          <w:rFonts w:ascii="Times New Roman;sans-serif" w:hAnsi="Times New Roman;sans-serif"/>
          <w:b w:val="false"/>
          <w:color w:val="000000"/>
          <w:sz w:val="22"/>
          <w:u w:val="single"/>
        </w:rPr>
        <w:t>Section 8.01(b)</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(e)</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Dispositions of chattel paper, Accounts arising from the wholesale of parts and accessories, and retail sales contracts, in each case in arms-length transactions for fair value in the ordinary course of business;</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367665"/>
                <wp:effectExtent l="0" t="0" r="0" b="0"/>
                <wp:wrapNone/>
                <wp:docPr id="313" name="Frame30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140</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 xml:space="preserve">As permitted in </w:t>
      </w:r>
      <w:r>
        <w:rPr>
          <w:rFonts w:ascii="Times New Roman;sans-serif" w:hAnsi="Times New Roman;sans-serif"/>
          <w:b w:val="false"/>
          <w:color w:val="000000"/>
          <w:sz w:val="22"/>
          <w:u w:val="single"/>
        </w:rPr>
        <w:t>Section 7.03</w:t>
      </w:r>
      <w:r>
        <w:rPr>
          <w:rFonts w:ascii="Times New Roman;sans-serif" w:hAnsi="Times New Roman;sans-serif"/>
          <w:b w:val="false"/>
          <w:color w:val="000000"/>
          <w:sz w:val="22"/>
        </w:rPr>
        <w:t>;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Dispositions of assets (i) by the Company to any Subsidiary Guarantor, (ii) by any Subsidiary to the Company or any Subsidiary Guarantor, or (iii) by any Subsidiary that is not a Subsidiary Guarantor to another Subsidiary that is not a Subsidiary Guarantor; provided, however, that if the recipient of such assets would be a Restricted Subsidiary (after giving effect to such Disposition), such recipient shall be a Subsidiary Guarantor;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in the case of a Disposition pursuant to clause (b), (d), (e) or (f), (i) if the aggregate expected Disposition Proceeds of such Disposition are greater than $50,000,000, the Company shall have given notice to the Administrative Agent stating the proposed date of such Disposition and the expected amount of Disposition Proceeds, and (ii) if the aggregate expected Disposition Proceeds of such Disposition are greater than $75,000,000, or after giving pro forma effect to such Disposition either the Revolving Borrowing Base or the Used Vehicle Floorplan Borrowing Base is decreased by more than ten percent (10%), (y) the Company shall have furnished to the Administrative Agent pro forma historical financial statements as of the end of the most recently completed fiscal year of the Company and most recent interim fiscal quarter, if applicable, giving effect to such Disposition and all other Dispositions consummated since such fiscal year end, and (z) the Company and its Subsidiaries shall be in Pro Forma Compliance after giving effect to such Disposition, as evidenced by a Pro Forma Compliance Certificate, Pro Forma Revolving Borrowing Base Certificate and a Pro Forma Used Vehicle Floorplan Borrowing Base Certificate delivered simultaneously with such pro forma historical financial statements. The Revolving Borrowing Base or Used Vehicle Floorplan Borrowing Base (as applicable) shall not change as a result of such Disposition until such Disposition actually occurs, and the Company and its Subsidiaries shall promptly notify the Administrative Agent when such Disposition occurs or if the date of such Disposition or amount of such Disposition Proceeds has changed or is expected to change.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Notwithstanding anything to the contrary contained in this </w:t>
      </w:r>
      <w:r>
        <w:rPr>
          <w:rFonts w:ascii="Times New Roman;sans-serif" w:hAnsi="Times New Roman;sans-serif"/>
          <w:b w:val="false"/>
          <w:color w:val="000000"/>
          <w:sz w:val="22"/>
          <w:u w:val="single"/>
        </w:rPr>
        <w:t>Section 7.04</w:t>
      </w:r>
      <w:r>
        <w:rPr>
          <w:rFonts w:ascii="Times New Roman;sans-serif" w:hAnsi="Times New Roman;sans-serif"/>
          <w:b w:val="false"/>
          <w:color w:val="000000"/>
          <w:sz w:val="22"/>
        </w:rPr>
        <w:t xml:space="preserve">, neither the Company nor any Subsidiary may make any Disposition (other than, to the extent constituting a Disposition, any Investment in any Designated Escrow Subsidiary permitted under </w:t>
      </w:r>
      <w:r>
        <w:rPr>
          <w:rFonts w:ascii="Times New Roman;sans-serif" w:hAnsi="Times New Roman;sans-serif"/>
          <w:b w:val="false"/>
          <w:color w:val="000000"/>
          <w:sz w:val="22"/>
          <w:u w:val="single"/>
        </w:rPr>
        <w:t>Section 7.05</w:t>
      </w:r>
      <w:r>
        <w:rPr>
          <w:rFonts w:ascii="Times New Roman;sans-serif" w:hAnsi="Times New Roman;sans-serif"/>
          <w:b w:val="false"/>
          <w:color w:val="000000"/>
          <w:sz w:val="22"/>
        </w:rPr>
        <w:t>) to any Designated Escrow Subsidiary during the term of this Agreement.</w:t>
      </w:r>
    </w:p>
    <w:p>
      <w:pPr>
        <w:pStyle w:val="TextBody"/>
        <w:bidi w:val="0"/>
        <w:spacing w:lineRule="auto" w:line="240" w:before="0" w:after="240"/>
        <w:ind w:left="0" w:right="0" w:hanging="720"/>
        <w:jc w:val="both"/>
        <w:rPr/>
      </w:pPr>
      <w:r>
        <w:rPr>
          <w:rFonts w:ascii="Times New Roman;sans-serif" w:hAnsi="Times New Roman;sans-serif"/>
          <w:b/>
          <w:color w:val="000000"/>
          <w:sz w:val="22"/>
        </w:rPr>
        <w:t>7.05Investments</w:t>
      </w:r>
      <w:r>
        <w:rPr>
          <w:rFonts w:ascii="Times New Roman;sans-serif" w:hAnsi="Times New Roman;sans-serif"/>
          <w:b w:val="false"/>
          <w:color w:val="000000"/>
          <w:sz w:val="22"/>
        </w:rPr>
        <w:t>. Make or permit to exist any Investment in any Person, except for: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Permitted Acquisitions;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extensions of credit in the nature of Accounts or notes receivable and/or chattel paper arising from the sale of goods and services in the ordinary course of business;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shares of stock, obligations or other securities received in settlement of claims arising in the ordinary course of business;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Investments in securities maturing within two (2) years and issued or fully guaranteed or insured by the United States of America or any state or agency thereof;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Investments in commercial paper maturing within one year from the date of acquisition thereof and having, at such date of acquisition, a credit rating of at least A-1 from S&amp;P and P-1 from Moody’s;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Investments in certificates of deposit, banker’s acceptances and time deposits maturing within one year from the date of acquisition thereof issued or guaranteed by or placed with, and money market deposit accounts issued or offered by, any domestic office of any commercial bank organized under the Laws of the United States of America or any State thereof that has a combined capital and surplus and undivided profits of not less than $500,000,000, or any Lender;</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367665"/>
                <wp:effectExtent l="0" t="0" r="0" b="0"/>
                <wp:wrapNone/>
                <wp:docPr id="314" name="Frame30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141</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fully collateralized repurchase agreements with a term of not more than 30 days for securities described in clause (d) above and entered into with a financial institution satisfying the criteria described in clause (f) above;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money market funds that (i) comply with the criteria set forth in SEC Rule 2a-7 under the Investment Company Act of 1940, (ii) are rated or invest solely in the assets described in clauses (e) through (g) above and (iii) have portfolio assets of at least $5,000,000,000;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Investments to the extent the payment for such Investment is made solely with Equity Interests of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rPr>
        <w:t xml:space="preserve">Investments in seller-financed notes and retail sales contracts in connection with Vehicles;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sum of (i) such Investments described in this </w:t>
      </w:r>
      <w:r>
        <w:rPr>
          <w:rFonts w:ascii="Times New Roman;sans-serif" w:hAnsi="Times New Roman;sans-serif"/>
          <w:b w:val="false"/>
          <w:color w:val="000000"/>
          <w:sz w:val="22"/>
          <w:u w:val="single"/>
        </w:rPr>
        <w:t>Section 7.05(j)</w:t>
      </w:r>
      <w:r>
        <w:rPr>
          <w:color w:val="000000"/>
        </w:rPr>
        <w:t xml:space="preserve"> </w:t>
      </w:r>
      <w:r>
        <w:rPr>
          <w:rFonts w:ascii="Times New Roman;sans-serif" w:hAnsi="Times New Roman;sans-serif"/>
          <w:b w:val="false"/>
          <w:color w:val="000000"/>
          <w:sz w:val="22"/>
        </w:rPr>
        <w:t xml:space="preserve">(on a gross basis excluding any reserves),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(ii) the aggregate face amount of Indebtedness permitted under </w:t>
      </w:r>
      <w:r>
        <w:rPr>
          <w:rFonts w:ascii="Times New Roman;sans-serif" w:hAnsi="Times New Roman;sans-serif"/>
          <w:b w:val="false"/>
          <w:color w:val="000000"/>
          <w:sz w:val="22"/>
          <w:u w:val="single"/>
        </w:rPr>
        <w:t>Section 7.01(n)</w:t>
      </w:r>
      <w:r>
        <w:rPr>
          <w:color w:val="000000"/>
        </w:rPr>
        <w:t xml:space="preserve"> </w:t>
      </w:r>
      <w:r>
        <w:rPr>
          <w:rFonts w:ascii="Times New Roman;sans-serif" w:hAnsi="Times New Roman;sans-serif"/>
          <w:b w:val="false"/>
          <w:color w:val="000000"/>
          <w:sz w:val="22"/>
        </w:rPr>
        <w:t>shall not exceed $35,000,000 at any time;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(k)</w:t>
      </w:r>
      <w:r>
        <w:rPr>
          <w:rFonts w:ascii="Times New Roman;sans-serif" w:hAnsi="Times New Roman;sans-serif"/>
          <w:b w:val="false"/>
          <w:color w:val="000000"/>
          <w:sz w:val="22"/>
        </w:rPr>
        <w:t>Investments in (including loans to) the Company or wholly-owned Subsidiaries that are Subsidiary Guarantors;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(l)</w:t>
      </w:r>
      <w:r>
        <w:rPr>
          <w:rFonts w:ascii="Times New Roman;sans-serif" w:hAnsi="Times New Roman;sans-serif"/>
          <w:b w:val="false"/>
          <w:color w:val="000000"/>
          <w:sz w:val="22"/>
        </w:rPr>
        <w:t xml:space="preserve">Investments in (including loans to) Subsidiaries that are not Subsidiary Guarantors (including any equity Investments in any Captive Insurance Company to meet the insurance capital requirements of such Captive Insurance Company to the extent required by applicable law or regulation) in an aggregate amount of not more than $50,000,000 during the term of this Agreement;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(m)</w:t>
      </w:r>
      <w:r>
        <w:rPr>
          <w:rFonts w:ascii="Times New Roman;sans-serif" w:hAnsi="Times New Roman;sans-serif"/>
          <w:b w:val="false"/>
          <w:color w:val="000000"/>
          <w:sz w:val="22"/>
        </w:rPr>
        <w:t xml:space="preserve">Investments in an aggregate amount which, together with the aggregate amount of Restricted Payments made by the Company pursuant to </w:t>
      </w:r>
      <w:r>
        <w:rPr>
          <w:rFonts w:ascii="Times New Roman;sans-serif" w:hAnsi="Times New Roman;sans-serif"/>
          <w:b w:val="false"/>
          <w:color w:val="000000"/>
          <w:sz w:val="22"/>
          <w:u w:val="single"/>
        </w:rPr>
        <w:t>Section 7.10(a)(i)</w:t>
      </w:r>
      <w:r>
        <w:rPr>
          <w:rFonts w:ascii="Times New Roman;sans-serif" w:hAnsi="Times New Roman;sans-serif"/>
          <w:b w:val="false"/>
          <w:color w:val="000000"/>
          <w:sz w:val="22"/>
        </w:rPr>
        <w:t>, shall not exceed the 7.10(a)(i) RP Basket Limit at the time of each such Investment, subject to satisfaction of the conditions set forth in the definition of 7.10(a)(i) RP Basket Limit;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(n)</w:t>
      </w:r>
      <w:r>
        <w:rPr>
          <w:rFonts w:ascii="Times New Roman;sans-serif" w:hAnsi="Times New Roman;sans-serif"/>
          <w:b w:val="false"/>
          <w:color w:val="000000"/>
          <w:sz w:val="22"/>
        </w:rPr>
        <w:t xml:space="preserve">without counting against the 7.10(a)(i) RP Basket Limit set forth in </w:t>
      </w:r>
      <w:r>
        <w:rPr>
          <w:rFonts w:ascii="Times New Roman;sans-serif" w:hAnsi="Times New Roman;sans-serif"/>
          <w:b w:val="false"/>
          <w:color w:val="000000"/>
          <w:sz w:val="22"/>
          <w:u w:val="single"/>
        </w:rPr>
        <w:t>Section 7.10(a)(i)</w:t>
      </w:r>
      <w:r>
        <w:rPr>
          <w:color w:val="000000"/>
        </w:rPr>
        <w:t xml:space="preserve"> </w:t>
      </w:r>
      <w:r>
        <w:rPr>
          <w:rFonts w:ascii="Times New Roman;sans-serif" w:hAnsi="Times New Roman;sans-serif"/>
          <w:b w:val="false"/>
          <w:color w:val="000000"/>
          <w:sz w:val="22"/>
        </w:rPr>
        <w:t xml:space="preserve">below, the Company may make other Investments so long as the Consolidated Total Leverage Ratio is no greater than 3.00 to 1.00 (determined on a pro forma basis after giving effect to such Investment and any other Investment made on such date or at any time after the Applicable Four-Quarter Period);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(o)</w:t>
      </w:r>
      <w:r>
        <w:rPr>
          <w:rFonts w:ascii="Times New Roman;sans-serif" w:hAnsi="Times New Roman;sans-serif"/>
          <w:b w:val="false"/>
          <w:color w:val="000000"/>
          <w:sz w:val="22"/>
        </w:rPr>
        <w:t>Investments in fixed or floating rate demand notes issued by original equipment manufacturers (or their captive finance companies), in each case with a credit rating of at least A- from S&amp;P and A3 from Moody’s;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(p)</w:t>
      </w:r>
      <w:r>
        <w:rPr>
          <w:rFonts w:ascii="Times New Roman;sans-serif" w:hAnsi="Times New Roman;sans-serif"/>
          <w:b w:val="false"/>
          <w:color w:val="000000"/>
          <w:sz w:val="22"/>
        </w:rPr>
        <w:t>other Investments in an aggregate outstanding amount of not more than $75,000,000 during the term of this Agreement.</w:t>
      </w:r>
    </w:p>
    <w:p>
      <w:pPr>
        <w:pStyle w:val="TextBody"/>
        <w:bidi w:val="0"/>
        <w:spacing w:lineRule="auto" w:line="288" w:before="0" w:after="240"/>
        <w:jc w:val="both"/>
        <w:rPr/>
      </w:pPr>
      <w:r>
        <w:rPr>
          <w:rFonts w:ascii="Times New Roman;sans-serif" w:hAnsi="Times New Roman;sans-serif"/>
          <w:b w:val="false"/>
          <w:color w:val="000000"/>
          <w:sz w:val="22"/>
        </w:rPr>
        <w:t xml:space="preserve">(q)Notwithstanding anything to the contrary contained in this </w:t>
      </w:r>
      <w:r>
        <w:rPr>
          <w:rFonts w:ascii="Times New Roman;sans-serif" w:hAnsi="Times New Roman;sans-serif"/>
          <w:b w:val="false"/>
          <w:color w:val="000000"/>
          <w:sz w:val="22"/>
          <w:u w:val="single"/>
        </w:rPr>
        <w:t>Section 7.05</w:t>
      </w:r>
      <w:r>
        <w:rPr>
          <w:rFonts w:ascii="Times New Roman;sans-serif" w:hAnsi="Times New Roman;sans-serif"/>
          <w:b w:val="false"/>
          <w:color w:val="000000"/>
          <w:sz w:val="22"/>
        </w:rPr>
        <w:t xml:space="preserve">, neither the Company nor any Subsidiary may make any Investment in any Designated Escrow Subsidiary during the term of this Agreement other than Investments otherwise permitted by this </w:t>
      </w:r>
      <w:r>
        <w:rPr>
          <w:rFonts w:ascii="Times New Roman;sans-serif" w:hAnsi="Times New Roman;sans-serif"/>
          <w:b w:val="false"/>
          <w:color w:val="000000"/>
          <w:sz w:val="22"/>
          <w:u w:val="single"/>
        </w:rPr>
        <w:t>Section 7.05</w:t>
      </w:r>
      <w:r>
        <w:rPr>
          <w:color w:val="000000"/>
        </w:rPr>
        <w:t xml:space="preserve"> </w:t>
      </w:r>
      <w:r>
        <w:rPr>
          <w:rFonts w:ascii="Times New Roman;sans-serif" w:hAnsi="Times New Roman;sans-serif"/>
          <w:b w:val="false"/>
          <w:color w:val="000000"/>
          <w:sz w:val="22"/>
        </w:rPr>
        <w:t>that do not exceed an aggregate amount necessary to pay (i) the administrative expenses of any Designated Escrow Subsidiary in the ordinary course of business and (ii) interest and premiums in respect of the Indebtedness incurred by such Designated Escrow Subsidiary.</w:t>
      </w:r>
    </w:p>
    <w:p>
      <w:pPr>
        <w:pStyle w:val="TextBody"/>
        <w:bidi w:val="0"/>
        <w:spacing w:lineRule="auto" w:line="240" w:before="0" w:after="240"/>
        <w:ind w:left="0" w:right="0" w:firstLine="720"/>
        <w:jc w:val="both"/>
        <w:rPr/>
      </w:pPr>
      <w:r>
        <w:rPr>
          <w:rFonts w:ascii="Times New Roman;sans-serif" w:hAnsi="Times New Roman;sans-serif"/>
          <w:b/>
          <w:color w:val="000000"/>
          <w:sz w:val="22"/>
        </w:rPr>
        <w:t>7.06</w:t>
      </w:r>
      <w:r>
        <w:rPr>
          <w:rFonts w:ascii="Times New Roman;sans-serif" w:hAnsi="Times New Roman;sans-serif"/>
          <w:b/>
          <w:color w:val="000000"/>
          <w:sz w:val="22"/>
        </w:rPr>
        <w:t>Transactions with Affiliates</w:t>
      </w:r>
      <w:r>
        <w:rPr>
          <w:rFonts w:ascii="Times New Roman;sans-serif" w:hAnsi="Times New Roman;sans-serif"/>
          <w:b w:val="false"/>
          <w:color w:val="000000"/>
          <w:sz w:val="22"/>
        </w:rPr>
        <w:t xml:space="preserve">. Enter into any transaction of any kind with any Affiliate of the Company, whether or not in the ordinary course of business, other than on fair and reasonable terms substantially as favorable to the Company or such Subsidiary as would be obtainable by the Company or such Subsidiary at the time in a comparable arm’s length transaction with a Person other than an Affiliate;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foregoing restriction shall not apply to any transaction between or among the Company or any Subsidiary Guarantor and any other Subsidiary Guarantor or Subsidiary Guarantors.</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367665"/>
                <wp:effectExtent l="0" t="0" r="0" b="0"/>
                <wp:wrapNone/>
                <wp:docPr id="315" name="Frame31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142</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2"/>
        </w:rPr>
        <w:t>7.07</w:t>
      </w:r>
      <w:r>
        <w:rPr>
          <w:rFonts w:ascii="Times New Roman;sans-serif" w:hAnsi="Times New Roman;sans-serif"/>
          <w:b/>
          <w:color w:val="000000"/>
          <w:sz w:val="22"/>
        </w:rPr>
        <w:t>Other Agreements</w:t>
      </w:r>
      <w:r>
        <w:rPr>
          <w:rFonts w:ascii="Times New Roman;sans-serif" w:hAnsi="Times New Roman;sans-serif"/>
          <w:b w:val="false"/>
          <w:color w:val="000000"/>
          <w:sz w:val="22"/>
        </w:rPr>
        <w:t>. Enter into any agreement containing any provision which would be violated or breached by the Company’s or such Subsidiary’s performance of its Obligations hereunder or under any Loan Document delivered or to be delivered by the Loan Parties hereunder or in connection herewith, except for any such agreement the violation or breach of which would not reasonably be expected to have a Material Adverse Effect.</w:t>
      </w:r>
    </w:p>
    <w:p>
      <w:pPr>
        <w:pStyle w:val="TextBody"/>
        <w:bidi w:val="0"/>
        <w:spacing w:lineRule="auto" w:line="240" w:before="0" w:after="240"/>
        <w:ind w:left="0" w:right="0" w:firstLine="720"/>
        <w:jc w:val="both"/>
        <w:rPr/>
      </w:pPr>
      <w:r>
        <w:rPr>
          <w:rFonts w:ascii="Times New Roman;sans-serif" w:hAnsi="Times New Roman;sans-serif"/>
          <w:b/>
          <w:color w:val="000000"/>
          <w:sz w:val="22"/>
        </w:rPr>
        <w:t>7.08</w:t>
      </w:r>
      <w:r>
        <w:rPr>
          <w:rFonts w:ascii="Times New Roman;sans-serif" w:hAnsi="Times New Roman;sans-serif"/>
          <w:b/>
          <w:color w:val="000000"/>
          <w:sz w:val="22"/>
        </w:rPr>
        <w:t>Fiscal Year; Accounting</w:t>
      </w:r>
      <w:r>
        <w:rPr>
          <w:rFonts w:ascii="Times New Roman;sans-serif" w:hAnsi="Times New Roman;sans-serif"/>
          <w:b w:val="false"/>
          <w:color w:val="000000"/>
          <w:sz w:val="22"/>
        </w:rPr>
        <w:t xml:space="preserve">. (a) Change its fiscal year or (b) change its method of accounting (other than, in the case of clause (b), immaterial changes and methods and changes authorized or required by GAAP or permitted by </w:t>
      </w:r>
      <w:r>
        <w:rPr>
          <w:rFonts w:ascii="Times New Roman;sans-serif" w:hAnsi="Times New Roman;sans-serif"/>
          <w:b w:val="false"/>
          <w:color w:val="000000"/>
          <w:sz w:val="22"/>
          <w:u w:val="single"/>
        </w:rPr>
        <w:t>Section 1.04(b)</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color w:val="000000"/>
          <w:sz w:val="22"/>
        </w:rPr>
        <w:t>7.09</w:t>
      </w:r>
      <w:r>
        <w:rPr>
          <w:rFonts w:ascii="Times New Roman;sans-serif" w:hAnsi="Times New Roman;sans-serif"/>
          <w:b/>
          <w:color w:val="000000"/>
          <w:sz w:val="22"/>
        </w:rPr>
        <w:t>Pension Plans</w:t>
      </w:r>
      <w:r>
        <w:rPr>
          <w:rFonts w:ascii="Times New Roman;sans-serif" w:hAnsi="Times New Roman;sans-serif"/>
          <w:b w:val="false"/>
          <w:color w:val="000000"/>
          <w:sz w:val="22"/>
        </w:rPr>
        <w:t>. Permit any condition to exist in connection with any Pension Plan which might constitute grounds for the PBGC to institute proceedings to have such Pension Plan terminated or a trustee appointed to administer such Pension Plan, or engage in, or permit to exist or occur any other condition, event or transaction with respect to any Pension Plan which could be expected to have Material Adverse Effect.</w:t>
      </w:r>
    </w:p>
    <w:p>
      <w:pPr>
        <w:pStyle w:val="TextBody"/>
        <w:bidi w:val="0"/>
        <w:spacing w:lineRule="auto" w:line="240" w:before="0" w:after="240"/>
        <w:ind w:left="0" w:right="0" w:hanging="720"/>
        <w:jc w:val="both"/>
        <w:rPr/>
      </w:pPr>
      <w:r>
        <w:rPr>
          <w:rFonts w:ascii="Times New Roman;sans-serif" w:hAnsi="Times New Roman;sans-serif"/>
          <w:b/>
          <w:color w:val="000000"/>
          <w:sz w:val="22"/>
        </w:rPr>
        <w:t>7.10Restricted Payments and Distributions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Restricted Payments</w:t>
      </w:r>
      <w:r>
        <w:rPr>
          <w:rFonts w:ascii="Times New Roman;sans-serif" w:hAnsi="Times New Roman;sans-serif"/>
          <w:b w:val="false"/>
          <w:color w:val="000000"/>
          <w:sz w:val="22"/>
        </w:rPr>
        <w:t xml:space="preserve">. Declare or make any Restricted Payment, except that the Company or any Subsidiary of the Company may pay dividends to the Company (directly or indirectly) or to another Subsidiary Guarantor that is a wholly-owned Subsidiary of the Company at any time, and may also make the following Restricted Payments, provided that, (x) immediately after giving effect to the declaration of any dividend, and the payment of any Restricted Payment, there exists no Default under </w:t>
      </w:r>
      <w:r>
        <w:rPr>
          <w:rFonts w:ascii="Times New Roman;sans-serif" w:hAnsi="Times New Roman;sans-serif"/>
          <w:b w:val="false"/>
          <w:color w:val="000000"/>
          <w:sz w:val="22"/>
          <w:u w:val="single"/>
        </w:rPr>
        <w:t>Section 8.01(a)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(f)</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8.03(a)</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(g)</w:t>
      </w:r>
      <w:r>
        <w:rPr>
          <w:color w:val="000000"/>
        </w:rPr>
        <w:t xml:space="preserve"> </w:t>
      </w:r>
      <w:r>
        <w:rPr>
          <w:rFonts w:ascii="Times New Roman;sans-serif" w:hAnsi="Times New Roman;sans-serif"/>
          <w:b w:val="false"/>
          <w:color w:val="000000"/>
          <w:sz w:val="22"/>
        </w:rPr>
        <w:t xml:space="preserve">and no Event of Default, and (y) after giving pro forma effect to the declaration of any dividend and the payment of any Restricted Payment made pursuant to clause (i), (ii), (iii), (iv) or (vi) below, the Company is in Pro Forma Compliance with the covenants contained in </w:t>
      </w:r>
      <w:r>
        <w:rPr>
          <w:rFonts w:ascii="Times New Roman;sans-serif" w:hAnsi="Times New Roman;sans-serif"/>
          <w:b w:val="false"/>
          <w:color w:val="000000"/>
          <w:sz w:val="22"/>
          <w:u w:val="single"/>
        </w:rPr>
        <w:t>Section 7.11</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(i)the Company may declare and pay cash dividends on its capital stock and may purchase shares of its capital stock; provided that, at the time of any such cash dividend payment or share purchase and after giving effect to such cash dividend payment or share purchase, the sum of (A) the aggregate amount payable or paid in respect of all cash dividends by the Company or shares purchased by the Company (other than shares purchased pursuant to clause (ii) below) on or after June 30, 2019 plus (B) the aggregate amount of Investments made by the Company on or after June 30, 2019 pursuant to </w:t>
      </w:r>
      <w:r>
        <w:rPr>
          <w:rFonts w:ascii="Times New Roman;sans-serif" w:hAnsi="Times New Roman;sans-serif"/>
          <w:b w:val="false"/>
          <w:color w:val="000000"/>
          <w:sz w:val="22"/>
          <w:u w:val="single"/>
        </w:rPr>
        <w:t>Section 7.05(m)</w:t>
      </w:r>
      <w:r>
        <w:rPr>
          <w:rFonts w:ascii="Times New Roman;sans-serif" w:hAnsi="Times New Roman;sans-serif"/>
          <w:b w:val="false"/>
          <w:color w:val="000000"/>
          <w:sz w:val="22"/>
        </w:rPr>
        <w:t>, shall not exceed the sum of (x) $642,000,000 plus (or minus if negative) (y) one-half (1/2) of the aggregate Consolidated Net Income of the Company for the period (taken as one accounting period) beginning on July 1, 2019 up to the end of the Company’s most recent fiscal quarter for which internal financial statements have been delivered to the Administrative Agent plus (z) 100% of the aggregate Net Cash Proceeds received by the Company after July 1, 2019 as a contribution to its common equity capital or from the issue or sale of Equity Interests of the Company or from the issue or sale of convertible or exchangeable preferred stock or convertible or exchangeable debt securities of the Company that have been converted into or exchanged for such Equity Interests (other than Equity Interests, preferred stock or debt securities sold to a Subsidiary of the Company and other than any contribution by a Subsidiary) (the product described above at any time being referred to herein as the “</w:t>
      </w:r>
      <w:r>
        <w:rPr>
          <w:rFonts w:ascii="Times New Roman;sans-serif" w:hAnsi="Times New Roman;sans-serif"/>
          <w:b w:val="false"/>
          <w:color w:val="000000"/>
          <w:sz w:val="22"/>
          <w:u w:val="single"/>
        </w:rPr>
        <w:t>7.10(a)(i) RP Basket Limit</w:t>
      </w:r>
      <w:r>
        <w:rPr>
          <w:color w:val="000000"/>
        </w:rPr>
        <w:t>”</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(ii)without counting against the 7.10(a)(i) RP Basket Limit set forth in</w:t>
      </w:r>
      <w:r>
        <w:rPr>
          <w:color w:val="000000"/>
          <w:u w:val="single"/>
        </w:rPr>
        <w:t xml:space="preserve"> </w:t>
      </w:r>
      <w:r>
        <w:rPr>
          <w:rFonts w:ascii="Times New Roman;sans-serif" w:hAnsi="Times New Roman;sans-serif"/>
          <w:b w:val="false"/>
          <w:color w:val="000000"/>
          <w:sz w:val="22"/>
          <w:u w:val="single"/>
        </w:rPr>
        <w:t>Section 7.10(a)(i)</w:t>
      </w:r>
      <w:r>
        <w:rPr>
          <w:color w:val="000000"/>
        </w:rPr>
        <w:t xml:space="preserve"> </w:t>
      </w:r>
      <w:r>
        <w:rPr>
          <w:rFonts w:ascii="Times New Roman;sans-serif" w:hAnsi="Times New Roman;sans-serif"/>
          <w:b w:val="false"/>
          <w:color w:val="000000"/>
          <w:sz w:val="22"/>
        </w:rPr>
        <w:t xml:space="preserve">above or restricting the Restricted Payments permitted to be made by </w:t>
      </w:r>
      <w:r>
        <w:rPr>
          <w:rFonts w:ascii="Times New Roman;sans-serif" w:hAnsi="Times New Roman;sans-serif"/>
          <w:b w:val="false"/>
          <w:color w:val="000000"/>
          <w:sz w:val="22"/>
          <w:u w:val="single"/>
        </w:rPr>
        <w:t>Section 7.10(a)(iii)</w:t>
      </w:r>
      <w:r>
        <w:rPr>
          <w:rFonts w:ascii="Times New Roman;sans-serif" w:hAnsi="Times New Roman;sans-serif"/>
          <w:b w:val="false"/>
          <w:color w:val="000000"/>
          <w:sz w:val="22"/>
        </w:rPr>
        <w:t xml:space="preserve">, the Company and its Subsidiaries may repurchase, redeem or otherwise acquire or retire for value any Equity Interests of the Company or any such Subsidiaries in an aggregate amount not to exceed $35,000,000 in any fiscal year;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(iii)without counting against the 7.10(a)(i) RP Basket Limit set forth in</w:t>
      </w:r>
      <w:r>
        <w:rPr>
          <w:color w:val="000000"/>
          <w:u w:val="single"/>
        </w:rPr>
        <w:t xml:space="preserve"> </w:t>
      </w:r>
      <w:r>
        <w:rPr>
          <w:rFonts w:ascii="Times New Roman;sans-serif" w:hAnsi="Times New Roman;sans-serif"/>
          <w:b w:val="false"/>
          <w:color w:val="000000"/>
          <w:sz w:val="22"/>
          <w:u w:val="single"/>
        </w:rPr>
        <w:t>Section 7.10(a)(i)</w:t>
      </w:r>
      <w:r>
        <w:rPr>
          <w:color w:val="000000"/>
        </w:rPr>
        <w:t xml:space="preserve"> </w:t>
      </w:r>
      <w:r>
        <w:rPr>
          <w:rFonts w:ascii="Times New Roman;sans-serif" w:hAnsi="Times New Roman;sans-serif"/>
          <w:b w:val="false"/>
          <w:color w:val="000000"/>
          <w:sz w:val="22"/>
        </w:rPr>
        <w:t xml:space="preserve">above or restricting the Restricted Payments permitted to be made by </w:t>
      </w:r>
      <w:r>
        <w:rPr>
          <w:rFonts w:ascii="Times New Roman;sans-serif" w:hAnsi="Times New Roman;sans-serif"/>
          <w:b w:val="false"/>
          <w:color w:val="000000"/>
          <w:sz w:val="22"/>
          <w:u w:val="single"/>
        </w:rPr>
        <w:t>Section 7.10(a)(ii)</w:t>
      </w:r>
      <w:r>
        <w:rPr>
          <w:rFonts w:ascii="Times New Roman;sans-serif" w:hAnsi="Times New Roman;sans-serif"/>
          <w:b w:val="false"/>
          <w:color w:val="000000"/>
          <w:sz w:val="22"/>
        </w:rPr>
        <w:t xml:space="preserve">, the Company may make other Restricted Payments so long as the Consolidated Total Leverage Ratio of the Company and its Restricted Subsidiaries on a consolidated basis is no greater than 3.0 to 1 (determined on a pro forma basis for the most recently ended four full fiscal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367665"/>
                <wp:effectExtent l="0" t="0" r="0" b="0"/>
                <wp:wrapNone/>
                <wp:docPr id="316" name="Frame31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143</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quarters for which internal financial statements have been delivered to the Administrative Agent prior to such Restricted Payment);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(iv)the Company may declare and pay stock dividends directly or indirectly;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(v)the Company may repurchase Equity Interests deemed to occur upon the exercise of stock options if those Equity Interests represent all or a portion of the exercise price of those options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(vi)the Company may repurchase fractional shares arising out of stock dividends, splits or combinations or business combinations; and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(vii)the Company may pay any dividend or distribution on, or redemption of, Equity Interests pursuant to clause (i) within 60 days after the date of declaration or notice thereof, if at the date of declaration or the giving of notice, the payment would have complied with the provisions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Distributions</w:t>
      </w:r>
      <w:r>
        <w:rPr>
          <w:rFonts w:ascii="Times New Roman;sans-serif" w:hAnsi="Times New Roman;sans-serif"/>
          <w:b w:val="false"/>
          <w:color w:val="000000"/>
          <w:sz w:val="22"/>
        </w:rPr>
        <w:t xml:space="preserve">. Distribute any funds from any depository account of the Company or a Vehicle Borrower to any Vehicle Borrower with respect to which any Event of Default under </w:t>
      </w:r>
      <w:r>
        <w:rPr>
          <w:rFonts w:ascii="Times New Roman;sans-serif" w:hAnsi="Times New Roman;sans-serif"/>
          <w:b w:val="false"/>
          <w:color w:val="000000"/>
          <w:sz w:val="22"/>
          <w:u w:val="single"/>
        </w:rPr>
        <w:t>Section 8.01(e)</w:t>
      </w:r>
      <w:r>
        <w:rPr>
          <w:color w:val="000000"/>
        </w:rPr>
        <w:t xml:space="preserve"> </w:t>
      </w:r>
      <w:r>
        <w:rPr>
          <w:rFonts w:ascii="Times New Roman;sans-serif" w:hAnsi="Times New Roman;sans-serif"/>
          <w:b w:val="false"/>
          <w:color w:val="000000"/>
          <w:sz w:val="22"/>
        </w:rPr>
        <w:t>exists, except to the extent necessary to cure such Event of Default.</w:t>
      </w:r>
    </w:p>
    <w:p>
      <w:pPr>
        <w:pStyle w:val="TextBody"/>
        <w:bidi w:val="0"/>
        <w:spacing w:lineRule="auto" w:line="288" w:before="0" w:after="240"/>
        <w:jc w:val="both"/>
        <w:rPr/>
      </w:pPr>
      <w:r>
        <w:rPr>
          <w:rFonts w:ascii="Times New Roman;sans-serif" w:hAnsi="Times New Roman;sans-serif"/>
          <w:b w:val="false"/>
          <w:color w:val="000000"/>
          <w:sz w:val="22"/>
        </w:rPr>
        <w:t xml:space="preserve">(c)Notwithstanding anything to the contrary contained in this </w:t>
      </w:r>
      <w:r>
        <w:rPr>
          <w:rFonts w:ascii="Times New Roman;sans-serif" w:hAnsi="Times New Roman;sans-serif"/>
          <w:b w:val="false"/>
          <w:color w:val="000000"/>
          <w:sz w:val="22"/>
          <w:u w:val="single"/>
        </w:rPr>
        <w:t>Section 7.10</w:t>
      </w:r>
      <w:r>
        <w:rPr>
          <w:rFonts w:ascii="Times New Roman;sans-serif" w:hAnsi="Times New Roman;sans-serif"/>
          <w:b w:val="false"/>
          <w:color w:val="000000"/>
          <w:sz w:val="22"/>
        </w:rPr>
        <w:t>, neither the Company nor any Subsidiary may make any dividend or other Restricted Payment to any Designated Escrow Subsidiary during the term of this Agreement.</w:t>
      </w:r>
    </w:p>
    <w:p>
      <w:pPr>
        <w:pStyle w:val="TextBody"/>
        <w:bidi w:val="0"/>
        <w:spacing w:lineRule="auto" w:line="240" w:before="0" w:after="240"/>
        <w:ind w:left="0" w:right="0" w:hanging="720"/>
        <w:jc w:val="both"/>
        <w:rPr/>
      </w:pPr>
      <w:r>
        <w:rPr>
          <w:rFonts w:ascii="Times New Roman;sans-serif" w:hAnsi="Times New Roman;sans-serif"/>
          <w:b/>
          <w:color w:val="000000"/>
          <w:sz w:val="22"/>
        </w:rPr>
        <w:t>7.11Financial Covenants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Consolidated Fixed Charge Coverage Ratio</w:t>
      </w:r>
      <w:r>
        <w:rPr>
          <w:rFonts w:ascii="Times New Roman;sans-serif" w:hAnsi="Times New Roman;sans-serif"/>
          <w:b w:val="false"/>
          <w:color w:val="000000"/>
          <w:sz w:val="22"/>
        </w:rPr>
        <w:t>. Permit the Consolidated Fixed Charge Coverage Ratio, as of the end of any fiscal quarter, to be less than 1.20 to 1.00.</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Consolidated Total Lease Adjusted Leverage Ratio</w:t>
      </w:r>
      <w:r>
        <w:rPr>
          <w:rFonts w:ascii="Times New Roman;sans-serif" w:hAnsi="Times New Roman;sans-serif"/>
          <w:b w:val="false"/>
          <w:color w:val="000000"/>
          <w:sz w:val="22"/>
        </w:rPr>
        <w:t>. Permit the Consolidated Total Lease Adjusted Leverage Ratio, as of the end of any fiscal quarter, to be more than 5.75 to 1.00.</w:t>
      </w:r>
    </w:p>
    <w:p>
      <w:pPr>
        <w:pStyle w:val="TextBody"/>
        <w:bidi w:val="0"/>
        <w:spacing w:lineRule="auto" w:line="240" w:before="0" w:after="240"/>
        <w:ind w:left="0" w:right="0" w:firstLine="720"/>
        <w:jc w:val="both"/>
        <w:rPr/>
      </w:pPr>
      <w:r>
        <w:rPr>
          <w:rFonts w:ascii="Times New Roman;sans-serif" w:hAnsi="Times New Roman;sans-serif"/>
          <w:b/>
          <w:color w:val="000000"/>
          <w:sz w:val="22"/>
        </w:rPr>
        <w:t>7.12</w:t>
      </w:r>
      <w:r>
        <w:rPr>
          <w:rFonts w:ascii="Times New Roman;sans-serif" w:hAnsi="Times New Roman;sans-serif"/>
          <w:b/>
          <w:color w:val="000000"/>
          <w:sz w:val="22"/>
        </w:rPr>
        <w:t>Change in Nature of Business</w:t>
      </w:r>
      <w:r>
        <w:rPr>
          <w:rFonts w:ascii="Times New Roman;sans-serif" w:hAnsi="Times New Roman;sans-serif"/>
          <w:b w:val="false"/>
          <w:color w:val="000000"/>
          <w:sz w:val="22"/>
        </w:rPr>
        <w:t>. Engage in any material line of business substantially different from those lines of business conducted by the Company and its Subsidiaries on the date hereof or any business substantially related or incidental thereto.</w:t>
      </w:r>
    </w:p>
    <w:p>
      <w:pPr>
        <w:pStyle w:val="TextBody"/>
        <w:bidi w:val="0"/>
        <w:spacing w:lineRule="auto" w:line="240" w:before="0" w:after="240"/>
        <w:ind w:left="0" w:right="0" w:firstLine="720"/>
        <w:jc w:val="both"/>
        <w:rPr/>
      </w:pPr>
      <w:r>
        <w:rPr>
          <w:rFonts w:ascii="Times New Roman;sans-serif" w:hAnsi="Times New Roman;sans-serif"/>
          <w:b/>
          <w:color w:val="000000"/>
          <w:sz w:val="22"/>
        </w:rPr>
        <w:t>7.13</w:t>
      </w:r>
      <w:r>
        <w:rPr>
          <w:rFonts w:ascii="Times New Roman;sans-serif" w:hAnsi="Times New Roman;sans-serif"/>
          <w:b/>
          <w:color w:val="000000"/>
          <w:sz w:val="22"/>
        </w:rPr>
        <w:t>Use of Proceeds</w:t>
      </w:r>
      <w:r>
        <w:rPr>
          <w:rFonts w:ascii="Times New Roman;sans-serif" w:hAnsi="Times New Roman;sans-serif"/>
          <w:b w:val="false"/>
          <w:color w:val="000000"/>
          <w:sz w:val="22"/>
        </w:rPr>
        <w:t>. Use the proceeds of any Credit Extension,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w:t>
      </w:r>
    </w:p>
    <w:p>
      <w:pPr>
        <w:pStyle w:val="TextBody"/>
        <w:bidi w:val="0"/>
        <w:spacing w:lineRule="auto" w:line="240" w:before="0" w:after="240"/>
        <w:ind w:left="0" w:right="0" w:firstLine="720"/>
        <w:jc w:val="both"/>
        <w:rPr/>
      </w:pPr>
      <w:r>
        <w:rPr>
          <w:rFonts w:ascii="Times New Roman;sans-serif" w:hAnsi="Times New Roman;sans-serif"/>
          <w:b/>
          <w:color w:val="000000"/>
          <w:sz w:val="22"/>
        </w:rPr>
        <w:t>7.14</w:t>
      </w:r>
      <w:r>
        <w:rPr>
          <w:rFonts w:ascii="Times New Roman;sans-serif" w:hAnsi="Times New Roman;sans-serif"/>
          <w:b/>
          <w:color w:val="000000"/>
          <w:sz w:val="22"/>
        </w:rPr>
        <w:t>Burdensome Agreements</w:t>
      </w:r>
      <w:r>
        <w:rPr>
          <w:rFonts w:ascii="Times New Roman;sans-serif" w:hAnsi="Times New Roman;sans-serif"/>
          <w:b w:val="false"/>
          <w:color w:val="000000"/>
          <w:sz w:val="22"/>
        </w:rPr>
        <w:t xml:space="preserve">. Enter into any Contractual Obligation (other than this Agreement or any other Loan Document) that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limits the ability (i) of any Subsidiary (other than any Designated Escrow Subsidiary) to pay dividends to any Loan Party or to otherwise transfer property to any Loan Party, (ii) of any Subsidiary to Guarantee the Obligations or (iii) of the Company or any Subsidiary to create, incur, assume or suffer to exist Liens on property of such Person in favor of the Administrative Agent for the benefit of the Secured Parties; </w:t>
      </w:r>
      <w:r>
        <w:rPr>
          <w:rFonts w:ascii="Times New Roman;sans-serif" w:hAnsi="Times New Roman;sans-serif"/>
          <w:b w:val="false"/>
          <w:color w:val="000000"/>
          <w:sz w:val="22"/>
          <w:u w:val="single"/>
        </w:rPr>
        <w:t>provided, however</w:t>
      </w:r>
      <w:r>
        <w:rPr>
          <w:rFonts w:ascii="Times New Roman;sans-serif" w:hAnsi="Times New Roman;sans-serif"/>
          <w:b w:val="false"/>
          <w:color w:val="000000"/>
          <w:sz w:val="22"/>
        </w:rPr>
        <w:t xml:space="preserve">, that (W) clause (i) shall not prohibit any Subsidiary Guarantor from complying with minimum capitalization, working capital, net worth or financial ratios imposed by or pursuant to any Franchise Agreement or Framework Agreement, (X) clauses (i) and (iii) shall not prohibit any negative pledge or restriction on transfer incurred or provided in favor of any holder of secured Indebtedness permitted hereunder (including Permitted Floorplan Indebtedness and Permitted Real Estate Debt) solely to the extent any such negative pledge or restriction on transfer relates to the property financed by or securing such Indebtedness, (Y) clauses (i) and (iii) shall not prohibit customary restrictions on assignments, subletting or other transfers contained in the documents governing Permitted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367665"/>
                <wp:effectExtent l="0" t="0" r="0" b="0"/>
                <wp:wrapNone/>
                <wp:docPr id="317" name="Frame31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144</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Sale/Leaseback Transactions or in other leases, licenses and similar agreements entered into in the ordinary course of business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restrictions are limited to the property subject to such Qualified Sale/Leaseback Transaction, lease, license or other agreement) and (Z) clause (i), (ii) and (iii) shall not prohibit provisions contained in the Indentures on the date hereof or provisions contained in any indenture governing unsecured senior notes issued by the Company which notes are permitted hereunder, provided that such provisions are no more restrictive on the Borrower or any Subsidiary than those contained in the Indentures on the date hereof (as determined by the Company in good faith); or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requires the grant of a Lien to secure an obligation of such Person if a Lien is granted to secure the Obligations.</w:t>
      </w:r>
    </w:p>
    <w:p>
      <w:pPr>
        <w:pStyle w:val="TextBody"/>
        <w:bidi w:val="0"/>
        <w:spacing w:lineRule="auto" w:line="240" w:before="0" w:after="240"/>
        <w:ind w:left="0" w:right="0" w:hanging="720"/>
        <w:jc w:val="both"/>
        <w:rPr/>
      </w:pPr>
      <w:r>
        <w:rPr>
          <w:rFonts w:ascii="Times New Roman;sans-serif" w:hAnsi="Times New Roman;sans-serif"/>
          <w:b/>
          <w:color w:val="000000"/>
          <w:sz w:val="22"/>
        </w:rPr>
        <w:t>7.15[Reserved]</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color w:val="000000"/>
          <w:sz w:val="22"/>
        </w:rPr>
        <w:t>7.16</w:t>
      </w:r>
      <w:r>
        <w:rPr>
          <w:rFonts w:ascii="Times New Roman;sans-serif" w:hAnsi="Times New Roman;sans-serif"/>
          <w:b/>
          <w:color w:val="000000"/>
          <w:sz w:val="22"/>
        </w:rPr>
        <w:t>Prepayments, etc. of Certain Indebtedness</w:t>
      </w:r>
      <w:r>
        <w:rPr>
          <w:rFonts w:ascii="Times New Roman;sans-serif" w:hAnsi="Times New Roman;sans-serif"/>
          <w:b w:val="false"/>
          <w:color w:val="000000"/>
          <w:sz w:val="22"/>
        </w:rPr>
        <w:t xml:space="preserve">. Prepay, redeem, purchase, defease, settle in cash or otherwise satisfy prior to the scheduled maturity thereof in any manner any Indebtedness, other than Obligations under the Loan Documents and prepayments of Indebtedness made in order to effect a refinancing of such Indebtedness by other Indebtedness that is permitted under </w:t>
      </w:r>
      <w:r>
        <w:rPr>
          <w:rFonts w:ascii="Times New Roman;sans-serif" w:hAnsi="Times New Roman;sans-serif"/>
          <w:b w:val="false"/>
          <w:color w:val="000000"/>
          <w:sz w:val="22"/>
          <w:u w:val="single"/>
        </w:rPr>
        <w:t>Section 7.01</w:t>
      </w:r>
      <w:r>
        <w:rPr>
          <w:color w:val="000000"/>
        </w:rPr>
        <w:t xml:space="preserve"> </w:t>
      </w:r>
      <w:r>
        <w:rPr>
          <w:rFonts w:ascii="Times New Roman;sans-serif" w:hAnsi="Times New Roman;sans-serif"/>
          <w:b w:val="false"/>
          <w:color w:val="000000"/>
          <w:sz w:val="22"/>
        </w:rPr>
        <w:t>of this Agreement (each such prepayment, redemption, purchase, defeasement, settlement or satisfaction referred to as an “</w:t>
      </w:r>
      <w:r>
        <w:rPr>
          <w:rFonts w:ascii="Times New Roman;sans-serif" w:hAnsi="Times New Roman;sans-serif"/>
          <w:b w:val="false"/>
          <w:color w:val="000000"/>
          <w:sz w:val="22"/>
          <w:u w:val="single"/>
        </w:rPr>
        <w:t>Indebtedness Prepayment</w:t>
      </w:r>
      <w:r>
        <w:rPr>
          <w:color w:val="000000"/>
        </w:rPr>
        <w:t>”</w:t>
      </w:r>
      <w:r>
        <w:rPr>
          <w:rFonts w:ascii="Times New Roman;sans-serif" w:hAnsi="Times New Roman;sans-serif"/>
          <w:b w:val="false"/>
          <w:color w:val="000000"/>
          <w:sz w:val="22"/>
        </w:rPr>
        <w:t xml:space="preserve">), except that the Company may make Indebtedness Prepayments so long as (i) (A) both immediately prior to any such Indebtedness Prepayment and after giving effect to such Indebtedness Prepayment no Default or Event of Default shall exist and (B) the aggregate amount of such Indebtedness Prepayments does not exceed $75,000,000 during any fiscal year or (ii) both immediately prior to any such Indebtedness Prepayment and after giving effect to such Indebtedness Prepayment: (X) no Default or Event of Default shall exist, (Y) the Company and its Subsidiaries shall be in Pro Forma Compliance, and (Z) the Pro Forma Prepayment Test Amount is equal to or greater than $150,000,000 on a pro forma basis for the fiscal quarter during which such Indebtedness Prepayment is made and each of the next three fiscal quarters (as evidenced, in the case of clauses (Y) and (Z), by a Pro Forma Compliance Certificate and a Prepayment Test Amount Certificate submitted not less than 5 Business Days and not more than 90 days prior to the date of any such Indebtedness Prepayment), in which case, such Indebtedness Prepayments pursuant to this clause (ii) may be made in an amount of up to the difference (if a positive number) between such Prepayment Test Amount (as measured prior to giving effect to such Indebtedness Prepayment) and $150,000,000. </w:t>
      </w:r>
    </w:p>
    <w:p>
      <w:pPr>
        <w:pStyle w:val="TextBody"/>
        <w:bidi w:val="0"/>
        <w:spacing w:lineRule="auto" w:line="240" w:before="0" w:after="240"/>
        <w:ind w:left="0" w:right="0" w:firstLine="720"/>
        <w:jc w:val="both"/>
        <w:rPr/>
      </w:pPr>
      <w:r>
        <w:rPr>
          <w:rFonts w:ascii="Times New Roman;sans-serif" w:hAnsi="Times New Roman;sans-serif"/>
          <w:b/>
          <w:color w:val="000000"/>
          <w:sz w:val="22"/>
        </w:rPr>
        <w:t>7.17</w:t>
      </w:r>
      <w:r>
        <w:rPr>
          <w:rFonts w:ascii="Times New Roman;sans-serif" w:hAnsi="Times New Roman;sans-serif"/>
          <w:b/>
          <w:color w:val="000000"/>
          <w:sz w:val="22"/>
        </w:rPr>
        <w:t>Excluded Collateral</w:t>
      </w:r>
      <w:r>
        <w:rPr>
          <w:rFonts w:ascii="Times New Roman;sans-serif" w:hAnsi="Times New Roman;sans-serif"/>
          <w:b w:val="false"/>
          <w:color w:val="000000"/>
          <w:sz w:val="22"/>
        </w:rPr>
        <w:t>. Grant to any Person any Lien on any Excluded Property unless the Administrative Agent (for the benefit of the Secured Parties) has a Lien on such property, other than (i) Liens on assets of a Franchise (or stock of the Subsidiary that owns such Franchise) granted to the respective franchisor, (ii) Liens granted on Excluded Property to a holder of a Permitted Lien on such Excluded Property where a grant of a security interest to the Administrative Agent in such Excluded Property would violate or invalidate such asset or agreement governing such asset or create a right of termination in favor of the holder of such Permitted Lien on such Excluded Property, (iii) Liens on Excluded Property constituting real property, fixtures and related real property rights, and (iv) Excluded Property consisting of contracts related to real property, fixtures or related real property rights, or proceeds of real property, fixtures, related real property rights or related contracts (including, without limitation, insurance proceeds in respect of the foregoing), that in each case of this clause (iv) secures Permitted Real Estate Debt to the extent that a grant of a security interest thereon to the Administrative Agent would conflict with or result in a violation of the terms of such Permitted Real Estate Debt.</w:t>
      </w:r>
    </w:p>
    <w:p>
      <w:pPr>
        <w:pStyle w:val="TextBody"/>
        <w:bidi w:val="0"/>
        <w:spacing w:lineRule="auto" w:line="240" w:before="0" w:after="240"/>
        <w:ind w:left="0" w:right="0" w:firstLine="720"/>
        <w:jc w:val="both"/>
        <w:rPr/>
      </w:pPr>
      <w:r>
        <w:rPr>
          <w:rFonts w:ascii="Times New Roman;sans-serif" w:hAnsi="Times New Roman;sans-serif"/>
          <w:b/>
          <w:color w:val="000000"/>
          <w:sz w:val="22"/>
        </w:rPr>
        <w:t>7.18</w:t>
      </w:r>
      <w:r>
        <w:rPr>
          <w:rFonts w:ascii="Times New Roman;sans-serif" w:hAnsi="Times New Roman;sans-serif"/>
          <w:b/>
          <w:color w:val="000000"/>
          <w:sz w:val="22"/>
        </w:rPr>
        <w:t>Perfection of Deposit Accounts</w:t>
      </w:r>
      <w:r>
        <w:rPr>
          <w:rFonts w:ascii="Times New Roman;sans-serif" w:hAnsi="Times New Roman;sans-serif"/>
          <w:b w:val="false"/>
          <w:color w:val="000000"/>
          <w:sz w:val="22"/>
        </w:rPr>
        <w:t>. Without the prior written consent of the Administrative Agent, permit any Person (other than the Administrative Agent (on behalf of the Secured Parties) to obtain any deposit account control agreement (or otherwise perfect any Lien) any deposit account of the Company or any of its Subsidiaries (other than any deposit account of any Designated Escrow Subsidiary containing only proceeds of the Indebtedness such Designated Escrow Subsidiary was formed to incur), other than a deposit account control agreement entered into with the agent, trustee or other secured party in respect of any Indebtedness that is permitted under this Agreement to be secured by a Lien on all or any portion of the Collateral constituting deposit accounts, in each case to the extent that the Administrative Agent is also a party thereto.</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367665"/>
                <wp:effectExtent l="0" t="0" r="0" b="0"/>
                <wp:wrapNone/>
                <wp:docPr id="318" name="Frame31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145</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2"/>
        </w:rPr>
        <w:t>7.19</w:t>
      </w:r>
      <w:r>
        <w:rPr>
          <w:rFonts w:ascii="Times New Roman;sans-serif" w:hAnsi="Times New Roman;sans-serif"/>
          <w:b/>
          <w:color w:val="000000"/>
          <w:sz w:val="22"/>
        </w:rPr>
        <w:t>Acquisitions</w:t>
      </w:r>
      <w:r>
        <w:rPr>
          <w:rFonts w:ascii="Times New Roman;sans-serif" w:hAnsi="Times New Roman;sans-serif"/>
          <w:b w:val="false"/>
          <w:color w:val="000000"/>
          <w:sz w:val="22"/>
        </w:rPr>
        <w:t xml:space="preserve">. Consummate any Acquisition, unless (i) the Person to be (or whose assets are to be) acquired does not oppose such Acquisition and the material line or lines of business of the Person to be acquired are substantially the same as one or more line or lines of business conducted by the Company and its Subsidiaries, or substantially related or incidental thereto, (ii) no Default shall have occurred and be continuing either immediately prior to or immediately after giving effect to such Acquisition, (iii) [intentionally omitted]; (iv) if the aggregate Cost of Acquisition of such Acquisition is greater than $50,000,000, the Company shall have given thirty (30) days’ notice to the Administrative Agent stating the proposed date of such Acquisition and the expected Cost of Acquisition, (v) if the aggregate Cost of Acquisition of such Acquisition is greater than $115,000,000, (y) the Company shall have furnished to the Administrative Agent pro forma historical financial statements as of the end of the most recently completed fiscal year of the Company and most recent interim fiscal quarter, if applicable, giving effect to such Acquisition and all other Acquisitions consummated since such fiscal year end, and (z) the Company and its Subsidiaries shall be in Pro Forma Compliance after giving effect to such Acquisition, as evidenced by a Pro Forma Compliance Certificate, Pro Forma Revolving Borrowing Base Certificate and Pro Forma Used Vehicle Floorplan Borrowing Base Certificate delivered simultaneously with such pro forma historical financial statements, and (vi) the Person acquired shall be a wholly-owned Subsidiary, or be merged into the Company or a wholly-owned Subsidiary, immediately upon consummation of the Acquisition (or if assets are being acquired, the acquiror shall be the Company or a wholly-owned Subsidiary). Nothing in this Section 6.19 shall alter any obligation of the Company or any applicable Subsidiary, to comply with the provisions of </w:t>
      </w:r>
      <w:r>
        <w:rPr>
          <w:rFonts w:ascii="Times New Roman;sans-serif" w:hAnsi="Times New Roman;sans-serif"/>
          <w:b w:val="false"/>
          <w:color w:val="000000"/>
          <w:sz w:val="22"/>
          <w:u w:val="single"/>
        </w:rPr>
        <w:t>Section 6.14</w:t>
      </w:r>
      <w:r>
        <w:rPr>
          <w:rFonts w:ascii="Times New Roman;sans-serif" w:hAnsi="Times New Roman;sans-serif"/>
          <w:b w:val="false"/>
          <w:color w:val="000000"/>
          <w:sz w:val="22"/>
        </w:rPr>
        <w:t xml:space="preserve">, subject to any applicable grace period set forth in </w:t>
      </w:r>
      <w:r>
        <w:rPr>
          <w:rFonts w:ascii="Times New Roman;sans-serif" w:hAnsi="Times New Roman;sans-serif"/>
          <w:b w:val="false"/>
          <w:color w:val="000000"/>
          <w:sz w:val="22"/>
          <w:u w:val="single"/>
        </w:rPr>
        <w:t>Section 6.14</w:t>
      </w:r>
      <w:r>
        <w:rPr>
          <w:rFonts w:ascii="Times New Roman;sans-serif" w:hAnsi="Times New Roman;sans-serif"/>
          <w:b w:val="false"/>
          <w:color w:val="000000"/>
          <w:sz w:val="22"/>
        </w:rPr>
        <w:t xml:space="preserve">. Notwithstanding the delivery of any evidence of Pro Forma Compliance (including any Pro Forma Revolving Borrowing Base Certificate or Pro Forma Used Vehicle Floorplan Borrowing Base Certificate), the Revolving Borrowing Base or Used Vehicle Borrowing Base (as applicable) shall not change as a result of such Acquisition until such Acquisition actually occurs, and the Company and its Subsidiaries shall promptly notify the Administrative Agent when such Acquisition occurs or if the date of such Acquisition or the amount of such Cost of Acquisition has changed or is expected to change. </w:t>
      </w:r>
    </w:p>
    <w:p>
      <w:pPr>
        <w:pStyle w:val="TextBody"/>
        <w:bidi w:val="0"/>
        <w:spacing w:lineRule="auto" w:line="240" w:before="0" w:after="240"/>
        <w:ind w:left="0" w:right="0" w:firstLine="720"/>
        <w:jc w:val="both"/>
        <w:rPr/>
      </w:pPr>
      <w:r>
        <w:rPr>
          <w:rFonts w:ascii="Times New Roman;sans-serif" w:hAnsi="Times New Roman;sans-serif"/>
          <w:b/>
          <w:color w:val="000000"/>
          <w:sz w:val="22"/>
        </w:rPr>
        <w:t>7.20</w:t>
      </w:r>
      <w:r>
        <w:rPr>
          <w:rFonts w:ascii="Times New Roman;sans-serif" w:hAnsi="Times New Roman;sans-serif"/>
          <w:b/>
          <w:color w:val="000000"/>
          <w:sz w:val="22"/>
        </w:rPr>
        <w:t>Amendments of Organizational Documents</w:t>
      </w:r>
      <w:r>
        <w:rPr>
          <w:rFonts w:ascii="Times New Roman;sans-serif" w:hAnsi="Times New Roman;sans-serif"/>
          <w:b w:val="false"/>
          <w:color w:val="000000"/>
          <w:sz w:val="22"/>
        </w:rPr>
        <w:t>. Amend its Organizational Documents in a manner that would reasonably be expect to (a) impair the enforceability of any Loan Document in any material respect or the perfection or priority of any Lien created thereunder, (b) impair in any material respect its ability to perform its obligations under the Loan Documents or (c) otherwise have a Material Adverse Effect.</w:t>
      </w:r>
    </w:p>
    <w:p>
      <w:pPr>
        <w:pStyle w:val="TextBody"/>
        <w:bidi w:val="0"/>
        <w:spacing w:lineRule="auto" w:line="240" w:before="0" w:after="240"/>
        <w:ind w:left="0" w:right="0" w:firstLine="720"/>
        <w:jc w:val="both"/>
        <w:rPr/>
      </w:pPr>
      <w:r>
        <w:rPr>
          <w:rFonts w:ascii="Times New Roman;sans-serif" w:hAnsi="Times New Roman;sans-serif"/>
          <w:b/>
          <w:color w:val="000000"/>
          <w:sz w:val="22"/>
        </w:rPr>
        <w:t>7.21</w:t>
      </w:r>
      <w:r>
        <w:rPr>
          <w:rFonts w:ascii="Times New Roman;sans-serif" w:hAnsi="Times New Roman;sans-serif"/>
          <w:b/>
          <w:color w:val="000000"/>
          <w:sz w:val="22"/>
        </w:rPr>
        <w:t>Sanctions</w:t>
      </w:r>
      <w:r>
        <w:rPr>
          <w:rFonts w:ascii="Times New Roman;sans-serif" w:hAnsi="Times New Roman;sans-serif"/>
          <w:b w:val="false"/>
          <w:color w:val="000000"/>
          <w:sz w:val="22"/>
        </w:rPr>
        <w:t>. Directly or indirectly, use the proceeds of any Credit Extension, or lend, contribute or otherwise make available such proceeds to any Subsidiary, joint venture partner or other Person, to fund any activities of or business with any Person that, at the time of such funding, is the subject of Sanctions, or in any other manner that will result in a violation by any Person (including any Person participating in the transaction, whether as Lender, Arranger, Administrative Agent, L/C Issuer, or otherwise) of Sanctions.</w:t>
      </w:r>
    </w:p>
    <w:p>
      <w:pPr>
        <w:pStyle w:val="TextBody"/>
        <w:bidi w:val="0"/>
        <w:spacing w:lineRule="auto" w:line="240" w:before="0" w:after="240"/>
        <w:ind w:left="0" w:right="0" w:firstLine="720"/>
        <w:jc w:val="both"/>
        <w:rPr/>
      </w:pPr>
      <w:r>
        <w:rPr>
          <w:rFonts w:ascii="Times New Roman;sans-serif" w:hAnsi="Times New Roman;sans-serif"/>
          <w:b/>
          <w:color w:val="000000"/>
          <w:sz w:val="22"/>
        </w:rPr>
        <w:t>7.22</w:t>
      </w:r>
      <w:r>
        <w:rPr>
          <w:rFonts w:ascii="Times New Roman;sans-serif" w:hAnsi="Times New Roman;sans-serif"/>
          <w:b/>
          <w:color w:val="000000"/>
          <w:sz w:val="22"/>
        </w:rPr>
        <w:t>Anti-Corruption Laws</w:t>
      </w:r>
      <w:r>
        <w:rPr>
          <w:rFonts w:ascii="Times New Roman;sans-serif" w:hAnsi="Times New Roman;sans-serif"/>
          <w:b w:val="false"/>
          <w:color w:val="000000"/>
          <w:sz w:val="22"/>
        </w:rPr>
        <w:t>. Directly or indirectly use the proceeds of any Credit Extension for any purpose which would breach the United States Foreign Corrupt Practices Act of 1977, the UK Bribery Act 2010, and other similar anti-corruption legislation in other jurisdictions.</w:t>
      </w:r>
    </w:p>
    <w:p>
      <w:pPr>
        <w:pStyle w:val="TextBody"/>
        <w:bidi w:val="0"/>
        <w:spacing w:lineRule="auto" w:line="240" w:before="0" w:after="240"/>
        <w:jc w:val="center"/>
        <w:rPr/>
      </w:pPr>
      <w:r>
        <w:rPr>
          <w:rFonts w:ascii="Times New Roman;sans-serif" w:hAnsi="Times New Roman;sans-serif"/>
          <w:b/>
          <w:color w:val="000000"/>
          <w:sz w:val="22"/>
        </w:rPr>
        <w:t>ARTICLE VIII.</w:t>
      </w:r>
      <w:r>
        <w:rPr>
          <w:color w:val="000000"/>
        </w:rPr>
        <w:t xml:space="preserve"> </w:t>
      </w:r>
      <w:r>
        <w:rPr>
          <w:rFonts w:ascii="Times New Roman;sans-serif" w:hAnsi="Times New Roman;sans-serif"/>
          <w:b/>
          <w:color w:val="000000"/>
          <w:sz w:val="22"/>
        </w:rPr>
        <w:t>EVENTS OF DEFAULT AND REMEDIES</w:t>
      </w:r>
    </w:p>
    <w:p>
      <w:pPr>
        <w:pStyle w:val="TextBody"/>
        <w:bidi w:val="0"/>
        <w:spacing w:lineRule="auto" w:line="240" w:before="0" w:after="240"/>
        <w:ind w:left="0" w:right="0" w:firstLine="720"/>
        <w:jc w:val="both"/>
        <w:rPr/>
      </w:pPr>
      <w:r>
        <w:rPr>
          <w:rFonts w:ascii="Times New Roman;sans-serif" w:hAnsi="Times New Roman;sans-serif"/>
          <w:b/>
          <w:color w:val="000000"/>
          <w:sz w:val="22"/>
        </w:rPr>
        <w:t>8.01</w:t>
      </w:r>
      <w:r>
        <w:rPr>
          <w:rFonts w:ascii="Times New Roman;sans-serif" w:hAnsi="Times New Roman;sans-serif"/>
          <w:b/>
          <w:color w:val="000000"/>
          <w:sz w:val="22"/>
        </w:rPr>
        <w:t>Revolving/Used Vehicle Events of Default</w:t>
      </w:r>
      <w:r>
        <w:rPr>
          <w:rFonts w:ascii="Times New Roman;sans-serif" w:hAnsi="Times New Roman;sans-serif"/>
          <w:b w:val="false"/>
          <w:color w:val="000000"/>
          <w:sz w:val="22"/>
        </w:rPr>
        <w:t>. Any of the following shall constitute a Revolving/Used Vehicle Event of Default (each a “</w:t>
      </w:r>
      <w:r>
        <w:rPr>
          <w:rFonts w:ascii="Times New Roman;sans-serif" w:hAnsi="Times New Roman;sans-serif"/>
          <w:b w:val="false"/>
          <w:color w:val="000000"/>
          <w:sz w:val="22"/>
          <w:u w:val="single"/>
        </w:rPr>
        <w:t>Revolving/Used Vehicle Event of Default</w:t>
      </w:r>
      <w:r>
        <w:rPr>
          <w:color w:val="000000"/>
        </w:rPr>
        <w:t>”</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Non-Payment</w:t>
      </w:r>
      <w:r>
        <w:rPr>
          <w:rFonts w:ascii="Times New Roman;sans-serif" w:hAnsi="Times New Roman;sans-serif"/>
          <w:b w:val="false"/>
          <w:color w:val="000000"/>
          <w:sz w:val="22"/>
        </w:rPr>
        <w:t xml:space="preserve">. Any Borrower or any other Loan Party fails to pay (i) when and as required to be paid herein, any amount of principal of any Used Vehicle Floorplan Loan or Revolving Loan or any L/C Obligation (except for any payment necessary to cure an Out of Balance condition (as to which reference is made to clause (m) below)), or (ii) within five (5) days after the same becomes due, any interest on any Used Vehicle Floorplan Loan or Revolving Loan or any L/C Obligation, or any fee due hereunder with respect to the Used Vehicle Floorplan Facility or the Revolving Credit Facility, or (iii) within five (5) days after the same becomes due, any other amount payable hereunder or under any other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367665"/>
                <wp:effectExtent l="0" t="0" r="0" b="0"/>
                <wp:wrapNone/>
                <wp:docPr id="319" name="Frame31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146</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Loan Document with respect to either the Used Vehicle Floorplan Facility or the Revolving Credit Facility; or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Specific Covenants</w:t>
      </w:r>
      <w:r>
        <w:rPr>
          <w:rFonts w:ascii="Times New Roman;sans-serif" w:hAnsi="Times New Roman;sans-serif"/>
          <w:b w:val="false"/>
          <w:color w:val="000000"/>
          <w:sz w:val="22"/>
        </w:rPr>
        <w:t xml:space="preserve">. The Company or any other Borrower fails to perform or observe any term, covenant or agreement contained in any of </w:t>
      </w:r>
      <w:r>
        <w:rPr>
          <w:rFonts w:ascii="Times New Roman;sans-serif" w:hAnsi="Times New Roman;sans-serif"/>
          <w:b w:val="false"/>
          <w:color w:val="000000"/>
          <w:sz w:val="22"/>
          <w:u w:val="single"/>
        </w:rPr>
        <w:t>Section 6.01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6.02(a)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(c)</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6.03</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6.05</w:t>
      </w:r>
      <w:r>
        <w:rPr>
          <w:color w:val="000000"/>
        </w:rPr>
        <w:t xml:space="preserve"> </w:t>
      </w:r>
      <w:r>
        <w:rPr>
          <w:rFonts w:ascii="Times New Roman;sans-serif" w:hAnsi="Times New Roman;sans-serif"/>
          <w:b w:val="false"/>
          <w:color w:val="000000"/>
          <w:sz w:val="22"/>
        </w:rPr>
        <w:t xml:space="preserve">(as it relates to maintenance of existence), </w:t>
      </w:r>
      <w:r>
        <w:rPr>
          <w:rFonts w:ascii="Times New Roman;sans-serif" w:hAnsi="Times New Roman;sans-serif"/>
          <w:b w:val="false"/>
          <w:color w:val="000000"/>
          <w:sz w:val="22"/>
          <w:u w:val="single"/>
        </w:rPr>
        <w:t>6.10</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6.11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6.12</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6.14</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Article VII</w:t>
      </w:r>
      <w:r>
        <w:rPr>
          <w:rFonts w:ascii="Times New Roman;sans-serif" w:hAnsi="Times New Roman;sans-serif"/>
          <w:b w:val="false"/>
          <w:color w:val="000000"/>
          <w:sz w:val="22"/>
        </w:rPr>
        <w:t>; or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Other Defaults</w:t>
      </w:r>
      <w:r>
        <w:rPr>
          <w:rFonts w:ascii="Times New Roman;sans-serif" w:hAnsi="Times New Roman;sans-serif"/>
          <w:b w:val="false"/>
          <w:color w:val="000000"/>
          <w:sz w:val="22"/>
        </w:rPr>
        <w:t>. Any Loan Party fails to perform or observe any other covenant or agreement (not specified in subsection (a) or (b) above) contained in any Loan Document on its part to be performed or observed and such failure continues for thirty (30) days after the giving of written notice to such Loan Party specifying the alleged default; or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Representations and Warranties</w:t>
      </w:r>
      <w:r>
        <w:rPr>
          <w:rFonts w:ascii="Times New Roman;sans-serif" w:hAnsi="Times New Roman;sans-serif"/>
          <w:b w:val="false"/>
          <w:color w:val="000000"/>
          <w:sz w:val="22"/>
        </w:rPr>
        <w:t>. Any representation, warranty, certification or statement of fact made or deemed made by or on behalf of the Company or any other Loan Party herein, in any other Loan Document, or in any document delivered in connection herewith or therewith shall be incorrect or misleading in any material respect when made or deemed made; or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Cross-Default</w:t>
      </w:r>
      <w:r>
        <w:rPr>
          <w:rFonts w:ascii="Times New Roman;sans-serif" w:hAnsi="Times New Roman;sans-serif"/>
          <w:b w:val="false"/>
          <w:color w:val="000000"/>
          <w:sz w:val="22"/>
        </w:rPr>
        <w:t>. (i) The Company or any Subsidiary (other than a Specified Insurance Subsidiary or any Designated Escrow Subsidiary) (A) fails to make any payment when due (whether by scheduled maturity, required prepayment, acceleration, demand, or otherwise) in respect of any Indebtedness or Guarantee (other than Indebtedness hereunder and Indebtedness under Swap Contracts) having an aggregate principal amount (including undrawn committed or available amounts and including amounts owing to all creditors under any combined or syndicated credit arrangement) of more than the Threshold Amount, or (B) fails to observe or perform any other agreement or condition relating to any such Indebtedness or Guarantee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(ii) there occurs under any Swap Contract an Early Termination Date (as defined in such Swap Contract) resulting from (A) any event of default under such Swap Contract as to which the Company or any Subsidiary is the Defaulting Party (as defined in such Swap Contract) or (B) any Termination Event (as so defined) under such Swap Contract as to which the Company or any Subsidiary (other than a Specified Insurance Subsidiary) is an Affected Party (as so defined) and, in either event, the Swap Termination Value owed by the Company or such Subsidiary as a result thereof is greater than the Threshold Amount; or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Insolvency Proceedings, Etc.</w:t>
      </w:r>
      <w:r>
        <w:rPr>
          <w:color w:val="000000"/>
        </w:rPr>
        <w:t xml:space="preserve"> </w:t>
      </w:r>
      <w:r>
        <w:rPr>
          <w:rFonts w:ascii="Times New Roman;sans-serif" w:hAnsi="Times New Roman;sans-serif"/>
          <w:b w:val="false"/>
          <w:color w:val="000000"/>
          <w:sz w:val="22"/>
        </w:rPr>
        <w:t>Any Loan Party or any of its Restricted Subsidiaries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u w:val="single"/>
        </w:rPr>
        <w:t>Inability to Pay Debts; Attachment</w:t>
      </w:r>
      <w:r>
        <w:rPr>
          <w:rFonts w:ascii="Times New Roman;sans-serif" w:hAnsi="Times New Roman;sans-serif"/>
          <w:b w:val="false"/>
          <w:color w:val="000000"/>
          <w:sz w:val="22"/>
        </w:rPr>
        <w:t>. (i) The Company or any Subsidiary (other than a Specified Insurance Subsidiary or a Designated Escrow Subsidiary)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thirty (30) days after its issue or levy; or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u w:val="single"/>
        </w:rPr>
        <w:t>Judgments</w:t>
      </w:r>
      <w:r>
        <w:rPr>
          <w:rFonts w:ascii="Times New Roman;sans-serif" w:hAnsi="Times New Roman;sans-serif"/>
          <w:b w:val="false"/>
          <w:color w:val="000000"/>
          <w:sz w:val="22"/>
        </w:rPr>
        <w:t xml:space="preserve">. There shall be entered against the Company or any of its Subsidiaries (other than the Specified Insurance Subsidiaries or a Designated Escrow Subsidiary) (i) one or more judgments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367665"/>
                <wp:effectExtent l="0" t="0" r="0" b="0"/>
                <wp:wrapNone/>
                <wp:docPr id="320" name="Frame31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147</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or decrees in excess of the Threshold Amount in the aggregate at any one time outstanding for the Company and all its Subsidiaries (other than a Specified Insurance Subsidiaries) or (ii) any one or more non-monetary final judgments that have, or could reasonably be expected to have, individually or in the aggregate, a Material Adverse Effect and, in either case, (A) enforcement proceedings are commenced by any creditor upon such judgment or order, or (B) there is a period of 60 consecutive days during which such judgment is not satisfied and a stay of enforcement of such judgment, by reason of a pending appeal or otherwise, is not in effect, excluding (in the case of clause (i)) those judgments or decrees for which and to the extent that the Company or any such Subsidiary is insured and with respect to which the insurer has not contested or denied responsibility in writing (subject to usual deductibles); or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ERISA</w:t>
      </w:r>
      <w:r>
        <w:rPr>
          <w:rFonts w:ascii="Times New Roman;sans-serif" w:hAnsi="Times New Roman;sans-serif"/>
          <w:b w:val="false"/>
          <w:color w:val="000000"/>
          <w:sz w:val="22"/>
        </w:rPr>
        <w:t>. (i) An ERISA Event occurs with respect to a Pension Plan, Multiemployer Plan or Multiple Employer Plan which has resulted or could reasonably be expected to result in liability of the Company under Title IV of ERISA to the Pension Plan, Multiemployer Plan, Multiple Employer Plan or the PBGC in an aggregate amount in excess of the Threshold Amount, or (ii) the Company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u w:val="single"/>
        </w:rPr>
        <w:t>Invalidity of Loan Documents</w:t>
      </w:r>
      <w:r>
        <w:rPr>
          <w:rFonts w:ascii="Times New Roman;sans-serif" w:hAnsi="Times New Roman;sans-serif"/>
          <w:b w:val="false"/>
          <w:color w:val="000000"/>
          <w:sz w:val="22"/>
        </w:rPr>
        <w:t xml:space="preserve">. (i) Any Loan Document, at any time after its execution and delivery and for any reason other than as expressly permitted hereunder or thereunder or satisfaction in full of all the Obligations, ceases to be in full force and effect; or (ii) any Security Instrument shall for any reason (other than pursuant to the terms thereof or as a result of the failure of the Administrative Agent or the Lenders to file UCC financing statements or UCC continuation statements) cease to create a valid security interest in the Collateral purported to be covered thereby or such security interest shall for any reason cease to be a perfected security interest with the priority provided therefor in such Security Instrument subject only to those Liens permitted by </w:t>
      </w:r>
      <w:r>
        <w:rPr>
          <w:rFonts w:ascii="Times New Roman;sans-serif" w:hAnsi="Times New Roman;sans-serif"/>
          <w:b w:val="false"/>
          <w:color w:val="000000"/>
          <w:sz w:val="22"/>
          <w:u w:val="single"/>
        </w:rPr>
        <w:t>Section 7.02</w:t>
      </w:r>
      <w:r>
        <w:rPr>
          <w:rFonts w:ascii="Times New Roman;sans-serif" w:hAnsi="Times New Roman;sans-serif"/>
          <w:b w:val="false"/>
          <w:color w:val="000000"/>
          <w:sz w:val="22"/>
        </w:rPr>
        <w:t>; or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(k)</w:t>
      </w:r>
      <w:r>
        <w:rPr>
          <w:rFonts w:ascii="Times New Roman;sans-serif" w:hAnsi="Times New Roman;sans-serif"/>
          <w:b w:val="false"/>
          <w:color w:val="000000"/>
          <w:sz w:val="22"/>
          <w:u w:val="single"/>
        </w:rPr>
        <w:t>Change of Control</w:t>
      </w:r>
      <w:r>
        <w:rPr>
          <w:rFonts w:ascii="Times New Roman;sans-serif" w:hAnsi="Times New Roman;sans-serif"/>
          <w:b w:val="false"/>
          <w:color w:val="000000"/>
          <w:sz w:val="22"/>
        </w:rPr>
        <w:t>. There occurs any Change of Control; or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(l)</w:t>
      </w:r>
      <w:r>
        <w:rPr>
          <w:rFonts w:ascii="Times New Roman;sans-serif" w:hAnsi="Times New Roman;sans-serif"/>
          <w:b w:val="false"/>
          <w:color w:val="000000"/>
          <w:sz w:val="22"/>
          <w:u w:val="single"/>
        </w:rPr>
        <w:t>Franchise Agreements and Framework Agreements</w:t>
      </w:r>
      <w:r>
        <w:rPr>
          <w:rFonts w:ascii="Times New Roman;sans-serif" w:hAnsi="Times New Roman;sans-serif"/>
          <w:b w:val="false"/>
          <w:color w:val="000000"/>
          <w:sz w:val="22"/>
        </w:rPr>
        <w:t xml:space="preserve">. (i) Any Franchise Agreement or Framework Agreement is terminated or suspended or expires and a replacement for such Franchise Agreement or Framework Agreement is not entered into within 30 days of such termination, suspension or expiration, (ii) there occurs a default by any Person in the performance or observance of any term of any Franchise Agreement or Framework Agreement which is not cured within any applicable cure period therein, or (iii) there occurs any change in any Franchise Agreement or Framework Agreement, except in each case referred to in clauses (i), (ii) and (iii) to the extent such termination, suspension, expiration, default or change (either individually or in the aggregate) could not reasonably be expected to have a Material Adverse Effect;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in the event a Franchise Agreement expires in accordance with its terms, if and for so long as the respective dealership Subsidiary and manufacturer or distributor are negotiating in good faith to renew such Franchise Agreement, and the respective manufacturer or distributor has not taken (and is not reasonably expected to take) any action to terminate such Franchise Agreement, such expiration shall not by itself be considered a Revolving/Used Vehicle Event of Default under this </w:t>
      </w:r>
      <w:r>
        <w:rPr>
          <w:rFonts w:ascii="Times New Roman;sans-serif" w:hAnsi="Times New Roman;sans-serif"/>
          <w:b w:val="false"/>
          <w:color w:val="000000"/>
          <w:sz w:val="22"/>
          <w:u w:val="single"/>
        </w:rPr>
        <w:t>Section 8.01(l)</w:t>
      </w:r>
      <w:r>
        <w:rPr>
          <w:rFonts w:ascii="Times New Roman;sans-serif" w:hAnsi="Times New Roman;sans-serif"/>
          <w:b w:val="false"/>
          <w:color w:val="000000"/>
          <w:sz w:val="22"/>
        </w:rPr>
        <w:t>; or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(m)</w:t>
      </w:r>
      <w:r>
        <w:rPr>
          <w:rFonts w:ascii="Times New Roman;sans-serif" w:hAnsi="Times New Roman;sans-serif"/>
          <w:b w:val="false"/>
          <w:color w:val="000000"/>
          <w:sz w:val="22"/>
          <w:u w:val="single"/>
        </w:rPr>
        <w:t>Out of Balance</w:t>
      </w:r>
      <w:r>
        <w:rPr>
          <w:rFonts w:ascii="Times New Roman;sans-serif" w:hAnsi="Times New Roman;sans-serif"/>
          <w:b w:val="false"/>
          <w:color w:val="000000"/>
          <w:sz w:val="22"/>
        </w:rPr>
        <w:t xml:space="preserve">. An audit performed by the Administrative Agent or New Vehicle Floorplan Swing Line Lender pursuant to the provisions of </w:t>
      </w:r>
      <w:r>
        <w:rPr>
          <w:rFonts w:ascii="Times New Roman;sans-serif" w:hAnsi="Times New Roman;sans-serif"/>
          <w:b w:val="false"/>
          <w:color w:val="000000"/>
          <w:sz w:val="22"/>
          <w:u w:val="single"/>
        </w:rPr>
        <w:t>Section 6.10</w:t>
      </w:r>
      <w:r>
        <w:rPr>
          <w:color w:val="000000"/>
        </w:rPr>
        <w:t xml:space="preserve"> </w:t>
      </w:r>
      <w:r>
        <w:rPr>
          <w:rFonts w:ascii="Times New Roman;sans-serif" w:hAnsi="Times New Roman;sans-serif"/>
          <w:b w:val="false"/>
          <w:color w:val="000000"/>
          <w:sz w:val="22"/>
        </w:rPr>
        <w:t>reveals that any Vehicle of any Borrower securing the Obligations has been Out of Balance, and such Out of Balance condition either (i) (individually or in the aggregate) has had or would reasonably be expected to have a Material Adverse Effect or (ii) continues for thirty (30) days following notice from the Administrative Agent to the Company thereof; or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(n)</w:t>
      </w:r>
      <w:r>
        <w:rPr>
          <w:rFonts w:ascii="Times New Roman;sans-serif" w:hAnsi="Times New Roman;sans-serif"/>
          <w:b w:val="false"/>
          <w:color w:val="000000"/>
          <w:sz w:val="22"/>
          <w:u w:val="single"/>
        </w:rPr>
        <w:t>New Vehicle Event of Default</w:t>
      </w:r>
      <w:r>
        <w:rPr>
          <w:rFonts w:ascii="Times New Roman;sans-serif" w:hAnsi="Times New Roman;sans-serif"/>
          <w:b w:val="false"/>
          <w:color w:val="000000"/>
          <w:sz w:val="22"/>
        </w:rPr>
        <w:t>. A New Vehicle Event of Default shall occur and be continuing.</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367665"/>
                <wp:effectExtent l="0" t="0" r="0" b="0"/>
                <wp:wrapNone/>
                <wp:docPr id="321" name="Frame31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148</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hanging="720"/>
        <w:jc w:val="both"/>
        <w:rPr/>
      </w:pPr>
      <w:r>
        <w:rPr>
          <w:rFonts w:ascii="Times New Roman;sans-serif" w:hAnsi="Times New Roman;sans-serif"/>
          <w:b/>
          <w:color w:val="000000"/>
          <w:sz w:val="22"/>
        </w:rPr>
        <w:t>8.02Remedies Upon Revolving/Used Vehicle Event of Default</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If any Revolving/Used Vehicle Event of Default occurs and is continuing, the Administrative Agent shall, at the request of, or may, with the consent of, the Required Lenders, take any or all of the following actions: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(i)declare the commitment of each Revolving Lender to make Revolving Loans and any obligation of any L/C Issuer to make L/C Credit Extensions to be terminated, whereupon such commitments and obligation shall be terminated;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(ii)declare the commitment of each Used Vehicle Floorplan Lender to make Used Vehicle Floorplan Loans to be terminated, whereupon such commitments and obligation shall be terminated;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(iii)declare the unpaid principal amount of all outstanding Revolving Loans, all interest accrued and unpaid thereon, and all other amounts owing or payable hereunder or under any other Loan Document with respect to the Revolving Credit Facility to be immediately due and payable, without presentment, demand, protest or other notice of any kind, all of which are hereby expressly waived by the Company;</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(iv)declare the unpaid principal amount of all outstanding Used Vehicle Floorplan Loans, all interest accrued and unpaid thereon, and all other amounts owing or payable hereunder or under any other Loan Document with respect to the Used Vehicle Floorplan Facility to be immediately due and payable, without presentment, demand, protest or other notice of any kind, all of which are hereby expressly waived by the Company;</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(v)require that the Company Cash Collateralize the L/C Obligations (in an amount equal to the then Outstanding Amount thereof);</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(vi)exercise on behalf of itself, the Revolving Lenders and the L/C Issuers all rights and remedies available to it, the Revolving Lenders and the L/C Issuers under the Loan Documents; or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(vii)exercise on behalf of itself and the Used Vehicle Floorplan Lenders all rights and remedies available to it and the Used Vehicle Floorplan Lenders under the Loan Documents;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upon the occurrence of an actual or deemed entry of an order for relief with respect to any Borrower under the Bankruptcy Code of the United States, the obligation of each Revolving Lender and each Used Vehicle Floorplan Lender to make Revolving Loans and Used Vehicle Floorplan Loans, as applicable, and any obligation of each L/C Issuer to make L/C Credit Extensions shall automatically terminate and the unpaid principal amount of all outstanding Revolving Loans and Used Vehicle Floorplan Loans and all interest and other amounts as aforesaid shall automatically become due and payable, and the obligation of the Company to Cash Collateralize the L/C Obligations as aforesaid shall automatically become effective, in each case without further act of the Administrative Agent, any Revolving Lender or any Used Vehicle Floorplan Lender.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Notwithstanding the above, with respect to a Revolving/Used Vehicle Event of Default described in </w:t>
      </w:r>
      <w:r>
        <w:rPr>
          <w:rFonts w:ascii="Times New Roman;sans-serif" w:hAnsi="Times New Roman;sans-serif"/>
          <w:b w:val="false"/>
          <w:color w:val="000000"/>
          <w:sz w:val="22"/>
          <w:u w:val="single"/>
        </w:rPr>
        <w:t>Section 8.01(n)</w:t>
      </w:r>
      <w:r>
        <w:rPr>
          <w:rFonts w:ascii="Times New Roman;sans-serif" w:hAnsi="Times New Roman;sans-serif"/>
          <w:b w:val="false"/>
          <w:color w:val="000000"/>
          <w:sz w:val="22"/>
        </w:rPr>
        <w:t xml:space="preserve">, if such is caused solely by the occurrence of a single Event of Default occurring under </w:t>
      </w:r>
      <w:r>
        <w:rPr>
          <w:rFonts w:ascii="Times New Roman;sans-serif" w:hAnsi="Times New Roman;sans-serif"/>
          <w:b w:val="false"/>
          <w:color w:val="000000"/>
          <w:sz w:val="22"/>
          <w:u w:val="single"/>
        </w:rPr>
        <w:t>Section 8.03(a)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(g)</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(h)</w:t>
      </w:r>
      <w:r>
        <w:rPr>
          <w:color w:val="000000"/>
        </w:rPr>
        <w:t xml:space="preserve"> </w:t>
      </w:r>
      <w:r>
        <w:rPr>
          <w:rFonts w:ascii="Times New Roman;sans-serif" w:hAnsi="Times New Roman;sans-serif"/>
          <w:b w:val="false"/>
          <w:color w:val="000000"/>
          <w:sz w:val="22"/>
        </w:rPr>
        <w:t>and affects only one New Vehicle Borrower and no other Event of Default has occurred and is continuing, the Administrative Agent shall not be entitled to accelerate the Revolving Credit Facility or the Used Vehicle Floorplan Facility for a period of thirty (30) days from the date of such Revolving/Used Vehicle Event of Default.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In addition to the foregoing, if any Revolving/Used Vehicle Event of Default occurs and is continuing, the Administrative Agent shall, at the request of, or may, with the consent of, the Required Lenders take any or all of the following actions:</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367665"/>
                <wp:effectExtent l="0" t="0" r="0" b="0"/>
                <wp:wrapNone/>
                <wp:docPr id="322" name="Frame31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149</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(i)foreclose upon, take possession of, or otherwise exercise any remedies available to it under any Security Instrument with respect to, any of the Collateral, or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(ii)take any action to perfect or preserve the rights of the Administrative Agent with respect to any Collateral, including filing any appropriate claim or document with respect to any Collateral in any proceeding under any Debtor Relief Law.</w:t>
      </w:r>
    </w:p>
    <w:p>
      <w:pPr>
        <w:pStyle w:val="TextBody"/>
        <w:bidi w:val="0"/>
        <w:spacing w:lineRule="auto" w:line="240" w:before="0" w:after="240"/>
        <w:ind w:left="0" w:right="0" w:firstLine="720"/>
        <w:jc w:val="both"/>
        <w:rPr/>
      </w:pPr>
      <w:r>
        <w:rPr>
          <w:rFonts w:ascii="Times New Roman;sans-serif" w:hAnsi="Times New Roman;sans-serif"/>
          <w:b/>
          <w:color w:val="000000"/>
          <w:sz w:val="22"/>
        </w:rPr>
        <w:t>8.03</w:t>
      </w:r>
      <w:r>
        <w:rPr>
          <w:rFonts w:ascii="Times New Roman;sans-serif" w:hAnsi="Times New Roman;sans-serif"/>
          <w:b/>
          <w:color w:val="000000"/>
          <w:sz w:val="22"/>
        </w:rPr>
        <w:t>New Vehicle Events of Default</w:t>
      </w:r>
      <w:r>
        <w:rPr>
          <w:rFonts w:ascii="Times New Roman;sans-serif" w:hAnsi="Times New Roman;sans-serif"/>
          <w:b w:val="false"/>
          <w:color w:val="000000"/>
          <w:sz w:val="22"/>
        </w:rPr>
        <w:t>. Any of the following shall constitute a New Vehicle Event of Default in respect of any one or more New Vehicle Borrowers (each, a “</w:t>
      </w:r>
      <w:r>
        <w:rPr>
          <w:rFonts w:ascii="Times New Roman;sans-serif" w:hAnsi="Times New Roman;sans-serif"/>
          <w:b w:val="false"/>
          <w:color w:val="000000"/>
          <w:sz w:val="22"/>
          <w:u w:val="single"/>
        </w:rPr>
        <w:t>New Vehicle Event of Default</w:t>
      </w:r>
      <w:r>
        <w:rPr>
          <w:color w:val="000000"/>
        </w:rPr>
        <w:t>”</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Non-Payment</w:t>
      </w:r>
      <w:r>
        <w:rPr>
          <w:rFonts w:ascii="Times New Roman;sans-serif" w:hAnsi="Times New Roman;sans-serif"/>
          <w:b w:val="false"/>
          <w:color w:val="000000"/>
          <w:sz w:val="22"/>
        </w:rPr>
        <w:t>. (i) Any Borrower or any other Loan Party fails to pay (A) when and as required to be paid herein, any amount of principal of any New Vehicle Floorplan Loan or any New Vehicle Floorplan Overdraft (except for any payment necessary to cure an Out of Balance condition (as to which reference is made to clause (ii) below)), or (B) within five (5) days after the same becomes due, any interest on any New Vehicle Floorplan Loan, or any fee due hereunder with respect to the New Vehicle Floorplan Facility, or (C) within five days after the same becomes due, any other amount payable hereunder or under any other Loan Document with respect to the New Vehicle Floorplan Facility, or (ii) the Company shall fail to cure any Out of Balance condition, which condition shall remain unremedied for a period of four (4) Business Days following notice thereof by the Administrative Agent or New Vehicle Floorplan Swing Line Lender to the Company; or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Specific Covenants</w:t>
      </w:r>
      <w:r>
        <w:rPr>
          <w:rFonts w:ascii="Times New Roman;sans-serif" w:hAnsi="Times New Roman;sans-serif"/>
          <w:b w:val="false"/>
          <w:color w:val="000000"/>
          <w:sz w:val="22"/>
        </w:rPr>
        <w:t xml:space="preserve">. The Company fails to perform or observe any term, covenant or agreement contained in </w:t>
      </w:r>
      <w:r>
        <w:rPr>
          <w:rFonts w:ascii="Times New Roman;sans-serif" w:hAnsi="Times New Roman;sans-serif"/>
          <w:b w:val="false"/>
          <w:color w:val="000000"/>
          <w:sz w:val="22"/>
          <w:u w:val="single"/>
        </w:rPr>
        <w:t>Section 7.11</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Other Defaults</w:t>
      </w:r>
      <w:r>
        <w:rPr>
          <w:rFonts w:ascii="Times New Roman;sans-serif" w:hAnsi="Times New Roman;sans-serif"/>
          <w:b w:val="false"/>
          <w:color w:val="000000"/>
          <w:sz w:val="22"/>
        </w:rPr>
        <w:t>. Any Loan Party fails to perform or observe any other covenant or agreement (not specified in subsection (a) or (b) above) contained in any Loan Document on its part to be performed or observed and such failure continues for thirty (30) days after the giving of written notice to such Loan Party specifying the alleged default; or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Representations and Warranties</w:t>
      </w:r>
      <w:r>
        <w:rPr>
          <w:rFonts w:ascii="Times New Roman;sans-serif" w:hAnsi="Times New Roman;sans-serif"/>
          <w:b w:val="false"/>
          <w:color w:val="000000"/>
          <w:sz w:val="22"/>
        </w:rPr>
        <w:t>. Any representation, warranty, certification or statement of fact made or deemed made by or on behalf of the Company or any other Loan Party herein, in any other Loan Document, or in any document delivered in connection herewith or therewith shall be incorrect or misleading in any material respect when made or deemed made; or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Revolving/Used Vehicle Event of Default</w:t>
      </w:r>
      <w:r>
        <w:rPr>
          <w:rFonts w:ascii="Times New Roman;sans-serif" w:hAnsi="Times New Roman;sans-serif"/>
          <w:b w:val="false"/>
          <w:color w:val="000000"/>
          <w:sz w:val="22"/>
        </w:rPr>
        <w:t>. (i) A Revolving/Used Vehicle Event of Default which has not been cured or waived within thirty (30) days of the occurrence of such Revolving/Used Vehicle Event of Default, (ii) repayment of amounts outstanding under the Revolving Credit Facility or the Used Vehicle Floorplan Facility shall be accelerated, or (iii) the Company shall fail to pay any principal, interest or fees due under the Revolving Credit Facility or the Used Vehicle Floorplan Facility within thirty (30) days of the due date; or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Cross-Default</w:t>
      </w:r>
      <w:r>
        <w:rPr>
          <w:rFonts w:ascii="Times New Roman;sans-serif" w:hAnsi="Times New Roman;sans-serif"/>
          <w:b w:val="false"/>
          <w:color w:val="000000"/>
          <w:sz w:val="22"/>
        </w:rPr>
        <w:t xml:space="preserve">. (i) The Company or any New Vehicle Borrower (A) fails to make any payment when due (whether by scheduled maturity, required prepayment, acceleration, demand, or otherwise) in respect of any Indebtedness or Guarantee (other than Indebtedness hereunder and Indebtedness under Swap Contracts) having an aggregate principal amount (including undrawn committed or available amounts and including amounts owing to all creditors under any combined or syndicated credit arrangement) of more than the Threshold Amount, or (B) fails to observe or perform any other agreement or condition relating to any such Indebtedness or Guarantee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(ii) there occurs under any Swap Contract an Early Termination Date (as defined in such Swap Contract) resulting from (A) any event of default under such Swap Contract as to which the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367665"/>
                <wp:effectExtent l="0" t="0" r="0" b="0"/>
                <wp:wrapNone/>
                <wp:docPr id="323" name="Frame31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150</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Company or any New Vehicle Borrower is the Defaulting Party (as defined in such Swap Contract) or (B) any Termination Event (as so defined) under such Swap Contract as to which the Company or any New Vehicle Borrower is an Affected Party (as so defined) and, in either event, the Swap Termination Value owed by the Company or such New Vehicle Borrower as a result thereof is greater than the Threshold Amount; or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u w:val="single"/>
        </w:rPr>
        <w:t>Insolvency Proceedings, Etc</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(i)the Company or any New Vehicle Borrower shall (A) voluntarily commence any proceeding or file any petition seeking relief under Title 11 of the United States Code or any other federal, state or foreign bankruptcy, insolvency, liquidation or similar law, (B) consent to the institution of, or fail to contravene in a timely and appropriate manner to any such proceeding or the filing of any such petition, (C) apply for or consent to the appointment of a receiver, trustee, custodian, sequestrator or similar official for such Person or for a substantial part of such Person’s property or assets, (D) file an answer admitting the material allegations of a petition filed against it in any such proceeding, (E) make a general assignment for the benefit of creditors, or (F) become unable, admit in writing its inability or fail generally to pay its debts as they become due; or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(ii)an involuntary proceeding shall be commenced or an involuntary petition shall be filed in a court of competent jurisdiction seeking (a) relief in respect of the Company or any New Vehicle Borrower, or of a substantial part of the property or assets of any such Person, under Title 11 of the United States Code or any other federal, state or foreign bankruptcy, insolvency, receivership or similar law, (B) the appointment of a receiver, trustee, custodian, sequestrator or similar official for any such Person or for a substantial part of the property of any such Person or (C) the winding-up or liquidation of any such Person; and such proceeding or petition shall continue undismissed for sixty (60) days or an order or decree approving or ordering any of the foregoing shall continue unstayed and in effect for sixty (60) days; or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u w:val="single"/>
        </w:rPr>
        <w:t>Inability to Pay Debts; Attachment</w:t>
      </w:r>
      <w:r>
        <w:rPr>
          <w:rFonts w:ascii="Times New Roman;sans-serif" w:hAnsi="Times New Roman;sans-serif"/>
          <w:b w:val="false"/>
          <w:color w:val="000000"/>
          <w:sz w:val="22"/>
        </w:rPr>
        <w:t>. (i) The Company or any New Vehicle Borrower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thirty (30) days after its issue or levy; or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Judgments</w:t>
      </w:r>
      <w:r>
        <w:rPr>
          <w:rFonts w:ascii="Times New Roman;sans-serif" w:hAnsi="Times New Roman;sans-serif"/>
          <w:b w:val="false"/>
          <w:color w:val="000000"/>
          <w:sz w:val="22"/>
        </w:rPr>
        <w:t>. There shall be entered against the Company or any of New Vehicle Borrower (i) one or more judgments or decrees in excess of the Threshold Amount in the aggregate at any one time outstanding for the Company and all its Subsidiaries or (ii) any one or more non-monetary final judgments that have, or could reasonably be expected to have, individually or in the aggregate, a Material Adverse Effect and, in either case, (A) enforcement proceedings are commenced by any creditor upon such judgment or order, or (B) there is a period of 60 consecutive days during which a stay of enforcement of such judgment, by reason of a pending appeal or otherwise, is not in effect, excluding (in the case of clause (i)) those judgments or decrees for which, and to the extent that, the Company or any such Subsidiary is insured and with respect to which the insurer has not contested or denied in writing (subject to usual deductibles); or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u w:val="single"/>
        </w:rPr>
        <w:t>Franchise Agreements and Framework Agreement</w:t>
      </w:r>
      <w:r>
        <w:rPr>
          <w:rFonts w:ascii="Times New Roman;sans-serif" w:hAnsi="Times New Roman;sans-serif"/>
          <w:b w:val="false"/>
          <w:color w:val="000000"/>
          <w:sz w:val="22"/>
        </w:rPr>
        <w:t xml:space="preserve">. With respect to the Company or any New Vehicle Borrower, (i) any Franchise Agreement or Framework Agreement of the Company or such New Vehicle Borrower is terminated or suspended or expires and a replacement for such Franchise Agreement or Framework Agreement is not entered into within thirty (30) days of such termination, suspension or expiration; or (ii) there occurs a default by any Person in the performance or observance of any term of any Franchise Agreement or Framework Agreement which is not cured within any applicable cure period therein, except in each case referred to in clauses (i) and (ii) to the extent such termination, suspension, expiration, or default (either individually or in the aggregate) could not reasonably be expected to have a Material Adverse Effect;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in the event a Franchise Agreement expires in accordance with its terms, if and for so long as the respective dealership Subsidiary and manufacturer or distributor are negotiating in good faith to renew such Franchise Agreement, and the respective manufacturer or distributor has not taken (and is not reasonably expected to take) any action to terminate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367665"/>
                <wp:effectExtent l="0" t="0" r="0" b="0"/>
                <wp:wrapNone/>
                <wp:docPr id="324" name="Frame31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151</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such Franchise Agreement, such expiration shall not by itself be considered a New Vehicle Event of Default under this </w:t>
      </w:r>
      <w:r>
        <w:rPr>
          <w:rFonts w:ascii="Times New Roman;sans-serif" w:hAnsi="Times New Roman;sans-serif"/>
          <w:b w:val="false"/>
          <w:color w:val="000000"/>
          <w:sz w:val="22"/>
          <w:u w:val="single"/>
        </w:rPr>
        <w:t>Section 8.03(j)</w:t>
      </w:r>
      <w:r>
        <w:rPr>
          <w:rFonts w:ascii="Times New Roman;sans-serif" w:hAnsi="Times New Roman;sans-serif"/>
          <w:b w:val="false"/>
          <w:color w:val="000000"/>
          <w:sz w:val="22"/>
        </w:rPr>
        <w:t>; or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(k)</w:t>
      </w:r>
      <w:r>
        <w:rPr>
          <w:rFonts w:ascii="Times New Roman;sans-serif" w:hAnsi="Times New Roman;sans-serif"/>
          <w:b w:val="false"/>
          <w:color w:val="000000"/>
          <w:sz w:val="22"/>
          <w:u w:val="single"/>
        </w:rPr>
        <w:t>Invalidity of Loan Documents and Collateral</w:t>
      </w:r>
      <w:r>
        <w:rPr>
          <w:rFonts w:ascii="Times New Roman;sans-serif" w:hAnsi="Times New Roman;sans-serif"/>
          <w:b w:val="false"/>
          <w:color w:val="000000"/>
          <w:sz w:val="22"/>
        </w:rPr>
        <w:t xml:space="preserve">. (i) Any Loan Document with respect to the Company or any New Vehicle Borrower, at any time after its execution and delivery and for any reason other than as expressly permitted hereunder or thereunder or satisfaction in full of all the Obligations, ceases to be in full force and effect; or (ii) any Security Instrument shall for any reason (other than pursuant to the terms thereof) cease to create a valid security interest in the Collateral purported to be covered thereby or such security interest shall for any reason cease to be a perfected and first priority security interest subject only to those Liens permitted by </w:t>
      </w:r>
      <w:r>
        <w:rPr>
          <w:rFonts w:ascii="Times New Roman;sans-serif" w:hAnsi="Times New Roman;sans-serif"/>
          <w:b w:val="false"/>
          <w:color w:val="000000"/>
          <w:sz w:val="22"/>
          <w:u w:val="single"/>
        </w:rPr>
        <w:t>Section 7.02</w:t>
      </w:r>
      <w:r>
        <w:rPr>
          <w:rFonts w:ascii="Times New Roman;sans-serif" w:hAnsi="Times New Roman;sans-serif"/>
          <w:b w:val="false"/>
          <w:color w:val="000000"/>
          <w:sz w:val="22"/>
        </w:rPr>
        <w:t xml:space="preserve">. </w:t>
      </w:r>
    </w:p>
    <w:p>
      <w:pPr>
        <w:pStyle w:val="TextBody"/>
        <w:bidi w:val="0"/>
        <w:spacing w:lineRule="auto" w:line="240" w:before="0" w:after="240"/>
        <w:ind w:left="0" w:right="0" w:hanging="720"/>
        <w:jc w:val="both"/>
        <w:rPr/>
      </w:pPr>
      <w:r>
        <w:rPr>
          <w:rFonts w:ascii="Times New Roman;sans-serif" w:hAnsi="Times New Roman;sans-serif"/>
          <w:b/>
          <w:color w:val="000000"/>
          <w:sz w:val="22"/>
        </w:rPr>
        <w:t>8.04Remedies Upon New Vehicle Event of Default</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Upon the occurrence and during the continuance of a New Vehicle Event of Default under </w:t>
      </w:r>
      <w:r>
        <w:rPr>
          <w:rFonts w:ascii="Times New Roman;sans-serif" w:hAnsi="Times New Roman;sans-serif"/>
          <w:b w:val="false"/>
          <w:color w:val="000000"/>
          <w:sz w:val="22"/>
          <w:u w:val="single"/>
        </w:rPr>
        <w:t>Section 8.03(a)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(c)</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(d)</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(f)</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(g)</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(h)</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(i)</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 xml:space="preserve">(j) </w:t>
      </w:r>
      <w:r>
        <w:rPr>
          <w:rFonts w:ascii="Times New Roman;sans-serif" w:hAnsi="Times New Roman;sans-serif"/>
          <w:b w:val="false"/>
          <w:color w:val="000000"/>
          <w:sz w:val="22"/>
        </w:rPr>
        <w:t>or</w:t>
      </w:r>
      <w:r>
        <w:rPr>
          <w:color w:val="000000"/>
          <w:u w:val="single"/>
        </w:rPr>
        <w:t xml:space="preserve"> </w:t>
      </w:r>
      <w:r>
        <w:rPr>
          <w:rFonts w:ascii="Times New Roman;sans-serif" w:hAnsi="Times New Roman;sans-serif"/>
          <w:b w:val="false"/>
          <w:color w:val="000000"/>
          <w:sz w:val="22"/>
          <w:u w:val="single"/>
        </w:rPr>
        <w:t>(k)</w:t>
      </w:r>
      <w:r>
        <w:rPr>
          <w:color w:val="000000"/>
        </w:rPr>
        <w:t xml:space="preserve"> </w:t>
      </w:r>
      <w:r>
        <w:rPr>
          <w:rFonts w:ascii="Times New Roman;sans-serif" w:hAnsi="Times New Roman;sans-serif"/>
          <w:b w:val="false"/>
          <w:color w:val="000000"/>
          <w:sz w:val="22"/>
        </w:rPr>
        <w:t xml:space="preserve">with respect to the Company or any New Vehicle Borrower, the Administrative Agent may, and at the direction of the Required Lenders, shall: (i) (A) make no further New Vehicle Floorplan Loans to such New Vehicle Borrower or (in the case of any New Vehicle Event of Default under </w:t>
      </w:r>
      <w:r>
        <w:rPr>
          <w:rFonts w:ascii="Times New Roman;sans-serif" w:hAnsi="Times New Roman;sans-serif"/>
          <w:b w:val="false"/>
          <w:color w:val="000000"/>
          <w:sz w:val="22"/>
          <w:u w:val="single"/>
        </w:rPr>
        <w:t>Section 8.03(g)</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(h)</w:t>
      </w:r>
      <w:r>
        <w:rPr>
          <w:color w:val="000000"/>
        </w:rPr>
        <w:t xml:space="preserve"> </w:t>
      </w:r>
      <w:r>
        <w:rPr>
          <w:rFonts w:ascii="Times New Roman;sans-serif" w:hAnsi="Times New Roman;sans-serif"/>
          <w:b w:val="false"/>
          <w:color w:val="000000"/>
          <w:sz w:val="22"/>
        </w:rPr>
        <w:t xml:space="preserve">with respect to the Company) any New Vehicle Borrower during the continuance of such New Vehicle Event of Default and (B) the Administrative Agent and the New Vehicle Floorplan Swing Line Lender, upon three (3) days prior notice to the Company before the first debit, may initiate automatic debits from all such accounts of the Company or such New Vehicle Borrower in order to pay sums due under any New Vehicle Floorplan Loans of the Company or such New Vehicle Borrower. Notwithstanding the foregoing, the Lenders shall continue to make New Vehicle Floorplan Loans available to the Company and all New Vehicle Borrowers with respect to which no New Vehicle Event of Default has occurred unless otherwise provided in </w:t>
      </w:r>
      <w:r>
        <w:rPr>
          <w:rFonts w:ascii="Times New Roman;sans-serif" w:hAnsi="Times New Roman;sans-serif"/>
          <w:b w:val="false"/>
          <w:color w:val="000000"/>
          <w:sz w:val="22"/>
          <w:u w:val="single"/>
        </w:rPr>
        <w:t>Section 8.04(c)</w:t>
      </w:r>
      <w:r>
        <w:rPr>
          <w:color w:val="000000"/>
        </w:rPr>
        <w:t xml:space="preserve"> </w:t>
      </w:r>
      <w:r>
        <w:rPr>
          <w:rFonts w:ascii="Times New Roman;sans-serif" w:hAnsi="Times New Roman;sans-serif"/>
          <w:b w:val="false"/>
          <w:color w:val="000000"/>
          <w:sz w:val="22"/>
        </w:rPr>
        <w:t>below.</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Upon the occurrence and during the continuance of a New Vehicle Event of Default under </w:t>
      </w:r>
      <w:r>
        <w:rPr>
          <w:rFonts w:ascii="Times New Roman;sans-serif" w:hAnsi="Times New Roman;sans-serif"/>
          <w:b w:val="false"/>
          <w:color w:val="000000"/>
          <w:sz w:val="22"/>
          <w:u w:val="single"/>
        </w:rPr>
        <w:t>Section 8.03(e)</w:t>
      </w:r>
      <w:r>
        <w:rPr>
          <w:color w:val="000000"/>
        </w:rPr>
        <w:t xml:space="preserve"> </w:t>
      </w:r>
      <w:r>
        <w:rPr>
          <w:rFonts w:ascii="Times New Roman;sans-serif" w:hAnsi="Times New Roman;sans-serif"/>
          <w:b w:val="false"/>
          <w:color w:val="000000"/>
          <w:sz w:val="22"/>
        </w:rPr>
        <w:t xml:space="preserve">above, the Applicable Rate for all New Vehicle Floorplan Loans made to all New Vehicle Borrowers during the thirty (30) day period referred to therein shall increase by two percent (2%), such increase to occur (i) automatically if such New Vehicle Event of Default is the result of a failure on the part of the Borrowers to pay the principal amount of any Revolving Loan or Used Vehicle Floorplan Loan when due, or (ii) upon the request of the Required Lenders in the case of any other such New Vehicle Event of Default.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Immediately upon the occurrence of a New Vehicle Event of Default under </w:t>
      </w:r>
      <w:r>
        <w:rPr>
          <w:rFonts w:ascii="Times New Roman;sans-serif" w:hAnsi="Times New Roman;sans-serif"/>
          <w:b w:val="false"/>
          <w:color w:val="000000"/>
          <w:sz w:val="22"/>
          <w:u w:val="single"/>
        </w:rPr>
        <w:t>Section 8.03(e)</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(f)</w:t>
      </w:r>
      <w:r>
        <w:rPr>
          <w:rFonts w:ascii="Times New Roman;sans-serif" w:hAnsi="Times New Roman;sans-serif"/>
          <w:b w:val="false"/>
          <w:color w:val="000000"/>
          <w:sz w:val="22"/>
        </w:rPr>
        <w:t xml:space="preserve">, or thirty (30) days after the occurrence of any New Vehicle Event of Default under </w:t>
      </w:r>
      <w:r>
        <w:rPr>
          <w:rFonts w:ascii="Times New Roman;sans-serif" w:hAnsi="Times New Roman;sans-serif"/>
          <w:b w:val="false"/>
          <w:color w:val="000000"/>
          <w:sz w:val="22"/>
          <w:u w:val="single"/>
        </w:rPr>
        <w:t>Section 8.03(a)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(c)</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(g)</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(j)</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(k)</w:t>
      </w:r>
      <w:r>
        <w:rPr>
          <w:color w:val="000000"/>
        </w:rPr>
        <w:t xml:space="preserve"> </w:t>
      </w:r>
      <w:r>
        <w:rPr>
          <w:rFonts w:ascii="Times New Roman;sans-serif" w:hAnsi="Times New Roman;sans-serif"/>
          <w:b w:val="false"/>
          <w:color w:val="000000"/>
          <w:sz w:val="22"/>
        </w:rPr>
        <w:t xml:space="preserve">that is continuing, or immediately upon the occurrence of a second, concurrent New Vehicle Event of Default under </w:t>
      </w:r>
      <w:r>
        <w:rPr>
          <w:rFonts w:ascii="Times New Roman;sans-serif" w:hAnsi="Times New Roman;sans-serif"/>
          <w:b w:val="false"/>
          <w:color w:val="000000"/>
          <w:sz w:val="22"/>
          <w:u w:val="single"/>
        </w:rPr>
        <w:t>Section 8.03(a)</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(b)</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(c)</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(g)</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(i)</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(j)</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(k)</w:t>
      </w:r>
      <w:r>
        <w:rPr>
          <w:color w:val="000000"/>
        </w:rPr>
        <w:t xml:space="preserve"> </w:t>
      </w:r>
      <w:r>
        <w:rPr>
          <w:rFonts w:ascii="Times New Roman;sans-serif" w:hAnsi="Times New Roman;sans-serif"/>
          <w:b w:val="false"/>
          <w:color w:val="000000"/>
          <w:sz w:val="22"/>
        </w:rPr>
        <w:t xml:space="preserve">(unless otherwise permitted by the New Vehicle Floorplan Swing Line Lender pursuant to </w:t>
      </w:r>
      <w:r>
        <w:rPr>
          <w:rFonts w:ascii="Times New Roman;sans-serif" w:hAnsi="Times New Roman;sans-serif"/>
          <w:b w:val="false"/>
          <w:color w:val="000000"/>
          <w:sz w:val="22"/>
          <w:u w:val="single"/>
        </w:rPr>
        <w:t>Section 2.07</w:t>
      </w:r>
      <w:r>
        <w:rPr>
          <w:rFonts w:ascii="Times New Roman;sans-serif" w:hAnsi="Times New Roman;sans-serif"/>
          <w:b w:val="false"/>
          <w:color w:val="000000"/>
          <w:sz w:val="22"/>
        </w:rPr>
        <w:t>), no further New Vehicle Floorplan Loans shall be made to any New Vehicle Borrower and the Administrative Agent may, and at the request of the Required Lenders shall, by written or facsimile notice to the Company, take any of the following actions at the same or different times: (w) declare the commitment of each Lender to make New Vehicle Floorplan Loans to be terminated, whereupon such commitments and obligation shall be terminated and any such termination shall automatically terminate the New Vehicle Floorplan Swing Line, (x) declare the unpaid principal amount of all outstanding New Vehicle Floorplan Loans, all interest accrued and unpaid thereon, and all other amounts owing or payable hereunder or under any other Loan Document to be immediately due and payable, without presentment, demand, protest or other notice of any kind, all of which are hereby expressly waived by the Company, (y) exercise on behalf of itself and the Lenders all rights and remedies available to it and the Lenders under the Loan Documents and (ii) the New Vehicle Floorplan Swing Line Lender in its sole discretion may suspend and terminate all Payment Commitments and Payoff Letter Commitments, (iii) to the extent the New Vehicle Floorplan Swing Line Lender determines that such suspension and termination is permitted by the terms of such Payment Commitments and Payoff Letter Commitments) the New Vehicle Floorplan Swing Line Lender shall, at the request of the Required Lenders, suspend and terminate any or all of the Payment Commitments and Payoff Letter Commitments, and (iv) the Administrative Agent shall have all remedies available to it at law or in equity or as contained in any of the Loan Documents;</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367665"/>
                <wp:effectExtent l="0" t="0" r="0" b="0"/>
                <wp:wrapNone/>
                <wp:docPr id="325" name="Frame32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upon the occurrence of an actual or deemed entry of an order for relief with respect to the Company under the Bankruptcy Code of the United States, the obligation of each New Vehicle Lender to make New Vehicle Floorplan Loans shall automatically terminate, the unpaid principal amount of all outstanding Loans and all interest and other amounts as aforesaid shall automatically become due and payable, in each case without further act of the Administrative Agent or any Lender; and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u w:val="single"/>
        </w:rPr>
        <w:t>provided further</w:t>
      </w:r>
      <w:r>
        <w:rPr>
          <w:rFonts w:ascii="Times New Roman;sans-serif" w:hAnsi="Times New Roman;sans-serif"/>
          <w:b w:val="false"/>
          <w:color w:val="000000"/>
          <w:sz w:val="22"/>
        </w:rPr>
        <w:t xml:space="preserve">, that upon the occurrence of an actual or deemed entry of an order for relief with respect to any New Vehicle Borrower under the Bankruptcy Code of the United States, the obligation of each New Vehicle Floorplan Lender to make New Vehicle Floorplan Loans to such New Vehicle Borrower shall automatically terminate, the unpaid principal amount of all outstanding New Vehicle Floorplan Loans made to such New Vehicle Borrower and all interest and with respect thereto shall automatically become due and payable, in each case without further act of the Administrative Agent or any New Vehicle Floorplan Lender.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In addition to the foregoing, if any New Vehicle Event of Default occurs and is continuing, the Administrative Agent shall, at the request of, or may, with the consent of, the Required Lenders take any or all of the following actions: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(i)foreclose upon, take possession of, or otherwise exercise any remedies available to it under any Security Instrument with respect to, any of the Collateral, or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(ii)take any action to perfect or preserve the rights of the Administrative Agent with respect to any Collateral, including filing any appropriate claim or document with respect to any Collateral in any proceeding under any Debtor Relief Law.</w:t>
      </w:r>
    </w:p>
    <w:p>
      <w:pPr>
        <w:pStyle w:val="TextBody"/>
        <w:bidi w:val="0"/>
        <w:spacing w:lineRule="auto" w:line="240" w:before="0" w:after="240"/>
        <w:ind w:left="0" w:right="0" w:firstLine="720"/>
        <w:jc w:val="both"/>
        <w:rPr/>
      </w:pPr>
      <w:r>
        <w:rPr>
          <w:rFonts w:ascii="Times New Roman;sans-serif" w:hAnsi="Times New Roman;sans-serif"/>
          <w:b/>
          <w:color w:val="000000"/>
          <w:sz w:val="22"/>
        </w:rPr>
        <w:t>8.05</w:t>
      </w:r>
      <w:r>
        <w:rPr>
          <w:rFonts w:ascii="Times New Roman;sans-serif" w:hAnsi="Times New Roman;sans-serif"/>
          <w:b/>
          <w:color w:val="000000"/>
          <w:sz w:val="22"/>
        </w:rPr>
        <w:t>Overdrawing of New Vehicle Floorplan Loans</w:t>
      </w:r>
      <w:r>
        <w:rPr>
          <w:rFonts w:ascii="Times New Roman;sans-serif" w:hAnsi="Times New Roman;sans-serif"/>
          <w:b w:val="false"/>
          <w:color w:val="000000"/>
          <w:sz w:val="22"/>
        </w:rPr>
        <w:t xml:space="preserve">. If at any time the aggregate outstanding principal amount of all (i) New Vehicle Floorplan Loans (including New Vehicle Floorplan Swing Line Loans and any outstanding New Vehicle Floorplan Overdraft),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 xml:space="preserve">(ii) Requests for Borrowings of New Vehicle Floorplan Loans (including requests pursuant to Payment Commitments), exceeds (a) 110% of the Aggregate New Vehicle Floorplan Commitments and such condition exists for five (5) consecutive days or (b) the Aggregate New Vehicle Floorplan Commitments by any amount for fifteen (15) days out of any 30-day period, then, in such event, the New Vehicle Floorplan Swing Line Lender acting in its sole discretion may, and upon election of the Required Lenders shall, (y) take any and all actions reasonably necessary to suspend and/or terminate Payment Commitments and Payoff Letter Commitments and (z) elect by written notice to the Company to terminate the Aggregate New Vehicle Floorplan Commitments and to deem such occurrence as constituting a New Vehicle Event of Default. Nothing contained in this </w:t>
      </w:r>
      <w:r>
        <w:rPr>
          <w:rFonts w:ascii="Times New Roman;sans-serif" w:hAnsi="Times New Roman;sans-serif"/>
          <w:b w:val="false"/>
          <w:color w:val="000000"/>
          <w:sz w:val="22"/>
          <w:u w:val="single"/>
        </w:rPr>
        <w:t>Section 8.05</w:t>
      </w:r>
      <w:r>
        <w:rPr>
          <w:color w:val="000000"/>
        </w:rPr>
        <w:t xml:space="preserve"> </w:t>
      </w:r>
      <w:r>
        <w:rPr>
          <w:rFonts w:ascii="Times New Roman;sans-serif" w:hAnsi="Times New Roman;sans-serif"/>
          <w:b w:val="false"/>
          <w:color w:val="000000"/>
          <w:sz w:val="22"/>
        </w:rPr>
        <w:t xml:space="preserve">shall be deemed to reduce the obligation of the Company and the Borrowers to make the payments required pursuant to </w:t>
      </w:r>
      <w:r>
        <w:rPr>
          <w:rFonts w:ascii="Times New Roman;sans-serif" w:hAnsi="Times New Roman;sans-serif"/>
          <w:b w:val="false"/>
          <w:color w:val="000000"/>
          <w:sz w:val="22"/>
          <w:u w:val="single"/>
        </w:rPr>
        <w:t>Section 2.15</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color w:val="000000"/>
          <w:sz w:val="22"/>
        </w:rPr>
        <w:t>8.06</w:t>
      </w:r>
      <w:r>
        <w:rPr>
          <w:rFonts w:ascii="Times New Roman;sans-serif" w:hAnsi="Times New Roman;sans-serif"/>
          <w:b/>
          <w:color w:val="000000"/>
          <w:sz w:val="22"/>
        </w:rPr>
        <w:t>Application of Funds</w:t>
      </w:r>
      <w:r>
        <w:rPr>
          <w:rFonts w:ascii="Times New Roman;sans-serif" w:hAnsi="Times New Roman;sans-serif"/>
          <w:b w:val="false"/>
          <w:color w:val="000000"/>
          <w:sz w:val="22"/>
        </w:rPr>
        <w:t xml:space="preserve">. After the exercise of remedies provided for in this </w:t>
      </w:r>
      <w:r>
        <w:rPr>
          <w:rFonts w:ascii="Times New Roman;sans-serif" w:hAnsi="Times New Roman;sans-serif"/>
          <w:b w:val="false"/>
          <w:color w:val="000000"/>
          <w:sz w:val="22"/>
          <w:u w:val="single"/>
        </w:rPr>
        <w:t>Article VIII</w:t>
      </w:r>
      <w:r>
        <w:rPr>
          <w:color w:val="000000"/>
        </w:rPr>
        <w:t xml:space="preserve"> </w:t>
      </w:r>
      <w:r>
        <w:rPr>
          <w:rFonts w:ascii="Times New Roman;sans-serif" w:hAnsi="Times New Roman;sans-serif"/>
          <w:b w:val="false"/>
          <w:color w:val="000000"/>
          <w:sz w:val="22"/>
        </w:rPr>
        <w:t xml:space="preserve">(or after the Loans have automatically become immediately due and payable and the L/C Obligations have automatically been required to be Cash Collateralized as set forth in the proviso to </w:t>
      </w:r>
      <w:r>
        <w:rPr>
          <w:rFonts w:ascii="Times New Roman;sans-serif" w:hAnsi="Times New Roman;sans-serif"/>
          <w:b w:val="false"/>
          <w:color w:val="000000"/>
          <w:sz w:val="22"/>
          <w:u w:val="single"/>
        </w:rPr>
        <w:t>Section 8.02</w:t>
      </w:r>
      <w:r>
        <w:rPr>
          <w:rFonts w:ascii="Times New Roman;sans-serif" w:hAnsi="Times New Roman;sans-serif"/>
          <w:b w:val="false"/>
          <w:color w:val="000000"/>
          <w:sz w:val="22"/>
        </w:rPr>
        <w:t xml:space="preserve">), any amounts received on account of the Obligations shall subject to </w:t>
      </w:r>
      <w:r>
        <w:rPr>
          <w:rFonts w:ascii="Times New Roman;sans-serif" w:hAnsi="Times New Roman;sans-serif"/>
          <w:b w:val="false"/>
          <w:color w:val="000000"/>
          <w:sz w:val="22"/>
          <w:u w:val="single"/>
        </w:rPr>
        <w:t>Sections 2.26</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2.27</w:t>
      </w:r>
      <w:r>
        <w:rPr>
          <w:rFonts w:ascii="Times New Roman;sans-serif" w:hAnsi="Times New Roman;sans-serif"/>
          <w:b w:val="false"/>
          <w:color w:val="000000"/>
          <w:sz w:val="22"/>
        </w:rPr>
        <w:t>, be applied by the Administrative Agent in the following order: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u w:val="single"/>
        </w:rPr>
        <w:t>First</w:t>
      </w:r>
      <w:r>
        <w:rPr>
          <w:rFonts w:ascii="Times New Roman;sans-serif" w:hAnsi="Times New Roman;sans-serif"/>
          <w:b w:val="false"/>
          <w:color w:val="000000"/>
          <w:sz w:val="22"/>
        </w:rPr>
        <w:t xml:space="preserve">, to payment of that portion of the Obligations constituting fees, indemnities, expenses and other amounts (including fees, charges and disbursements of counsel to the Administrative Agent and amounts payable under </w:t>
      </w:r>
      <w:r>
        <w:rPr>
          <w:rFonts w:ascii="Times New Roman;sans-serif" w:hAnsi="Times New Roman;sans-serif"/>
          <w:b w:val="false"/>
          <w:color w:val="000000"/>
          <w:sz w:val="22"/>
          <w:u w:val="single"/>
        </w:rPr>
        <w:t>Article III</w:t>
      </w:r>
      <w:r>
        <w:rPr>
          <w:rFonts w:ascii="Times New Roman;sans-serif" w:hAnsi="Times New Roman;sans-serif"/>
          <w:b w:val="false"/>
          <w:color w:val="000000"/>
          <w:sz w:val="22"/>
        </w:rPr>
        <w:t>) payable to the Administrative Agent in its capacity as such;</w:t>
      </w:r>
    </w:p>
    <w:p>
      <w:pPr>
        <w:pStyle w:val="TextBody"/>
        <w:bidi w:val="0"/>
        <w:spacing w:lineRule="auto" w:line="288" w:before="0" w:after="240"/>
        <w:ind w:left="0" w:right="0" w:firstLine="720"/>
        <w:jc w:val="both"/>
        <w:rPr/>
      </w:pPr>
      <w:r>
        <w:rPr>
          <w:rFonts w:ascii="Times New Roman;sans-serif" w:hAnsi="Times New Roman;sans-serif"/>
          <w:b w:val="false"/>
          <w:color w:val="000000"/>
          <w:sz w:val="22"/>
          <w:u w:val="single"/>
        </w:rPr>
        <w:t>Second</w:t>
      </w:r>
      <w:r>
        <w:rPr>
          <w:rFonts w:ascii="Times New Roman;sans-serif" w:hAnsi="Times New Roman;sans-serif"/>
          <w:b w:val="false"/>
          <w:color w:val="000000"/>
          <w:sz w:val="22"/>
        </w:rPr>
        <w:t>, to payment of that portion of the Obligations constituting accrued and unpaid interest on New Vehicle Floorplan Overdrafts ratably among the New Vehicle Floorplan Lenders in proportion to the respective amounts described in this clause Second payable to them;</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367665"/>
                <wp:effectExtent l="0" t="0" r="0" b="0"/>
                <wp:wrapNone/>
                <wp:docPr id="326" name="Frame32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u w:val="single"/>
        </w:rPr>
        <w:t>Third</w:t>
      </w:r>
      <w:r>
        <w:rPr>
          <w:rFonts w:ascii="Times New Roman;sans-serif" w:hAnsi="Times New Roman;sans-serif"/>
          <w:b w:val="false"/>
          <w:color w:val="000000"/>
          <w:sz w:val="22"/>
        </w:rPr>
        <w:t>, to payment of that portion of the Obligations constituting unpaid principal on New Vehicle Floorplan Overdrafts ratably among the New Vehicle Floorplan Lenders in proportion to the respective amounts described in this clause Third payable to them;</w:t>
      </w:r>
    </w:p>
    <w:p>
      <w:pPr>
        <w:pStyle w:val="TextBody"/>
        <w:bidi w:val="0"/>
        <w:spacing w:lineRule="auto" w:line="288" w:before="0" w:after="240"/>
        <w:ind w:left="0" w:right="0" w:firstLine="720"/>
        <w:jc w:val="both"/>
        <w:rPr/>
      </w:pPr>
      <w:r>
        <w:rPr>
          <w:rFonts w:ascii="Times New Roman;sans-serif" w:hAnsi="Times New Roman;sans-serif"/>
          <w:b w:val="false"/>
          <w:color w:val="000000"/>
          <w:sz w:val="22"/>
          <w:u w:val="single"/>
        </w:rPr>
        <w:t>Fourth</w:t>
      </w:r>
      <w:r>
        <w:rPr>
          <w:rFonts w:ascii="Times New Roman;sans-serif" w:hAnsi="Times New Roman;sans-serif"/>
          <w:b w:val="false"/>
          <w:color w:val="000000"/>
          <w:sz w:val="22"/>
        </w:rPr>
        <w:t>, to payment of that portion of the Obligations constituting accrued and unpaid interest on the New Vehicle Floorplan Swing Line Loans and the Used Vehicle Floorplan Swing Line Loans, ratably between the New Vehicle Floorplan Swing Line Lender and the Used Vehicle Floorplan Swing Line Lender in proportion to the respective amounts described in this clause Fourth payable to them;</w:t>
      </w:r>
    </w:p>
    <w:p>
      <w:pPr>
        <w:pStyle w:val="TextBody"/>
        <w:bidi w:val="0"/>
        <w:spacing w:lineRule="auto" w:line="288" w:before="0" w:after="240"/>
        <w:ind w:left="0" w:right="0" w:firstLine="720"/>
        <w:jc w:val="both"/>
        <w:rPr/>
      </w:pPr>
      <w:r>
        <w:rPr>
          <w:rFonts w:ascii="Times New Roman;sans-serif" w:hAnsi="Times New Roman;sans-serif"/>
          <w:b w:val="false"/>
          <w:color w:val="000000"/>
          <w:sz w:val="22"/>
          <w:u w:val="single"/>
        </w:rPr>
        <w:t>Fifth</w:t>
      </w:r>
      <w:r>
        <w:rPr>
          <w:rFonts w:ascii="Times New Roman;sans-serif" w:hAnsi="Times New Roman;sans-serif"/>
          <w:b w:val="false"/>
          <w:color w:val="000000"/>
          <w:sz w:val="22"/>
        </w:rPr>
        <w:t>, to payment of that portion of the Obligations constituting unpaid principal on the New Vehicle Floorplan Swing Line Loans and the Used Vehicle Floorplan Swing Line Loans, ratably between the New Vehicle Floorplan Swing Line Lender and the Used Vehicle Floorplan Swing Line Lender in proportion to the respective amounts described in this clause Fifth held by them;</w:t>
      </w:r>
    </w:p>
    <w:p>
      <w:pPr>
        <w:pStyle w:val="TextBody"/>
        <w:bidi w:val="0"/>
        <w:spacing w:lineRule="auto" w:line="288" w:before="0" w:after="240"/>
        <w:ind w:left="0" w:right="0" w:firstLine="720"/>
        <w:jc w:val="both"/>
        <w:rPr/>
      </w:pPr>
      <w:r>
        <w:rPr>
          <w:rFonts w:ascii="Times New Roman;sans-serif" w:hAnsi="Times New Roman;sans-serif"/>
          <w:b w:val="false"/>
          <w:color w:val="000000"/>
          <w:sz w:val="22"/>
          <w:u w:val="single"/>
        </w:rPr>
        <w:t>Sixth</w:t>
      </w:r>
      <w:r>
        <w:rPr>
          <w:rFonts w:ascii="Times New Roman;sans-serif" w:hAnsi="Times New Roman;sans-serif"/>
          <w:b w:val="false"/>
          <w:color w:val="000000"/>
          <w:sz w:val="22"/>
        </w:rPr>
        <w:t>, to payment of that portion of the Obligations constituting accrued and unpaid interest on the New Vehicle Floorplan Committed Loans and the Used Vehicle Floorplan Committed Loans, ratably among the New Vehicle Floorplan Lenders and the Used Vehicle Floorplan Lenders in proportion to the respective amounts described in this clause Sixth payable to them;</w:t>
      </w:r>
    </w:p>
    <w:p>
      <w:pPr>
        <w:pStyle w:val="TextBody"/>
        <w:bidi w:val="0"/>
        <w:spacing w:lineRule="auto" w:line="288" w:before="0" w:after="240"/>
        <w:ind w:left="0" w:right="0" w:firstLine="720"/>
        <w:jc w:val="both"/>
        <w:rPr/>
      </w:pPr>
      <w:r>
        <w:rPr>
          <w:rFonts w:ascii="Times New Roman;sans-serif" w:hAnsi="Times New Roman;sans-serif"/>
          <w:b w:val="false"/>
          <w:color w:val="000000"/>
          <w:sz w:val="22"/>
          <w:u w:val="single"/>
        </w:rPr>
        <w:t>Seventh</w:t>
      </w:r>
      <w:r>
        <w:rPr>
          <w:rFonts w:ascii="Times New Roman;sans-serif" w:hAnsi="Times New Roman;sans-serif"/>
          <w:b w:val="false"/>
          <w:color w:val="000000"/>
          <w:sz w:val="22"/>
        </w:rPr>
        <w:t>, to payment of that portion of the Obligations constituting unpaid principal on the New Vehicle Floorplan Committed Loans and the Used Vehicle Floorplan Committed Loans, ratably among the New Vehicle Floorplan Lenders and the Used Vehicle Floorplan Lenders in proportion to the respective amounts described in this clause Seventh held by them;</w:t>
      </w:r>
    </w:p>
    <w:p>
      <w:pPr>
        <w:pStyle w:val="TextBody"/>
        <w:bidi w:val="0"/>
        <w:spacing w:lineRule="auto" w:line="288" w:before="0" w:after="240"/>
        <w:ind w:left="0" w:right="0" w:firstLine="720"/>
        <w:jc w:val="both"/>
        <w:rPr/>
      </w:pPr>
      <w:r>
        <w:rPr>
          <w:rFonts w:ascii="Times New Roman;sans-serif" w:hAnsi="Times New Roman;sans-serif"/>
          <w:b w:val="false"/>
          <w:color w:val="000000"/>
          <w:sz w:val="22"/>
          <w:u w:val="single"/>
        </w:rPr>
        <w:t>Eighth</w:t>
      </w:r>
      <w:r>
        <w:rPr>
          <w:rFonts w:ascii="Times New Roman;sans-serif" w:hAnsi="Times New Roman;sans-serif"/>
          <w:b w:val="false"/>
          <w:color w:val="000000"/>
          <w:sz w:val="22"/>
        </w:rPr>
        <w:t xml:space="preserve">, to payment of that portion of the Obligations constituting fees, indemnities and other amounts (other than principal, interest, Letter of Credit Fees) payable to the Lenders and the L/C Issuers (including fees, charges and disbursements of counsel to the respective Lenders and the L/C Issuers (including fees and time charges for attorneys who may be employees of any Lender or the L/C Issuers) and amounts payable under </w:t>
      </w:r>
      <w:r>
        <w:rPr>
          <w:rFonts w:ascii="Times New Roman;sans-serif" w:hAnsi="Times New Roman;sans-serif"/>
          <w:b w:val="false"/>
          <w:color w:val="000000"/>
          <w:sz w:val="22"/>
          <w:u w:val="single"/>
        </w:rPr>
        <w:t>Article III</w:t>
      </w:r>
      <w:r>
        <w:rPr>
          <w:rFonts w:ascii="Times New Roman;sans-serif" w:hAnsi="Times New Roman;sans-serif"/>
          <w:b w:val="false"/>
          <w:color w:val="000000"/>
          <w:sz w:val="22"/>
        </w:rPr>
        <w:t>), ratably among them in proportion to the respective amounts described in this clause Eighth payable to them;</w:t>
      </w:r>
    </w:p>
    <w:p>
      <w:pPr>
        <w:pStyle w:val="TextBody"/>
        <w:bidi w:val="0"/>
        <w:spacing w:lineRule="auto" w:line="288" w:before="0" w:after="240"/>
        <w:ind w:left="0" w:right="0" w:firstLine="720"/>
        <w:jc w:val="both"/>
        <w:rPr/>
      </w:pPr>
      <w:r>
        <w:rPr>
          <w:rFonts w:ascii="Times New Roman;sans-serif" w:hAnsi="Times New Roman;sans-serif"/>
          <w:b w:val="false"/>
          <w:color w:val="000000"/>
          <w:sz w:val="22"/>
          <w:u w:val="single"/>
        </w:rPr>
        <w:t>Ninth</w:t>
      </w:r>
      <w:r>
        <w:rPr>
          <w:rFonts w:ascii="Times New Roman;sans-serif" w:hAnsi="Times New Roman;sans-serif"/>
          <w:b w:val="false"/>
          <w:color w:val="000000"/>
          <w:sz w:val="22"/>
        </w:rPr>
        <w:t>, to payment of that portion of the Obligations constituting accrued and unpaid Letter of Credit Fees and interest on the Revolving Loans, L/C Borrowings and other Obligations under the Revolving Facility, ratably among the Revolving Lenders and the L/C Issuers in proportion to the respective amounts described in this clause Ninth payable to them;</w:t>
      </w:r>
    </w:p>
    <w:p>
      <w:pPr>
        <w:pStyle w:val="TextBody"/>
        <w:bidi w:val="0"/>
        <w:spacing w:lineRule="auto" w:line="288" w:before="0" w:after="240"/>
        <w:ind w:left="0" w:right="0" w:firstLine="720"/>
        <w:jc w:val="both"/>
        <w:rPr/>
      </w:pPr>
      <w:r>
        <w:rPr>
          <w:rFonts w:ascii="Times New Roman;sans-serif" w:hAnsi="Times New Roman;sans-serif"/>
          <w:b w:val="false"/>
          <w:color w:val="000000"/>
          <w:sz w:val="22"/>
          <w:u w:val="single"/>
        </w:rPr>
        <w:t>Tenth</w:t>
      </w:r>
      <w:r>
        <w:rPr>
          <w:rFonts w:ascii="Times New Roman;sans-serif" w:hAnsi="Times New Roman;sans-serif"/>
          <w:b w:val="false"/>
          <w:color w:val="000000"/>
          <w:sz w:val="22"/>
        </w:rPr>
        <w:t>, to payment of that portion of the Obligations constituting unpaid principal of the Revolving Loans and L/C Borrowings, ratably among the Revolving Lenders and the L/C Issuers in proportion to the respective amounts described in this clause Tenth held by them;</w:t>
      </w:r>
    </w:p>
    <w:p>
      <w:pPr>
        <w:pStyle w:val="TextBody"/>
        <w:bidi w:val="0"/>
        <w:spacing w:lineRule="auto" w:line="288" w:before="0" w:after="240"/>
        <w:ind w:left="0" w:right="0" w:firstLine="720"/>
        <w:jc w:val="both"/>
        <w:rPr/>
      </w:pPr>
      <w:r>
        <w:rPr>
          <w:rFonts w:ascii="Times New Roman;sans-serif" w:hAnsi="Times New Roman;sans-serif"/>
          <w:b w:val="false"/>
          <w:color w:val="000000"/>
          <w:sz w:val="22"/>
          <w:u w:val="single"/>
        </w:rPr>
        <w:t>Eleventh</w:t>
      </w:r>
      <w:r>
        <w:rPr>
          <w:rFonts w:ascii="Times New Roman;sans-serif" w:hAnsi="Times New Roman;sans-serif"/>
          <w:b w:val="false"/>
          <w:color w:val="000000"/>
          <w:sz w:val="22"/>
        </w:rPr>
        <w:t xml:space="preserve">, to the Administrative Agent for the account of the L/C Issuers, to Cash Collateralize that portion of L/C Obligations comprised of the aggregate undrawn amount of Letters of Credit to the extent not otherwise Cash Collateralized by the Borrowers pursuant to </w:t>
      </w:r>
      <w:r>
        <w:rPr>
          <w:rFonts w:ascii="Times New Roman;sans-serif" w:hAnsi="Times New Roman;sans-serif"/>
          <w:b w:val="false"/>
          <w:color w:val="000000"/>
          <w:sz w:val="22"/>
          <w:u w:val="single"/>
        </w:rPr>
        <w:t>Sections 2.03</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2.26</w:t>
      </w:r>
      <w:r>
        <w:rPr>
          <w:rFonts w:ascii="Times New Roman;sans-serif" w:hAnsi="Times New Roman;sans-serif"/>
          <w:b w:val="false"/>
          <w:color w:val="000000"/>
          <w:sz w:val="22"/>
        </w:rPr>
        <w:t>, such Cash Collateral to be allocated ratably between the L/C Issuers in proportion to the respective amounts of such L/C Obligations held by them;</w:t>
      </w:r>
    </w:p>
    <w:p>
      <w:pPr>
        <w:pStyle w:val="TextBody"/>
        <w:bidi w:val="0"/>
        <w:spacing w:lineRule="auto" w:line="288" w:before="0" w:after="240"/>
        <w:ind w:left="0" w:right="0" w:firstLine="720"/>
        <w:jc w:val="both"/>
        <w:rPr/>
      </w:pPr>
      <w:r>
        <w:rPr>
          <w:rFonts w:ascii="Times New Roman;sans-serif" w:hAnsi="Times New Roman;sans-serif"/>
          <w:b w:val="false"/>
          <w:color w:val="000000"/>
          <w:sz w:val="22"/>
          <w:u w:val="single"/>
        </w:rPr>
        <w:t>Twelfth</w:t>
      </w:r>
      <w:r>
        <w:rPr>
          <w:rFonts w:ascii="Times New Roman;sans-serif" w:hAnsi="Times New Roman;sans-serif"/>
          <w:b w:val="false"/>
          <w:color w:val="000000"/>
          <w:sz w:val="22"/>
        </w:rPr>
        <w:t>, to payment of that portion of the Obligations constituting Obligations then owing under Secured Hedge Agreements and Secured Cash Management Agreements, ratably among the Hedge Banks and the Cash Management Banks in proportion to the respective amounts described in this clause Twelfth payable to them;</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367665"/>
                <wp:effectExtent l="0" t="0" r="0" b="0"/>
                <wp:wrapNone/>
                <wp:docPr id="327" name="Frame32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u w:val="single"/>
        </w:rPr>
        <w:t>Thirteenth</w:t>
      </w:r>
      <w:r>
        <w:rPr>
          <w:rFonts w:ascii="Times New Roman;sans-serif" w:hAnsi="Times New Roman;sans-serif"/>
          <w:b w:val="false"/>
          <w:color w:val="000000"/>
          <w:sz w:val="22"/>
        </w:rPr>
        <w:t>, to the payment of all other Obligations of the Loan Parties owing under or in respect of the Loan Documents that are due and payable to the Administrative Agent and the other Secured Parties, or any of them, on such date, ratably based on the respective aggregate amounts of all such Obligations owing to the Administrative Agent and the other Secured Parties on such date; and</w:t>
      </w:r>
    </w:p>
    <w:p>
      <w:pPr>
        <w:pStyle w:val="TextBody"/>
        <w:bidi w:val="0"/>
        <w:spacing w:lineRule="auto" w:line="288" w:before="0" w:after="240"/>
        <w:ind w:left="0" w:right="0" w:firstLine="720"/>
        <w:jc w:val="both"/>
        <w:rPr/>
      </w:pPr>
      <w:r>
        <w:rPr>
          <w:rFonts w:ascii="Times New Roman;sans-serif" w:hAnsi="Times New Roman;sans-serif"/>
          <w:b w:val="false"/>
          <w:color w:val="000000"/>
          <w:sz w:val="22"/>
          <w:u w:val="single"/>
        </w:rPr>
        <w:t>Last</w:t>
      </w:r>
      <w:r>
        <w:rPr>
          <w:rFonts w:ascii="Times New Roman;sans-serif" w:hAnsi="Times New Roman;sans-serif"/>
          <w:b w:val="false"/>
          <w:color w:val="000000"/>
          <w:sz w:val="22"/>
        </w:rPr>
        <w:t>, the balance, if any, after all of the Obligations have been indefeasibly paid in full, to the Company or as otherwise required by Law;</w:t>
      </w:r>
    </w:p>
    <w:p>
      <w:pPr>
        <w:pStyle w:val="TextBody"/>
        <w:bidi w:val="0"/>
        <w:spacing w:lineRule="auto" w:line="288" w:before="0" w:after="240"/>
        <w:ind w:left="0" w:right="0" w:firstLine="720"/>
        <w:jc w:val="both"/>
        <w:rPr/>
      </w:pP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Excluded Swap Obligations with respect to any Loan Party shall not be paid with amounts received from such Loan Party or its assets, but appropriate adjustments shall be made with respect to payments from other Loan Parties to preserve the allocation to Obligations otherwise set forth above in this Section.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Subject to </w:t>
      </w:r>
      <w:r>
        <w:rPr>
          <w:rFonts w:ascii="Times New Roman;sans-serif" w:hAnsi="Times New Roman;sans-serif"/>
          <w:b w:val="false"/>
          <w:color w:val="000000"/>
          <w:sz w:val="22"/>
          <w:u w:val="single"/>
        </w:rPr>
        <w:t>Section 2.03(c)</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2.26</w:t>
      </w:r>
      <w:r>
        <w:rPr>
          <w:rFonts w:ascii="Times New Roman;sans-serif" w:hAnsi="Times New Roman;sans-serif"/>
          <w:b w:val="false"/>
          <w:color w:val="000000"/>
          <w:sz w:val="22"/>
        </w:rPr>
        <w:t>, amounts used to Cash Collateralize the aggregate undrawn amount of Letters of Credit pursuant to clause Eleventh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Notwithstanding the foregoing, Obligations arising under Secured Cash Management Agreements and Secured Hedge Agreements shall be excluded from the application described above if the Administrative Agent has not received written notice thereof, together with such supporting documentation as the Administrative Agent may request, from the applicable Cash Management Bank or Hedge Bank, as the case may be. Each Cash Management Bank or Hedge Bank not a party to the Credit Agreement that has given the notice contemplated by the preceding sentence shall, by such notice, be deemed to have acknowledged and accepted the appointment of the Administrative Agent pursuant to the terms of </w:t>
      </w:r>
      <w:r>
        <w:rPr>
          <w:rFonts w:ascii="Times New Roman;sans-serif" w:hAnsi="Times New Roman;sans-serif"/>
          <w:b w:val="false"/>
          <w:color w:val="000000"/>
          <w:sz w:val="22"/>
          <w:u w:val="single"/>
        </w:rPr>
        <w:t>Article IX</w:t>
      </w:r>
      <w:r>
        <w:rPr>
          <w:color w:val="000000"/>
        </w:rPr>
        <w:t xml:space="preserve"> </w:t>
      </w:r>
      <w:r>
        <w:rPr>
          <w:rFonts w:ascii="Times New Roman;sans-serif" w:hAnsi="Times New Roman;sans-serif"/>
          <w:b w:val="false"/>
          <w:color w:val="000000"/>
          <w:sz w:val="22"/>
        </w:rPr>
        <w:t>hereof for itself and its Affiliates as if a “Lender” party hereto. Excluded Swap Obligations with respect to any Loan Party shall not be paid with amounts received from such Loan Party, but appropriate adjustments shall be made with respect to payments from other Loan Parties to preserve the allocation to Obligations otherwise set forth above in this Section.</w:t>
      </w:r>
    </w:p>
    <w:p>
      <w:pPr>
        <w:pStyle w:val="TextBody"/>
        <w:bidi w:val="0"/>
        <w:spacing w:lineRule="auto" w:line="240" w:before="0" w:after="240"/>
        <w:jc w:val="center"/>
        <w:rPr/>
      </w:pPr>
      <w:r>
        <w:rPr>
          <w:rFonts w:ascii="Times New Roman;sans-serif" w:hAnsi="Times New Roman;sans-serif"/>
          <w:b/>
          <w:color w:val="000000"/>
          <w:sz w:val="22"/>
        </w:rPr>
        <w:t>ARTICLE IX.</w:t>
      </w:r>
      <w:r>
        <w:rPr>
          <w:color w:val="000000"/>
        </w:rPr>
        <w:t xml:space="preserve"> </w:t>
      </w:r>
      <w:r>
        <w:rPr>
          <w:rFonts w:ascii="Times New Roman;sans-serif" w:hAnsi="Times New Roman;sans-serif"/>
          <w:b/>
          <w:color w:val="000000"/>
          <w:sz w:val="22"/>
        </w:rPr>
        <w:t>ADMINISTRATIVE AGENT</w:t>
      </w:r>
    </w:p>
    <w:p>
      <w:pPr>
        <w:pStyle w:val="TextBody"/>
        <w:bidi w:val="0"/>
        <w:spacing w:lineRule="auto" w:line="240" w:before="0" w:after="240"/>
        <w:ind w:left="0" w:right="0" w:firstLine="720"/>
        <w:jc w:val="both"/>
        <w:rPr/>
      </w:pPr>
      <w:r>
        <w:rPr>
          <w:rFonts w:ascii="Times New Roman;sans-serif" w:hAnsi="Times New Roman;sans-serif"/>
          <w:b/>
          <w:color w:val="000000"/>
          <w:sz w:val="22"/>
        </w:rPr>
        <w:t>9.01</w:t>
      </w:r>
      <w:r>
        <w:rPr>
          <w:rFonts w:ascii="Times New Roman;sans-serif" w:hAnsi="Times New Roman;sans-serif"/>
          <w:b/>
          <w:color w:val="000000"/>
          <w:sz w:val="22"/>
        </w:rPr>
        <w:t>Appointment and Authority</w:t>
      </w:r>
      <w:r>
        <w:rPr>
          <w:rFonts w:ascii="Times New Roman;sans-serif" w:hAnsi="Times New Roman;sans-serif"/>
          <w:b w:val="false"/>
          <w:color w:val="000000"/>
          <w:sz w:val="22"/>
        </w:rPr>
        <w:t>. Each of the Lenders and each L/C Issuer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Issuers, and neither the Company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pStyle w:val="TextBody"/>
        <w:bidi w:val="0"/>
        <w:spacing w:lineRule="auto" w:line="240" w:before="0" w:after="240"/>
        <w:ind w:left="0" w:right="0" w:firstLine="720"/>
        <w:jc w:val="both"/>
        <w:rPr/>
      </w:pPr>
      <w:r>
        <w:rPr>
          <w:rFonts w:ascii="Times New Roman;sans-serif" w:hAnsi="Times New Roman;sans-serif"/>
          <w:b/>
          <w:color w:val="000000"/>
          <w:sz w:val="22"/>
        </w:rPr>
        <w:t>9.02</w:t>
      </w:r>
      <w:r>
        <w:rPr>
          <w:rFonts w:ascii="Times New Roman;sans-serif" w:hAnsi="Times New Roman;sans-serif"/>
          <w:b/>
          <w:color w:val="000000"/>
          <w:sz w:val="22"/>
        </w:rPr>
        <w:t>Rights as a Lender</w:t>
      </w:r>
      <w:r>
        <w:rPr>
          <w:rFonts w:ascii="Times New Roman;sans-serif" w:hAnsi="Times New Roman;sans-serif"/>
          <w:b w:val="false"/>
          <w:color w:val="000000"/>
          <w:sz w:val="22"/>
        </w:rPr>
        <w:t xml:space="preserve">.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Company, any other Borrower or any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367665"/>
                <wp:effectExtent l="0" t="0" r="0" b="0"/>
                <wp:wrapNone/>
                <wp:docPr id="328" name="Frame32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155</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Subsidiary or other Affiliate thereof as if such Person were not the Administrative Agent hereunder and without any duty to account therefor to the Lenders.</w:t>
      </w:r>
    </w:p>
    <w:p>
      <w:pPr>
        <w:pStyle w:val="TextBody"/>
        <w:bidi w:val="0"/>
        <w:spacing w:lineRule="auto" w:line="240" w:before="0" w:after="240"/>
        <w:ind w:left="0" w:right="0" w:firstLine="720"/>
        <w:jc w:val="both"/>
        <w:rPr/>
      </w:pPr>
      <w:r>
        <w:rPr>
          <w:rFonts w:ascii="Times New Roman;sans-serif" w:hAnsi="Times New Roman;sans-serif"/>
          <w:b/>
          <w:color w:val="000000"/>
          <w:sz w:val="22"/>
        </w:rPr>
        <w:t>9.03</w:t>
      </w:r>
      <w:r>
        <w:rPr>
          <w:rFonts w:ascii="Times New Roman;sans-serif" w:hAnsi="Times New Roman;sans-serif"/>
          <w:b/>
          <w:color w:val="000000"/>
          <w:sz w:val="22"/>
        </w:rPr>
        <w:t>Exculpatory Provisions</w:t>
      </w:r>
      <w:r>
        <w:rPr>
          <w:rFonts w:ascii="Times New Roman;sans-serif" w:hAnsi="Times New Roman;sans-serif"/>
          <w:b w:val="false"/>
          <w:color w:val="000000"/>
          <w:sz w:val="22"/>
        </w:rPr>
        <w:t>. The Administrative Agent or the Arranger, as applicable, shall not have any duties or obligations except those expressly set forth herein and in the other Loan Documents, and its duties hereunder shall be administrative in nature. Without limiting the generality of the foregoing, the Administrative Agent or the Arranger, as applicable: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shall not be subject to any fiduciary or other implied duties, regardless of whether a Default has occurred and is continuing;</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shall not, except as expressly set forth herein and in the other Loan Documents, have any duty to disclose, and shall not be liable for the failure to disclose, any information relating to the Company or any of the other Borrowers or any of its Affiliates that is communicated to or obtained by the Person serving as the Administrative Agent or any of its Affiliates in any capacity.</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sans-serif" w:hAnsi="Times New Roman;sans-serif"/>
          <w:b w:val="false"/>
          <w:color w:val="000000"/>
          <w:sz w:val="22"/>
          <w:u w:val="single"/>
        </w:rPr>
        <w:t>Sections 10.01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8.02</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8.04</w:t>
      </w:r>
      <w:r>
        <w:rPr>
          <w:rFonts w:ascii="Times New Roman;sans-serif" w:hAnsi="Times New Roman;sans-serif"/>
          <w:b w:val="false"/>
          <w:color w:val="000000"/>
          <w:sz w:val="22"/>
        </w:rPr>
        <w:t xml:space="preserve">) or (ii) in the absence of its own gross negligence or willful misconduct, as determined by a court of competent jurisdiction by a final and nonappealable judgment. The Administrative Agent shall be deemed not to have knowledge of any Default unless and until notice describing such Default is given in writing to the Administrative Agent by a Borrower, a Lender or the L/C Issuer;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Loan Documents, (v) the value or the sufficiency of any Collateral, (v) the satisfaction of any condition set forth in Article IV or elsewhere herein, other than to confirm receipt of items expressly required to be delivered to the Administrative Agent;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shall not be responsible or have any liability for, or have any duty to ascertain, inquire into, monitor or enforce, compliance with the provisions of this Agreement relating to Competitors. Without limiting the generality of the foregoing, the Administrative Agent shall not (x) be obligated to ascertain, monitor or inquire as to whether any Lender or Participant or prospective Lender or Participant is a Competitor or (y) have any liability with respect to or arising out of any assignment or participation of Loans, or disclosure of confidential information, to any Competitor.</w:t>
      </w:r>
    </w:p>
    <w:p>
      <w:pPr>
        <w:pStyle w:val="TextBody"/>
        <w:bidi w:val="0"/>
        <w:spacing w:lineRule="auto" w:line="240" w:before="0" w:after="240"/>
        <w:ind w:left="0" w:right="0" w:firstLine="720"/>
        <w:jc w:val="both"/>
        <w:rPr/>
      </w:pPr>
      <w:r>
        <w:rPr>
          <w:rFonts w:ascii="Times New Roman;sans-serif" w:hAnsi="Times New Roman;sans-serif"/>
          <w:b/>
          <w:color w:val="000000"/>
          <w:sz w:val="22"/>
        </w:rPr>
        <w:t>9.04</w:t>
      </w:r>
      <w:r>
        <w:rPr>
          <w:rFonts w:ascii="Times New Roman;sans-serif" w:hAnsi="Times New Roman;sans-serif"/>
          <w:b/>
          <w:color w:val="000000"/>
          <w:sz w:val="22"/>
        </w:rPr>
        <w:t>Reliance by Administrative Agent</w:t>
      </w:r>
      <w:r>
        <w:rPr>
          <w:rFonts w:ascii="Times New Roman;sans-serif" w:hAnsi="Times New Roman;sans-serif"/>
          <w:b w:val="false"/>
          <w:color w:val="000000"/>
          <w:sz w:val="22"/>
        </w:rPr>
        <w:t xml:space="preserve">.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367665"/>
                <wp:effectExtent l="0" t="0" r="0" b="0"/>
                <wp:wrapNone/>
                <wp:docPr id="329" name="Frame32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156</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the applicable L/C Issuer, the Administrative Agent may presume that such condition is satisfactory to such Lender or such L/C Issuer unless the Administrative Agent shall have received notice to the contrary from such Lender or such L/C Issuer prior to the making of such Loan or the issuance of such Letter of Credit. The Administrative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pStyle w:val="TextBody"/>
        <w:bidi w:val="0"/>
        <w:spacing w:lineRule="auto" w:line="240" w:before="0" w:after="240"/>
        <w:ind w:left="0" w:right="0" w:firstLine="720"/>
        <w:jc w:val="both"/>
        <w:rPr/>
      </w:pPr>
      <w:r>
        <w:rPr>
          <w:rFonts w:ascii="Times New Roman;sans-serif" w:hAnsi="Times New Roman;sans-serif"/>
          <w:b/>
          <w:color w:val="000000"/>
          <w:sz w:val="22"/>
        </w:rPr>
        <w:t>9.05</w:t>
      </w:r>
      <w:r>
        <w:rPr>
          <w:rFonts w:ascii="Times New Roman;sans-serif" w:hAnsi="Times New Roman;sans-serif"/>
          <w:b/>
          <w:color w:val="000000"/>
          <w:sz w:val="22"/>
        </w:rPr>
        <w:t>Delegation of Duties</w:t>
      </w:r>
      <w:r>
        <w:rPr>
          <w:rFonts w:ascii="Times New Roman;sans-serif" w:hAnsi="Times New Roman;sans-serif"/>
          <w:b w:val="false"/>
          <w:color w:val="000000"/>
          <w:sz w:val="22"/>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 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 appealable judgment that the Administrative Agent acted with gross negligence or willful misconduct in the selection of such sub-agents.</w:t>
      </w:r>
    </w:p>
    <w:p>
      <w:pPr>
        <w:pStyle w:val="TextBody"/>
        <w:bidi w:val="0"/>
        <w:spacing w:lineRule="auto" w:line="240" w:before="0" w:after="240"/>
        <w:ind w:left="0" w:right="0" w:hanging="720"/>
        <w:jc w:val="both"/>
        <w:rPr/>
      </w:pPr>
      <w:r>
        <w:rPr>
          <w:rFonts w:ascii="Times New Roman;sans-serif" w:hAnsi="Times New Roman;sans-serif"/>
          <w:b/>
          <w:color w:val="000000"/>
          <w:sz w:val="22"/>
        </w:rPr>
        <w:t>9.06Resignation of Administrative Agent</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Administrative Agent may at any time give notice of its resignation to the Lenders, the L/C Issuers and the Company. Upon receipt of any such notice of resignation, the Required Lenders shall have the right, in consultation with the Company,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sans-serif" w:hAnsi="Times New Roman;sans-serif"/>
          <w:b w:val="false"/>
          <w:color w:val="000000"/>
          <w:sz w:val="22"/>
          <w:u w:val="single"/>
        </w:rPr>
        <w:t>Resignation Effective Date</w:t>
      </w:r>
      <w:r>
        <w:rPr>
          <w:color w:val="000000"/>
        </w:rPr>
        <w:t>”</w:t>
      </w:r>
      <w:r>
        <w:rPr>
          <w:rFonts w:ascii="Times New Roman;sans-serif" w:hAnsi="Times New Roman;sans-serif"/>
          <w:b w:val="false"/>
          <w:color w:val="000000"/>
          <w:sz w:val="22"/>
        </w:rPr>
        <w:t>)), then the retiring Administrative Agent may (but shall not be obligated to) on behalf of the Lenders and the L/C Issuers, appoint a successor Administrative Agent meeting the qualifications set forth above; provided that in no event shall any such successor Administrative Agent be a Defaulting Lender. Whether or not a successor has been appointed, such resignation shall become effective in accordance with such notice on the Resignation Effective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If the Person serving as Administrative Agent is a Defaulting Lender pursuant to </w:t>
      </w:r>
      <w:r>
        <w:rPr>
          <w:rFonts w:ascii="Times New Roman;sans-serif" w:hAnsi="Times New Roman;sans-serif"/>
          <w:b w:val="false"/>
          <w:color w:val="000000"/>
          <w:sz w:val="22"/>
          <w:u w:val="single"/>
        </w:rPr>
        <w:t>clause (d)</w:t>
      </w:r>
      <w:r>
        <w:rPr>
          <w:color w:val="000000"/>
        </w:rPr>
        <w:t xml:space="preserve"> </w:t>
      </w:r>
      <w:r>
        <w:rPr>
          <w:rFonts w:ascii="Times New Roman;sans-serif" w:hAnsi="Times New Roman;sans-serif"/>
          <w:b w:val="false"/>
          <w:color w:val="000000"/>
          <w:sz w:val="22"/>
        </w:rPr>
        <w:t>of the definition thereof, the Required Lenders may, to the extent permitted by applicable law, by notice in writing to the Company and such Person remove such Person as Administrative Agent and, in consultation with the Company, appoint a successor. If no such successor shall have been so appointed by the Required Lenders and shall have accepted such appointment within 30 days (or such earlier day as shall be agreed by the Required Lenders) (the “</w:t>
      </w:r>
      <w:r>
        <w:rPr>
          <w:rFonts w:ascii="Times New Roman;sans-serif" w:hAnsi="Times New Roman;sans-serif"/>
          <w:b w:val="false"/>
          <w:color w:val="000000"/>
          <w:sz w:val="22"/>
          <w:u w:val="single"/>
        </w:rPr>
        <w:t>Removal Effective Date</w:t>
      </w:r>
      <w:r>
        <w:rPr>
          <w:color w:val="000000"/>
        </w:rPr>
        <w:t>”</w:t>
      </w:r>
      <w:r>
        <w:rPr>
          <w:rFonts w:ascii="Times New Roman;sans-serif" w:hAnsi="Times New Roman;sans-serif"/>
          <w:b w:val="false"/>
          <w:color w:val="000000"/>
          <w:sz w:val="22"/>
        </w:rPr>
        <w:t xml:space="preserve">), then such removal shall nonetheless become effective in accordance with such notice on the Removal Effective Date.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With effect from the Resignation Effective Date or the Removal Effective Date (as applicable) (1) the retiring or removed Administrative Agent shall be discharged from its duties and obligations hereunder and under the other Loan Documents (except that in the case of any collateral security held by the Administrative Agent on behalf of the Lenders or any L/C Issuer under any of the Loan Documents, the retiring or removed Administrative Agent shall continue to hold such collateral security until such time as a successor Administrative Agent is appointed) and (2) except for any indemnity payments or other amounts then owed to the retiring or removed Administrative Agent, all payments, communications and determinations provided to be made by, to or through the Administrative Agent shall instead be made by or to each Lender and each L/C Issuer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367665"/>
                <wp:effectExtent l="0" t="0" r="0" b="0"/>
                <wp:wrapNone/>
                <wp:docPr id="330" name="Frame32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157</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removed) Administrative Agent (other than as provided in </w:t>
      </w:r>
      <w:r>
        <w:rPr>
          <w:rFonts w:ascii="Times New Roman;sans-serif" w:hAnsi="Times New Roman;sans-serif"/>
          <w:b w:val="false"/>
          <w:color w:val="000000"/>
          <w:sz w:val="22"/>
          <w:u w:val="single"/>
        </w:rPr>
        <w:t>Section 3.01(g)</w:t>
      </w:r>
      <w:r>
        <w:rPr>
          <w:color w:val="000000"/>
        </w:rPr>
        <w:t xml:space="preserve"> </w:t>
      </w:r>
      <w:r>
        <w:rPr>
          <w:rFonts w:ascii="Times New Roman;sans-serif" w:hAnsi="Times New Roman;sans-serif"/>
          <w:b w:val="false"/>
          <w:color w:val="000000"/>
          <w:sz w:val="22"/>
        </w:rPr>
        <w:t xml:space="preserve">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foregoing notwithstanding, upon the discharge of the retiring Administrative Agent’s duties hereunder, neither the retiring Administrative Agent nor the successor Administrative Agent or any New Vehicle Floorplan Swing Line Lender shall be required to honor any request by a vehicle manufacturer or distributor or financial institution for advance of a New Vehicle Floorplan Swing Line Loan, unless and until (A) such successor Administrative Agent and such manufacturer or distributor or financial institution (and if required pursuant to the terms of such Payment Commitment or Payoff Letter Commitment, the applicable New Vehicle Borrower) have entered into a new Payment Commitment or Payoff Letter Commitment, and (B) any existing Payment Commitment between such manufacturer or distributor or Payoff Commitment Letter between such financial institution and the retiring Administrative Agent has been terminated. The fees payable by the Borrowers to a successor Administrative Agent shall be the same as those payable to its predecessor unless otherwise agreed between the Borrowers and such successor. After the retiring or removed Administrative Agent’s resignation or removal hereunder and under the other Loan Documents, the provisions of this Article and </w:t>
      </w:r>
      <w:r>
        <w:rPr>
          <w:rFonts w:ascii="Times New Roman;sans-serif" w:hAnsi="Times New Roman;sans-serif"/>
          <w:b w:val="false"/>
          <w:color w:val="000000"/>
          <w:sz w:val="22"/>
          <w:u w:val="single"/>
        </w:rPr>
        <w:t>Section 10.04</w:t>
      </w:r>
      <w:r>
        <w:rPr>
          <w:color w:val="000000"/>
        </w:rPr>
        <w:t xml:space="preserve"> </w:t>
      </w:r>
      <w:r>
        <w:rPr>
          <w:rFonts w:ascii="Times New Roman;sans-serif" w:hAnsi="Times New Roman;sans-serif"/>
          <w:b w:val="false"/>
          <w:color w:val="000000"/>
          <w:sz w:val="22"/>
        </w:rPr>
        <w:t>shall continue in effect for the benefit of such retiring or removed Administrative Agent, its sub agents and their respective Related Parties in respect of any actions taken or omitted to be taken by any of them (i) while the retiring or removed Administrative Agent was acting as Administrative Agent and (ii) after such resignation or removal for as long as any of them continues to act in any capacity hereunder or under the other Loan Documents, including (a) acting as collateral agent or otherwise holding any collateral security on behalf of any of the Lenders and (b) in respect of any actions taken in connection with transferring the agency to any successor Administrative Agent.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Any resignation by Bank of America as Administrative Agent pursuant to this Section shall also constitute its resignation as an L/C Issuer, Revolving Swing Line Lender, New Vehicle Floorplan Swing Line Lender and Used Vehicle Floorplan Swing Line Lender;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Bank of America shall continue to serve as New Vehicle Floorplan Swing Line Lender for at least 75 days following delivery of a notice of resignation as Administrative Agent. If Bank of America resigns as an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Times New Roman;sans-serif" w:hAnsi="Times New Roman;sans-serif"/>
          <w:b w:val="false"/>
          <w:color w:val="000000"/>
          <w:sz w:val="22"/>
          <w:u w:val="single"/>
        </w:rPr>
        <w:t>Section 2.03(c)</w:t>
      </w:r>
      <w:r>
        <w:rPr>
          <w:rFonts w:ascii="Times New Roman;sans-serif" w:hAnsi="Times New Roman;sans-serif"/>
          <w:b w:val="false"/>
          <w:color w:val="000000"/>
          <w:sz w:val="22"/>
        </w:rPr>
        <w:t xml:space="preserve">.  If Bank of America resigns as Revolving Swing Line Lender, New Vehicle Floorplan Swing Line Lender or Used Vehicle Floorplan Swing Line Lender, it shall retain all the rights of the Revolving Swing Line Lender, New Vehicle Floorplan Swing Line Lender or Used Vehicle Floorplan Swing Line Lender, as the case may be, provided for hereunder with respect to the applicable Swing Line Loans made by it and outstanding as of the effective date of such resignation, including the right to require the Lenders to make Base Rate Loans or fund risk participations in outstanding Swing Line Loans pursuant to </w:t>
      </w:r>
      <w:r>
        <w:rPr>
          <w:rFonts w:ascii="Times New Roman;sans-serif" w:hAnsi="Times New Roman;sans-serif"/>
          <w:b w:val="false"/>
          <w:color w:val="000000"/>
          <w:sz w:val="22"/>
          <w:u w:val="single"/>
        </w:rPr>
        <w:t>Section 2.04(c)</w:t>
      </w:r>
      <w:r>
        <w:rPr>
          <w:rFonts w:ascii="Times New Roman;sans-serif" w:hAnsi="Times New Roman;sans-serif"/>
          <w:b w:val="false"/>
          <w:color w:val="000000"/>
          <w:sz w:val="22"/>
        </w:rPr>
        <w:t>. Upon the acceptance of a successor’s appointment as Administrative Agent hereunder, (a) such successor shall succeed to and become vested with all of the rights, powers, privileges and duties of the retiring L/C Issuer, Revolving Swing Line Lender, New Vehicle Floorplan Swing Line Lender and Used Vehicle Floorplan Swing Line Lender, (b) the retiring L/C Issuer, Revolving Swing Line Lender, New Vehicle Floorplan Swing Line Lender and Used Vehicle Floorplan Swing Line Lender shall be discharged from all of their respective duties and obligations hereunder or under the other Loan Documents, and (c) the successor L/C Issuer shall issue letters of credit in substitution for the Letters of Credit, if any, outstanding at the time of such succession or make other arrangements satisfactory to the retiring L/C Issuer to effectively assume the obligations of the retiring L/C Issuer with respect to such Letters of Credit.</w:t>
      </w:r>
    </w:p>
    <w:p>
      <w:pPr>
        <w:pStyle w:val="TextBody"/>
        <w:bidi w:val="0"/>
        <w:spacing w:lineRule="auto" w:line="240" w:before="0" w:after="240"/>
        <w:ind w:left="0" w:right="0" w:firstLine="720"/>
        <w:jc w:val="both"/>
        <w:rPr/>
      </w:pPr>
      <w:r>
        <w:rPr>
          <w:rFonts w:ascii="Times New Roman;sans-serif" w:hAnsi="Times New Roman;sans-serif"/>
          <w:b/>
          <w:color w:val="000000"/>
          <w:sz w:val="22"/>
        </w:rPr>
        <w:t>9.07</w:t>
      </w:r>
      <w:r>
        <w:rPr>
          <w:rFonts w:ascii="Times New Roman;sans-serif" w:hAnsi="Times New Roman;sans-serif"/>
          <w:b/>
          <w:color w:val="000000"/>
          <w:sz w:val="22"/>
        </w:rPr>
        <w:t>Non-Reliance on the Administrative Agent, the Arranger and the Other Lenders</w:t>
      </w:r>
      <w:r>
        <w:rPr>
          <w:rFonts w:ascii="Times New Roman;sans-serif" w:hAnsi="Times New Roman;sans-serif"/>
          <w:b w:val="false"/>
          <w:color w:val="000000"/>
          <w:sz w:val="22"/>
        </w:rPr>
        <w:t xml:space="preserve">. Each Lender and each L/C Issuer expressly acknowledges that none of the Administrative Agent nor the Arranger has made any representation or warranty to it, and that no act by the Administrative Agent or the Arranger hereafter taken, including any consent to, and acceptance of any assignment or review of the affairs of any Loan Party of any Affiliate thereof, shall be deemed to constitute any representation or warranty by the Administrative Agent or the Arranger to any Lender or each L/C Issuer as to any matter,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367665"/>
                <wp:effectExtent l="0" t="0" r="0" b="0"/>
                <wp:wrapNone/>
                <wp:docPr id="331" name="Frame32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158</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including whether the Administrative Agent or the Arranger have disclosed material information in their (or their Related Parties’) possession. Each Lender and each L/C Issuer represents to the Administrative Agent and the Arranger that it has, independently and without reliance upon the Administrative Agent, the Arranger,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 hereunder. Each Lender and each L/C Issuer also acknowledges that it will, independently and without reliance upon the Administrative Agent, the Arranger,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each L/C Issuer represents and warrants that (i) the Loan Documents set forth the terms of a commercial lending facility and (ii) it is engaged in making, acquiring or holding commercial loans in the ordinary course and is entering into this Agreement as a Lender or L/C Issuer for the purpose of making, acquiring or holding commercial loans and providing other facilities set forth herein as may be applicable to such Lender or L/C Issuer, and not for the purpose of purchasing, acquiring or holding any other type of financial instrument, and each Lender and each L/C Issuer agrees not to assert a claim in contravention of the foregoing. Each Lender and each L/C Issuer represents and warrants that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pStyle w:val="TextBody"/>
        <w:bidi w:val="0"/>
        <w:spacing w:lineRule="auto" w:line="240" w:before="0" w:after="240"/>
        <w:ind w:left="0" w:right="0" w:firstLine="720"/>
        <w:jc w:val="both"/>
        <w:rPr/>
      </w:pPr>
      <w:r>
        <w:rPr>
          <w:rFonts w:ascii="Times New Roman;sans-serif" w:hAnsi="Times New Roman;sans-serif"/>
          <w:b/>
          <w:color w:val="000000"/>
          <w:sz w:val="22"/>
        </w:rPr>
        <w:t>9.08</w:t>
      </w:r>
      <w:r>
        <w:rPr>
          <w:rFonts w:ascii="Times New Roman;sans-serif" w:hAnsi="Times New Roman;sans-serif"/>
          <w:b/>
          <w:color w:val="000000"/>
          <w:sz w:val="22"/>
        </w:rPr>
        <w:t>No Other Duties, Etc</w:t>
      </w:r>
      <w:r>
        <w:rPr>
          <w:rFonts w:ascii="Times New Roman;sans-serif" w:hAnsi="Times New Roman;sans-serif"/>
          <w:b w:val="false"/>
          <w:color w:val="000000"/>
          <w:sz w:val="22"/>
          <w:u w:val="single"/>
        </w:rPr>
        <w:t>.</w:t>
      </w:r>
      <w:r>
        <w:rPr>
          <w:color w:val="000000"/>
        </w:rPr>
        <w:t xml:space="preserve"> </w:t>
      </w:r>
      <w:r>
        <w:rPr>
          <w:rFonts w:ascii="Times New Roman;sans-serif" w:hAnsi="Times New Roman;sans-serif"/>
          <w:b w:val="false"/>
          <w:color w:val="000000"/>
          <w:sz w:val="22"/>
        </w:rPr>
        <w:t>Anything herein to the contrary notwithstanding, none of the Bookrunners, Arrangers, Co-Syndication Agents or Co-Documentation Agents listed on the cover page hereof shall have any powers, duties or responsibilities under this Agreement or any of the other Loan Documents, except in its capacity, as applicable, as the Administrative Agent, a Lender or an L/C Issuer hereunder.</w:t>
      </w:r>
    </w:p>
    <w:p>
      <w:pPr>
        <w:pStyle w:val="TextBody"/>
        <w:bidi w:val="0"/>
        <w:spacing w:lineRule="auto" w:line="240" w:before="0" w:after="240"/>
        <w:ind w:left="0" w:right="0" w:firstLine="720"/>
        <w:jc w:val="both"/>
        <w:rPr/>
      </w:pPr>
      <w:r>
        <w:rPr>
          <w:rFonts w:ascii="Times New Roman;sans-serif" w:hAnsi="Times New Roman;sans-serif"/>
          <w:b/>
          <w:color w:val="000000"/>
          <w:sz w:val="22"/>
        </w:rPr>
        <w:t>9.09</w:t>
      </w:r>
      <w:r>
        <w:rPr>
          <w:rFonts w:ascii="Times New Roman;sans-serif" w:hAnsi="Times New Roman;sans-serif"/>
          <w:b/>
          <w:color w:val="000000"/>
          <w:sz w:val="22"/>
        </w:rPr>
        <w:t>Administrative Agent May File Proofs of Claim; Credit Bidding</w:t>
      </w:r>
      <w:r>
        <w:rPr>
          <w:rFonts w:ascii="Times New Roman;sans-serif" w:hAnsi="Times New Roman;sans-serif"/>
          <w:b w:val="false"/>
          <w:color w:val="000000"/>
          <w:sz w:val="22"/>
        </w:rPr>
        <w:t>. 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Company or any other Borrower) shall be entitled and empowered, by intervention in such proceeding or otherwise,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Issuers and the Administrative Agent (including any claim for the reasonable compensation, expenses, disbursements and advances of the Lenders, the L/C Issuers and the Administrative Agent and their respective agents and counsel and all other amounts due the Lenders, the L/C Issuers and the Administrative Agent under </w:t>
      </w:r>
      <w:r>
        <w:rPr>
          <w:rFonts w:ascii="Times New Roman;sans-serif" w:hAnsi="Times New Roman;sans-serif"/>
          <w:b w:val="false"/>
          <w:color w:val="000000"/>
          <w:sz w:val="22"/>
          <w:u w:val="single"/>
        </w:rPr>
        <w:t>Sections 2.03(j)</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(k)</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2.17</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10.04</w:t>
      </w:r>
      <w:r>
        <w:rPr>
          <w:rFonts w:ascii="Times New Roman;sans-serif" w:hAnsi="Times New Roman;sans-serif"/>
          <w:b w:val="false"/>
          <w:color w:val="000000"/>
          <w:sz w:val="22"/>
        </w:rPr>
        <w:t>) allowed in such judicial proceeding;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to collect and receive any monies or other property payable or deliverable on any such claims and to distribute the same;</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and any custodian, receiver, assignee, trustee, liquidator, sequestrator or other similar official in any such judicial proceeding is hereby authorized by each Lender and each L/C Issuer to make such payments to the Administrative Agent and, in the event that the Administrative Agent shall consent to the making of such payments directly to the Lenders and the L/C Issuers, to pay to the Administrative Agent any amount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367665"/>
                <wp:effectExtent l="0" t="0" r="0" b="0"/>
                <wp:wrapNone/>
                <wp:docPr id="332" name="Frame32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due for the reasonable compensation, expenses, disbursements and advances of the Administrative Agent and its agents and counsel, and any other amounts due the Administrative Agent under </w:t>
      </w:r>
      <w:r>
        <w:rPr>
          <w:rFonts w:ascii="Times New Roman;sans-serif" w:hAnsi="Times New Roman;sans-serif"/>
          <w:b w:val="false"/>
          <w:color w:val="000000"/>
          <w:sz w:val="22"/>
          <w:u w:val="single"/>
        </w:rPr>
        <w:t>Sections 2.17</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10.04</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Nothing contained herein shall be deemed to authorize the Administrative Agent to authorize or consent to or accept or adopt on behalf of any Lender or any L/C Issuer any plan of reorganization, arrangement, adjustment or composition affecting the Obligations or the rights of any Lender or any L/C Issuer to authorize the Administrative Agent to vote in respect of the claim of any Lender or any L/C Issuer in any such proceeding.</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The Secured Parties hereby irrevocably authorize the Administrative Agent, at the direction of the Required Lenders, to credit bid all or any portion of the Obligations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clauses (a) through (h) of </w:t>
      </w:r>
      <w:r>
        <w:rPr>
          <w:rFonts w:ascii="Times New Roman;sans-serif" w:hAnsi="Times New Roman;sans-serif"/>
          <w:b w:val="false"/>
          <w:color w:val="000000"/>
          <w:sz w:val="22"/>
          <w:u w:val="single"/>
        </w:rPr>
        <w:t>Section 10.01</w:t>
      </w:r>
      <w:r>
        <w:rPr>
          <w:color w:val="000000"/>
        </w:rPr>
        <w:t xml:space="preserve"> </w:t>
      </w:r>
      <w:r>
        <w:rPr>
          <w:rFonts w:ascii="Times New Roman;sans-serif" w:hAnsi="Times New Roman;sans-serif"/>
          <w:b w:val="false"/>
          <w:color w:val="000000"/>
          <w:sz w:val="22"/>
        </w:rPr>
        <w:t>of this Agreement, (iii) the Administrative Agent shall be authorized to assign the relevant Obligations to any such acquisition vehicle pro rata by the Lenders, as a result of which each of the Lenders shall be deemed to have received a pro rata portion of any Equity Interests and/or debt instruments issued by such an acquisition vehicle on account of the assignment of the Obligations to be credit bid, all without the need for any Secured Party or acquisition vehicle to take any further action, and (iv)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pStyle w:val="TextBody"/>
        <w:bidi w:val="0"/>
        <w:spacing w:lineRule="auto" w:line="240" w:before="0" w:after="240"/>
        <w:ind w:left="0" w:right="0" w:firstLine="720"/>
        <w:jc w:val="both"/>
        <w:rPr/>
      </w:pPr>
      <w:r>
        <w:rPr>
          <w:rFonts w:ascii="Times New Roman;sans-serif" w:hAnsi="Times New Roman;sans-serif"/>
          <w:b/>
          <w:color w:val="000000"/>
          <w:sz w:val="22"/>
        </w:rPr>
        <w:t>9.10</w:t>
      </w:r>
      <w:r>
        <w:rPr>
          <w:rFonts w:ascii="Times New Roman;sans-serif" w:hAnsi="Times New Roman;sans-serif"/>
          <w:b/>
          <w:color w:val="000000"/>
          <w:sz w:val="22"/>
        </w:rPr>
        <w:t>Collateral and Guaranty Matters</w:t>
      </w:r>
      <w:r>
        <w:rPr>
          <w:rFonts w:ascii="Times New Roman;sans-serif" w:hAnsi="Times New Roman;sans-serif"/>
          <w:b w:val="false"/>
          <w:color w:val="000000"/>
          <w:sz w:val="22"/>
        </w:rPr>
        <w:t>. The Lenders and the L/C Issuers irrevocably authorize the Administrative Agent, at its option and in its discretion,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to release any Lien on any property granted to or held by the Administrative Agent under any Loan Document (i) upon termination of the Aggregate Commitments and payment in full of all Obligations (other than contingent indemnification obligations) and the expiration or termination of all Letters of Credit (other than Letters of Credit as to which other arrangements satisfactory to the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367665"/>
                <wp:effectExtent l="0" t="0" r="0" b="0"/>
                <wp:wrapNone/>
                <wp:docPr id="333" name="Frame32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160</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Administrative Agent and the applicable L/C Issuer shall have been made), (ii) that is sold or to be sold as part of or in connection with any sale permitted hereunder or under any other Loan Document, (iii) that is owned by any Subsidiary if such Person ceases to be a Restricted Subsidiary as a result of a transaction permitted hereunder, or (iv) subject to </w:t>
      </w:r>
      <w:r>
        <w:rPr>
          <w:rFonts w:ascii="Times New Roman;sans-serif" w:hAnsi="Times New Roman;sans-serif"/>
          <w:b w:val="false"/>
          <w:color w:val="000000"/>
          <w:sz w:val="22"/>
          <w:u w:val="single"/>
        </w:rPr>
        <w:t>Section 10.01</w:t>
      </w:r>
      <w:r>
        <w:rPr>
          <w:rFonts w:ascii="Times New Roman;sans-serif" w:hAnsi="Times New Roman;sans-serif"/>
          <w:b w:val="false"/>
          <w:color w:val="000000"/>
          <w:sz w:val="22"/>
        </w:rPr>
        <w:t>, if approved, authorized or ratified in writing by the Required Lenders;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to subordinate any Lien on any property granted to or held by the Administrative Agent under any Loan Document to the holder of any Lien on such property that is permitted by </w:t>
      </w:r>
      <w:r>
        <w:rPr>
          <w:rFonts w:ascii="Times New Roman;sans-serif" w:hAnsi="Times New Roman;sans-serif"/>
          <w:b w:val="false"/>
          <w:color w:val="000000"/>
          <w:sz w:val="22"/>
          <w:u w:val="single"/>
        </w:rPr>
        <w:t>Section 7.02(b)</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to release any Subsidiary Guarantor from its obligations under the Guaranty, or to release any Subsidiary that is a Vehicle Borrower from all or part of its obligations as a Vehicle Borrower under the Loan Documents, if such Person ceases to be a Restricted Subsidiary as a result of a transaction permitted hereunder;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to enter into Service Loaner Intercreditor Agreements with respect to Indebtedness permitted by </w:t>
      </w:r>
      <w:r>
        <w:rPr>
          <w:rFonts w:ascii="Times New Roman;sans-serif" w:hAnsi="Times New Roman;sans-serif"/>
          <w:b w:val="false"/>
          <w:color w:val="000000"/>
          <w:sz w:val="22"/>
          <w:u w:val="single"/>
        </w:rPr>
        <w:t>Section 7.01(q)</w:t>
      </w:r>
      <w:r>
        <w:rPr>
          <w:color w:val="000000"/>
        </w:rPr>
        <w:t xml:space="preserve"> </w:t>
      </w:r>
      <w:r>
        <w:rPr>
          <w:rFonts w:ascii="Times New Roman;sans-serif" w:hAnsi="Times New Roman;sans-serif"/>
          <w:b w:val="false"/>
          <w:color w:val="000000"/>
          <w:sz w:val="22"/>
        </w:rPr>
        <w:t xml:space="preserve">and intercreditor agreements with respect to Liens permitted by </w:t>
      </w:r>
      <w:r>
        <w:rPr>
          <w:rFonts w:ascii="Times New Roman;sans-serif" w:hAnsi="Times New Roman;sans-serif"/>
          <w:b w:val="false"/>
          <w:color w:val="000000"/>
          <w:sz w:val="22"/>
          <w:u w:val="single"/>
        </w:rPr>
        <w:t>Section 7.02(f)</w:t>
      </w:r>
      <w:r>
        <w:rPr>
          <w:color w:val="000000"/>
        </w:rPr>
        <w:t xml:space="preserve"> </w:t>
      </w:r>
      <w:r>
        <w:rPr>
          <w:rFonts w:ascii="Times New Roman;sans-serif" w:hAnsi="Times New Roman;sans-serif"/>
          <w:b w:val="false"/>
          <w:color w:val="000000"/>
          <w:sz w:val="22"/>
        </w:rPr>
        <w:t>(the parties hereto acknowledging that the Administrative Agent entered into that certain (x) Intercreditor Agreement dated as October 12, 2011 between BMW of North America, LLC and the Administrative Agent, and acknowledged by the Company and (y)</w:t>
      </w:r>
      <w:r>
        <w:rPr>
          <w:color w:val="000000"/>
        </w:rPr>
        <w:t xml:space="preserve"> </w:t>
      </w:r>
      <w:r>
        <w:rPr>
          <w:rFonts w:ascii="Times New Roman;sans-serif" w:hAnsi="Times New Roman;sans-serif"/>
          <w:b w:val="false"/>
          <w:color w:val="000000"/>
          <w:sz w:val="22"/>
        </w:rPr>
        <w:t>Intercreditor Agreement dated as October 12, 2011 between the MINI Division of BMW of North America, LLC and the Administrative Agent, and acknowledged by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 xml:space="preserve">to enter into any FMCC Intercreditor Agreement, including any such agreement entered into on or after December 4, 2014, with respect to Indebtedness permitted by </w:t>
      </w:r>
      <w:r>
        <w:rPr>
          <w:rFonts w:ascii="Times New Roman;sans-serif" w:hAnsi="Times New Roman;sans-serif"/>
          <w:b w:val="false"/>
          <w:color w:val="000000"/>
          <w:sz w:val="22"/>
          <w:u w:val="single"/>
        </w:rPr>
        <w:t>Section 7.01(r)</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[intentionally omitted]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to execute and deliver that certain letter agreement with Ford Motor Company, substantially in the form provided to the Lenders.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Upon request by the Administrative Agent at any time, the Required Lenders will confirm in writing the Administrative Agent’s authority to release or subordinate its interest in particular types or items of property, or to release any Subsidiary Guarantor from its obligations under the Guaranty pursuant to this </w:t>
      </w:r>
      <w:r>
        <w:rPr>
          <w:rFonts w:ascii="Times New Roman;sans-serif" w:hAnsi="Times New Roman;sans-serif"/>
          <w:b w:val="false"/>
          <w:color w:val="000000"/>
          <w:sz w:val="22"/>
          <w:u w:val="single"/>
        </w:rPr>
        <w:t>Section 9.10</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Administrative Agent shall not be responsible for or have a duty to ascertain or inquire into any representation or warranty regarding the existence, value or collectability of the Collateral, the existence, priority or perfection of the Administrative Agent’s Lien purported to be created by the Security Instruments, or any certificate prepared by any Loan Party in connection therewith, nor shall the Administrative Agent be responsible or liable to the Lenders for any failure to monitor or maintain any portion of the Collateral.</w:t>
      </w:r>
    </w:p>
    <w:p>
      <w:pPr>
        <w:pStyle w:val="TextBody"/>
        <w:bidi w:val="0"/>
        <w:spacing w:lineRule="auto" w:line="240" w:before="0" w:after="240"/>
        <w:ind w:left="0" w:right="0" w:firstLine="720"/>
        <w:jc w:val="both"/>
        <w:rPr/>
      </w:pPr>
      <w:r>
        <w:rPr>
          <w:rFonts w:ascii="Times New Roman;sans-serif" w:hAnsi="Times New Roman;sans-serif"/>
          <w:b/>
          <w:color w:val="000000"/>
          <w:sz w:val="22"/>
        </w:rPr>
        <w:t>9.11</w:t>
      </w:r>
      <w:r>
        <w:rPr>
          <w:rFonts w:ascii="Times New Roman;sans-serif" w:hAnsi="Times New Roman;sans-serif"/>
          <w:b/>
          <w:color w:val="000000"/>
          <w:sz w:val="22"/>
        </w:rPr>
        <w:t>Secured Cash Management Arrangements and Secured Hedge Agreements</w:t>
      </w:r>
      <w:r>
        <w:rPr>
          <w:rFonts w:ascii="Times New Roman;sans-serif" w:hAnsi="Times New Roman;sans-serif"/>
          <w:b w:val="false"/>
          <w:color w:val="000000"/>
          <w:sz w:val="22"/>
        </w:rPr>
        <w:t xml:space="preserve">. Except as otherwise expressly set forth herein or in any Subsidiary Guaranty or any Security Instrument, no Cash Management Bank or Lender or Affiliate of a Lender party to a Related Swap Agreement that obtains the benefit of the provisions of </w:t>
      </w:r>
      <w:r>
        <w:rPr>
          <w:rFonts w:ascii="Times New Roman;sans-serif" w:hAnsi="Times New Roman;sans-serif"/>
          <w:b w:val="false"/>
          <w:color w:val="000000"/>
          <w:sz w:val="22"/>
          <w:u w:val="single"/>
        </w:rPr>
        <w:t>Section 8.06</w:t>
      </w:r>
      <w:r>
        <w:rPr>
          <w:rFonts w:ascii="Times New Roman;sans-serif" w:hAnsi="Times New Roman;sans-serif"/>
          <w:b w:val="false"/>
          <w:color w:val="000000"/>
          <w:sz w:val="22"/>
        </w:rPr>
        <w:t xml:space="preserve">, any Subsidiary Guaranty or any Collateral by virtue of the provisions hereof or of the Subsidiary Guaranty or any Security Instrument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w:t>
      </w:r>
      <w:r>
        <w:rPr>
          <w:rFonts w:ascii="Times New Roman;sans-serif" w:hAnsi="Times New Roman;sans-serif"/>
          <w:b w:val="false"/>
          <w:color w:val="000000"/>
          <w:sz w:val="22"/>
          <w:u w:val="single"/>
        </w:rPr>
        <w:t>Article IX</w:t>
      </w:r>
      <w:r>
        <w:rPr>
          <w:color w:val="000000"/>
        </w:rPr>
        <w:t xml:space="preserve"> </w:t>
      </w:r>
      <w:r>
        <w:rPr>
          <w:rFonts w:ascii="Times New Roman;sans-serif" w:hAnsi="Times New Roman;sans-serif"/>
          <w:b w:val="false"/>
          <w:color w:val="000000"/>
          <w:sz w:val="22"/>
        </w:rPr>
        <w:t>to the contrary, the Administrative Agent shall not be required to verify the payment of, or that other satisfactory arrangements have been made with respect to, Obligations arising under Secured Cash Management Arrangements and Related Swap Agreements unless the Administrative Agent has received written notice of such Obligations, together with such supporting documentation as the Administrative Agent may request, from the applicable Cash Management Bank or Lender or Affiliate of a Lender, as the case may be.</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367665"/>
                <wp:effectExtent l="0" t="0" r="0" b="0"/>
                <wp:wrapNone/>
                <wp:docPr id="334" name="Frame32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161</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hanging="720"/>
        <w:jc w:val="both"/>
        <w:rPr/>
      </w:pPr>
      <w:r>
        <w:rPr>
          <w:rFonts w:ascii="Times New Roman;sans-serif" w:hAnsi="Times New Roman;sans-serif"/>
          <w:b/>
          <w:color w:val="000000"/>
          <w:sz w:val="22"/>
        </w:rPr>
        <w:t>9.12Certain ERISA Matters</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(iii)(A)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(iv)such other representation, warranty and covenant as may be agreed in writing between the Administrative Agent, in its sole discretion, and such Lender.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pStyle w:val="TextBody"/>
        <w:bidi w:val="0"/>
        <w:spacing w:lineRule="auto" w:line="240" w:before="0" w:after="240"/>
        <w:ind w:left="0" w:right="0" w:firstLine="720"/>
        <w:jc w:val="both"/>
        <w:rPr/>
      </w:pPr>
      <w:r>
        <w:rPr>
          <w:rFonts w:ascii="Times New Roman;sans-serif" w:hAnsi="Times New Roman;sans-serif"/>
          <w:b/>
          <w:color w:val="000000"/>
          <w:sz w:val="22"/>
        </w:rPr>
        <w:t>9.13</w:t>
      </w:r>
      <w:r>
        <w:rPr>
          <w:rFonts w:ascii="Times New Roman;sans-serif" w:hAnsi="Times New Roman;sans-serif"/>
          <w:b/>
          <w:color w:val="000000"/>
          <w:sz w:val="22"/>
        </w:rPr>
        <w:t>Recovery of Erroneous Payments</w:t>
      </w:r>
      <w:r>
        <w:rPr>
          <w:rFonts w:ascii="Times New Roman;sans-serif" w:hAnsi="Times New Roman;sans-serif"/>
          <w:b w:val="false"/>
          <w:color w:val="000000"/>
          <w:sz w:val="22"/>
        </w:rPr>
        <w:t xml:space="preserve">. Without limitation of any other provision in this Agreement, if at any time the Administrative Agent makes a payment hereunder in error to any Lender Recipient Party, whether or not in respect of an Obligation due and owing by the Borrower at such time, where such payment is a Rescindable Amount, then in any such event, each Lender Recipient Party receiving a Rescindable Amount severally agrees to repay to the Administrative Agent forthwith on demand the Rescindable Amount received by such Lender Recipient Party in immediately available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367665"/>
                <wp:effectExtent l="0" t="0" r="0" b="0"/>
                <wp:wrapNone/>
                <wp:docPr id="335" name="Frame33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162</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with banking industry rules on interbank compensation. Each Lender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Recipient Party promptly upon determining that any payment made to such Lender Recipient Party comprised, in whole or in part, a Rescindable Amount.</w:t>
      </w:r>
    </w:p>
    <w:p>
      <w:pPr>
        <w:pStyle w:val="TextBody"/>
        <w:bidi w:val="0"/>
        <w:spacing w:lineRule="auto" w:line="240" w:before="0" w:after="240"/>
        <w:jc w:val="center"/>
        <w:rPr/>
      </w:pPr>
      <w:r>
        <w:rPr>
          <w:rFonts w:ascii="Times New Roman;sans-serif" w:hAnsi="Times New Roman;sans-serif"/>
          <w:b/>
          <w:color w:val="000000"/>
          <w:sz w:val="22"/>
        </w:rPr>
        <w:t>ARTICLE X.</w:t>
      </w:r>
      <w:r>
        <w:rPr>
          <w:color w:val="000000"/>
        </w:rPr>
        <w:t xml:space="preserve"> </w:t>
      </w:r>
      <w:r>
        <w:rPr>
          <w:rFonts w:ascii="Times New Roman;sans-serif" w:hAnsi="Times New Roman;sans-serif"/>
          <w:b/>
          <w:color w:val="000000"/>
          <w:sz w:val="22"/>
        </w:rPr>
        <w:t>MISCELLANEOUS</w:t>
      </w:r>
    </w:p>
    <w:p>
      <w:pPr>
        <w:pStyle w:val="TextBody"/>
        <w:bidi w:val="0"/>
        <w:spacing w:lineRule="auto" w:line="240" w:before="0" w:after="240"/>
        <w:ind w:left="0" w:right="0" w:firstLine="720"/>
        <w:jc w:val="both"/>
        <w:rPr/>
      </w:pPr>
      <w:r>
        <w:rPr>
          <w:rFonts w:ascii="Times New Roman;sans-serif" w:hAnsi="Times New Roman;sans-serif"/>
          <w:b/>
          <w:color w:val="000000"/>
          <w:sz w:val="22"/>
        </w:rPr>
        <w:t>10.01</w:t>
      </w:r>
      <w:r>
        <w:rPr>
          <w:rFonts w:ascii="Times New Roman;sans-serif" w:hAnsi="Times New Roman;sans-serif"/>
          <w:b/>
          <w:color w:val="000000"/>
          <w:sz w:val="22"/>
        </w:rPr>
        <w:t>Amendments, Etc</w:t>
      </w:r>
      <w:r>
        <w:rPr>
          <w:rFonts w:ascii="Times New Roman;sans-serif" w:hAnsi="Times New Roman;sans-serif"/>
          <w:b w:val="false"/>
          <w:color w:val="000000"/>
          <w:sz w:val="22"/>
        </w:rPr>
        <w:t xml:space="preserve">. Subject to </w:t>
      </w:r>
      <w:r>
        <w:rPr>
          <w:rFonts w:ascii="Times New Roman;sans-serif" w:hAnsi="Times New Roman;sans-serif"/>
          <w:b w:val="false"/>
          <w:color w:val="000000"/>
          <w:sz w:val="22"/>
          <w:u w:val="single"/>
        </w:rPr>
        <w:t>Section 3.03(c)</w:t>
      </w:r>
      <w:r>
        <w:rPr>
          <w:color w:val="000000"/>
        </w:rPr>
        <w:t xml:space="preserve"> </w:t>
      </w:r>
      <w:r>
        <w:rPr>
          <w:rFonts w:ascii="Times New Roman;sans-serif" w:hAnsi="Times New Roman;sans-serif"/>
          <w:b w:val="false"/>
          <w:color w:val="000000"/>
          <w:sz w:val="22"/>
        </w:rPr>
        <w:t xml:space="preserve">and the last paragraph of this </w:t>
      </w:r>
      <w:r>
        <w:rPr>
          <w:rFonts w:ascii="Times New Roman;sans-serif" w:hAnsi="Times New Roman;sans-serif"/>
          <w:b w:val="false"/>
          <w:color w:val="000000"/>
          <w:sz w:val="22"/>
          <w:u w:val="single"/>
        </w:rPr>
        <w:t>Section 10.01</w:t>
      </w:r>
      <w:r>
        <w:rPr>
          <w:rFonts w:ascii="Times New Roman;sans-serif" w:hAnsi="Times New Roman;sans-serif"/>
          <w:b w:val="false"/>
          <w:color w:val="000000"/>
          <w:sz w:val="22"/>
        </w:rPr>
        <w:t xml:space="preserve">, no amendment or waiver of any provision of this Agreement or any other Loan Document, and no consent to any departure by the Company or any other Loan Party therefrom, shall be effective unless in writing signed by the Required Lenders and the Company or the applicable Loan Party, as the case may be, and acknowledged by the Administrative Agent, and each such waiver or consent shall be effective only in the specific instance and for the specific purpose for which given; </w:t>
      </w:r>
      <w:r>
        <w:rPr>
          <w:rFonts w:ascii="Times New Roman;sans-serif" w:hAnsi="Times New Roman;sans-serif"/>
          <w:b w:val="false"/>
          <w:color w:val="000000"/>
          <w:sz w:val="22"/>
          <w:u w:val="single"/>
        </w:rPr>
        <w:t>provided, however</w:t>
      </w:r>
      <w:r>
        <w:rPr>
          <w:rFonts w:ascii="Times New Roman;sans-serif" w:hAnsi="Times New Roman;sans-serif"/>
          <w:b w:val="false"/>
          <w:color w:val="000000"/>
          <w:sz w:val="22"/>
        </w:rPr>
        <w:t>, that no such amendment, waiver or consent shall:</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waive any condition set forth in </w:t>
      </w:r>
      <w:r>
        <w:rPr>
          <w:rFonts w:ascii="Times New Roman;sans-serif" w:hAnsi="Times New Roman;sans-serif"/>
          <w:b w:val="false"/>
          <w:color w:val="000000"/>
          <w:sz w:val="22"/>
          <w:u w:val="single"/>
        </w:rPr>
        <w:t>Section 4.01(a)</w:t>
      </w:r>
      <w:r>
        <w:rPr>
          <w:color w:val="000000"/>
        </w:rPr>
        <w:t xml:space="preserve"> </w:t>
      </w:r>
      <w:r>
        <w:rPr>
          <w:rFonts w:ascii="Times New Roman;sans-serif" w:hAnsi="Times New Roman;sans-serif"/>
          <w:b w:val="false"/>
          <w:color w:val="000000"/>
          <w:sz w:val="22"/>
        </w:rPr>
        <w:t>without the written consent of each Lender;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extend or increase the Revolving Commitment, the New Vehicle Floorplan Commitment or the Used Vehicle Floorplan Commitment of any Lender (or reinstate any Revolving Commitment, New Vehicle Floorplan Commitment or Used Vehicle Floorplan Commitment terminated pursuant to </w:t>
      </w:r>
      <w:r>
        <w:rPr>
          <w:rFonts w:ascii="Times New Roman;sans-serif" w:hAnsi="Times New Roman;sans-serif"/>
          <w:b w:val="false"/>
          <w:color w:val="000000"/>
          <w:sz w:val="22"/>
          <w:u w:val="single"/>
        </w:rPr>
        <w:t>Section 8.02</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8.04</w:t>
      </w:r>
      <w:r>
        <w:rPr>
          <w:rFonts w:ascii="Times New Roman;sans-serif" w:hAnsi="Times New Roman;sans-serif"/>
          <w:b w:val="false"/>
          <w:color w:val="000000"/>
          <w:sz w:val="22"/>
        </w:rPr>
        <w:t>, as applicable) without the written consent of such Lender;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postpone any date fixed by this Agreement or any other Loan Document for any payment of principal, interest, fees or other amounts due to the Lenders (or any of them) or any scheduled or mandatory reduction of the Aggregate Revolving Commitments, Aggregate New Vehicle Floorplan Commitments or Aggregate Used Vehicle Floorplan Commitments hereunder or under any other Loan Document without the written consent of each Lender directly affected thereby; </w:t>
      </w:r>
      <w:r>
        <w:rPr>
          <w:rFonts w:ascii="Times New Roman;sans-serif" w:hAnsi="Times New Roman;sans-serif"/>
          <w:b w:val="false"/>
          <w:color w:val="000000"/>
          <w:sz w:val="22"/>
          <w:u w:val="single"/>
        </w:rPr>
        <w:t>provided, however</w:t>
      </w:r>
      <w:r>
        <w:rPr>
          <w:rFonts w:ascii="Times New Roman;sans-serif" w:hAnsi="Times New Roman;sans-serif"/>
          <w:b w:val="false"/>
          <w:color w:val="000000"/>
          <w:sz w:val="22"/>
        </w:rPr>
        <w:t>, that only the consent of the Required Lenders shall be required to postpone any date fixed for any mandatory prepayment of principal of any Loan or interest accrued on such principal amount;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reduce the principal of, or the rate of interest specified herein on, any Loan or L/C Borrowing, or (subject to clause (iv) of the second proviso to this </w:t>
      </w:r>
      <w:r>
        <w:rPr>
          <w:rFonts w:ascii="Times New Roman;sans-serif" w:hAnsi="Times New Roman;sans-serif"/>
          <w:b w:val="false"/>
          <w:color w:val="000000"/>
          <w:sz w:val="22"/>
          <w:u w:val="single"/>
        </w:rPr>
        <w:t>Section 10.01</w:t>
      </w:r>
      <w:r>
        <w:rPr>
          <w:rFonts w:ascii="Times New Roman;sans-serif" w:hAnsi="Times New Roman;sans-serif"/>
          <w:b w:val="false"/>
          <w:color w:val="000000"/>
          <w:sz w:val="22"/>
        </w:rPr>
        <w:t xml:space="preserve">) any fees or other amounts payable hereunder or under any other Loan Document without the written consent of each Lender directly affected thereby; </w:t>
      </w:r>
      <w:r>
        <w:rPr>
          <w:rFonts w:ascii="Times New Roman;sans-serif" w:hAnsi="Times New Roman;sans-serif"/>
          <w:b w:val="false"/>
          <w:color w:val="000000"/>
          <w:sz w:val="22"/>
          <w:u w:val="single"/>
        </w:rPr>
        <w:t>provided, however</w:t>
      </w:r>
      <w:r>
        <w:rPr>
          <w:rFonts w:ascii="Times New Roman;sans-serif" w:hAnsi="Times New Roman;sans-serif"/>
          <w:b w:val="false"/>
          <w:color w:val="000000"/>
          <w:sz w:val="22"/>
        </w:rPr>
        <w:t>, that only the consent of the Required Lenders shall be necessary (i) to amend the definition of “Default Rate” or to waive any obligation of any Borrower to pay interest or Letter of Credit Fees at the Default Rate or (ii) to amend any financial covenant hereunder (or any defined term used therein) even if the effect of such amendment would be to reduce the rate of interest on any Loan or L/C Borrowing or to reduce any fee payable hereunder;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 xml:space="preserve">change </w:t>
      </w:r>
      <w:r>
        <w:rPr>
          <w:rFonts w:ascii="Times New Roman;sans-serif" w:hAnsi="Times New Roman;sans-serif"/>
          <w:b w:val="false"/>
          <w:color w:val="000000"/>
          <w:sz w:val="22"/>
          <w:u w:val="single"/>
        </w:rPr>
        <w:t>Section 2.21</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Section 8.06</w:t>
      </w:r>
      <w:r>
        <w:rPr>
          <w:color w:val="000000"/>
        </w:rPr>
        <w:t xml:space="preserve"> </w:t>
      </w:r>
      <w:r>
        <w:rPr>
          <w:rFonts w:ascii="Times New Roman;sans-serif" w:hAnsi="Times New Roman;sans-serif"/>
          <w:b w:val="false"/>
          <w:color w:val="000000"/>
          <w:sz w:val="22"/>
        </w:rPr>
        <w:t>in a manner that would alter the pro rata payments or pro rata sharing of payments required thereby without the written consent of each Lender;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change any provision of this Section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 xml:space="preserve">release the Company from the Company Guaranty or release all or substantially all of the value of the Subsidiary Guaranty, without the written consent of each Lender;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release all or substantially all of the Collateral in any transaction or series of related transactions, except as specifically required by the Loan Documents, without the written consent of each Lender; or</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367665"/>
                <wp:effectExtent l="0" t="0" r="0" b="0"/>
                <wp:wrapNone/>
                <wp:docPr id="336" name="Frame33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163</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 xml:space="preserve">except as expressly permitted by </w:t>
      </w:r>
      <w:r>
        <w:rPr>
          <w:rFonts w:ascii="Times New Roman;sans-serif" w:hAnsi="Times New Roman;sans-serif"/>
          <w:b w:val="false"/>
          <w:color w:val="000000"/>
          <w:sz w:val="22"/>
          <w:u w:val="single"/>
        </w:rPr>
        <w:t>Section 9.10</w:t>
      </w:r>
      <w:r>
        <w:rPr>
          <w:color w:val="000000"/>
        </w:rPr>
        <w:t xml:space="preserve"> </w:t>
      </w:r>
      <w:r>
        <w:rPr>
          <w:rFonts w:ascii="Times New Roman;sans-serif" w:hAnsi="Times New Roman;sans-serif"/>
          <w:b w:val="false"/>
          <w:color w:val="000000"/>
          <w:sz w:val="22"/>
        </w:rPr>
        <w:t>and otherwise as expressly permitted by this Agreement, (i) subordinate, or have the effect of subordinating, all of the Obligations hereunder to any other Indebtedness or other obligation or (ii) subordinate, or have the effect of subordinating, all of the Liens securing the Obligations to Liens securing any other Indebtedness or other obligation without the written consent of each Lender adversely effected thereby;</w:t>
      </w:r>
    </w:p>
    <w:p>
      <w:pPr>
        <w:pStyle w:val="TextBody"/>
        <w:bidi w:val="0"/>
        <w:spacing w:lineRule="auto" w:line="288" w:before="0" w:after="240"/>
        <w:jc w:val="both"/>
        <w:rPr/>
      </w:pP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provided further</w:t>
      </w:r>
      <w:r>
        <w:rPr>
          <w:rFonts w:ascii="Times New Roman;sans-serif" w:hAnsi="Times New Roman;sans-serif"/>
          <w:b w:val="false"/>
          <w:color w:val="000000"/>
          <w:sz w:val="22"/>
        </w:rPr>
        <w:t>, that (i) no amendment, waiver or consent shall, unless in writing and signed by the applicable L/C Issuer in addition to the Lenders required above, affect the rights or duties of such L/C Issuer under this Agreement or any Issuer Document relating to any Letter of Credit issued or to be issued by it; (ii) no amendment, waiver or consent shall, unless in writing and signed by the applicable Swing Line Lender in addition to the Lenders required above, affect the rights or duties of such Swing Line Lender under this Agreement; (iii) no amendment, waiver or consent shall, unless in writing and signed by the Administrative Agent in addition to the Lenders required above, affect the rights or duties of the Administrative Agent under this Agreement or any other Loan Document; and (iv) each respective Fee Letter may be amended, or rights or privileges thereunder waived, in a writing executed only by the parties thereto.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or the maturity of any of its Loans may not be extended, the rate of interest on any of its Loans may not be reduced and the principal amount of any of its Loans may not be forgiven, in each case without the consent of such Defaulting Lender and (y) any waiver, amendment, consent or modification requiring the consent of all Lenders or each affected Lender that by its terms affects any Defaulting Lender more adversely relative to other affected Lenders shall require the consent of such Defaulting Lender.</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2"/>
        </w:rPr>
        <w:t xml:space="preserve">Notwithstanding anything to the contrary contained in this </w:t>
      </w:r>
      <w:r>
        <w:rPr>
          <w:rFonts w:ascii="Times New Roman;sans-serif" w:hAnsi="Times New Roman;sans-serif"/>
          <w:b w:val="false"/>
          <w:color w:val="000000"/>
          <w:sz w:val="22"/>
          <w:u w:val="single"/>
        </w:rPr>
        <w:t>Section 10.01</w:t>
      </w:r>
      <w:r>
        <w:rPr>
          <w:rFonts w:ascii="Times New Roman;sans-serif" w:hAnsi="Times New Roman;sans-serif"/>
          <w:b w:val="false"/>
          <w:color w:val="000000"/>
          <w:sz w:val="22"/>
        </w:rPr>
        <w:t>, (y) this Agreement may be amended and restated without the consent of any Lender (but with the consent of the Company and Administrative Agent) if, upon giving effect to such amendment and restatement, such Lender shall no longer be a party to this Agreement (as so amended and restated), the Commitments of such Lender shall have terminated, such Lender shall have no other commitment or other obligation hereunder and shall have been paid in full all principal, interest and other amounts owing to it or accrued for its account under this Agreement, and (z) Administrative Agent and the Company may amend or modify this Agreement and any other Loan Document to (1) cure any ambiguity, omission, defect or inconsistency therein or (2) grant a new Lien for the benefit of the Secured Parties, extend an existing Lien over additional property for the benefit of the Secured Parties or join additional Persons as Credit Parties.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Notwithstanding any provision herein to the contrary, if the Administrative Agent and the Company acting together identify any ambiguity, omission, mistake, typographical error or other defect in any provision of this Agreement or any other Loan Document (including the schedules and exhibits thereto),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w:t>
      </w:r>
    </w:p>
    <w:p>
      <w:pPr>
        <w:pStyle w:val="TextBody"/>
        <w:bidi w:val="0"/>
        <w:spacing w:lineRule="auto" w:line="240" w:before="0" w:after="240"/>
        <w:ind w:left="0" w:right="0" w:hanging="720"/>
        <w:jc w:val="both"/>
        <w:rPr/>
      </w:pPr>
      <w:r>
        <w:rPr>
          <w:rFonts w:ascii="Times New Roman;sans-serif" w:hAnsi="Times New Roman;sans-serif"/>
          <w:b/>
          <w:color w:val="000000"/>
          <w:sz w:val="22"/>
        </w:rPr>
        <w:t>10.02Notices; Effectiveness; Electronic Communication</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Notices Generally</w:t>
      </w:r>
      <w:r>
        <w:rPr>
          <w:rFonts w:ascii="Times New Roman;sans-serif" w:hAnsi="Times New Roman;sans-serif"/>
          <w:b w:val="false"/>
          <w:color w:val="000000"/>
          <w:sz w:val="22"/>
        </w:rPr>
        <w:t xml:space="preserve">.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facsimile or electronic mail as follows,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367665"/>
                <wp:effectExtent l="0" t="0" r="0" b="0"/>
                <wp:wrapNone/>
                <wp:docPr id="337" name="Frame33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164</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and all notices and other communications expressly permitted hereunder to be given by telephone shall be made to the applicable telephone number, as follows: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(i)if to the Company, a Borrower, any other Loan Party, the Administrative Agent, Bank of America as an L/C Issuer, the Revolving Swing Line Lender, the New Vehicle Floorplan Swing Line Lender, the Used Vehicle Floorplan Swing Line Lender or the New Vehicle Floorplan Operations Group to the address, facsimile number, electronic mail address or telephone number specified for such Person on </w:t>
      </w:r>
      <w:r>
        <w:rPr>
          <w:rFonts w:ascii="Times New Roman;sans-serif" w:hAnsi="Times New Roman;sans-serif"/>
          <w:b w:val="false"/>
          <w:color w:val="000000"/>
          <w:sz w:val="22"/>
          <w:u w:val="single"/>
        </w:rPr>
        <w:t>Schedule 10.02</w:t>
      </w:r>
      <w:r>
        <w:rPr>
          <w:rFonts w:ascii="Times New Roman;sans-serif" w:hAnsi="Times New Roman;sans-serif"/>
          <w:b w:val="false"/>
          <w:color w:val="000000"/>
          <w:sz w:val="22"/>
        </w:rPr>
        <w:t>; and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(ii)if to any other Lender or L/C Issuer, to the address, facsimile number, electronic mail address or telephone number specified in its Administrative Questionnaire (including, as appropriate, notices delivered solely to the Person designated by a Lender or L/C Issuer on its Administrative Questionnaire then in effect for the delivery of notices that may contain material non-public information relating to the Company).</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Electronic Communications</w:t>
      </w:r>
      <w:r>
        <w:rPr>
          <w:rFonts w:ascii="Times New Roman;sans-serif" w:hAnsi="Times New Roman;sans-serif"/>
          <w:b w:val="false"/>
          <w:color w:val="000000"/>
          <w:sz w:val="22"/>
        </w:rPr>
        <w:t xml:space="preserve">. Notices and other communications to the Lenders and the L/C Issuers hereunder may be delivered or furnished by electronic communication (including e-mail, FpMl messaging and Internet or intranet websites) pursuant to procedures approved by the Administrative Agent,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foregoing shall not apply to notices to any Lender or any L/C Issuer pursuant to </w:t>
      </w:r>
      <w:r>
        <w:rPr>
          <w:rFonts w:ascii="Times New Roman;sans-serif" w:hAnsi="Times New Roman;sans-serif"/>
          <w:b w:val="false"/>
          <w:color w:val="000000"/>
          <w:sz w:val="22"/>
          <w:u w:val="single"/>
        </w:rPr>
        <w:t>Article II</w:t>
      </w:r>
      <w:r>
        <w:rPr>
          <w:color w:val="000000"/>
        </w:rPr>
        <w:t xml:space="preserve"> </w:t>
      </w:r>
      <w:r>
        <w:rPr>
          <w:rFonts w:ascii="Times New Roman;sans-serif" w:hAnsi="Times New Roman;sans-serif"/>
          <w:b w:val="false"/>
          <w:color w:val="000000"/>
          <w:sz w:val="22"/>
        </w:rPr>
        <w:t xml:space="preserve">if such Lender or such L/C Issuer, as applicable, has notified the Administrative Agent that it is incapable of receiving notices under such Article by electronic communication. The Administrative Agent, the Swing Line Lenders, the L/C Issuers or the Company may, in its discretion, agree to accept notices and other communications to it hereunder by electronic communications pursuant to procedures approved by it,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approval of such procedures may be limited to particular notices or communications.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for both clauses (i) and (ii), if such notice, email or other communication is not sent during the normal business hours of the recipient, such notice, email or communication shall be deemed to have been sent at the opening of business on the next business day for the recipient.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The Platform</w:t>
      </w:r>
      <w:r>
        <w:rPr>
          <w:rFonts w:ascii="Times New Roman;sans-serif" w:hAnsi="Times New Roman;sans-serif"/>
          <w:b w:val="false"/>
          <w:color w:val="000000"/>
          <w:sz w:val="22"/>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sans-serif" w:hAnsi="Times New Roman;sans-serif"/>
          <w:b w:val="false"/>
          <w:color w:val="000000"/>
          <w:sz w:val="22"/>
          <w:u w:val="single"/>
        </w:rPr>
        <w:t>Agent Parties</w:t>
      </w:r>
      <w:r>
        <w:rPr>
          <w:color w:val="000000"/>
        </w:rPr>
        <w:t>”</w:t>
      </w:r>
      <w:r>
        <w:rPr>
          <w:rFonts w:ascii="Times New Roman;sans-serif" w:hAnsi="Times New Roman;sans-serif"/>
          <w:b w:val="false"/>
          <w:color w:val="000000"/>
          <w:sz w:val="22"/>
        </w:rPr>
        <w:t xml:space="preserve">) have any liability to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80175" cy="367665"/>
                <wp:effectExtent l="0" t="0" r="0" b="0"/>
                <wp:wrapNone/>
                <wp:docPr id="338" name="Frame33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165</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any Borrower, any Lender, any L/C Issuer or any other Person for losses, claims, damages, liabilities or expenses of any kind (whether in tort, contract or otherwise) arising out of the Company’s, any Loan Party’s or the Administrative Agent’s transmission of Borrower Materials through the Platform, any other electronic platform or electronic messaging service or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sans-serif" w:hAnsi="Times New Roman;sans-serif"/>
          <w:b w:val="false"/>
          <w:color w:val="000000"/>
          <w:sz w:val="22"/>
          <w:u w:val="single"/>
        </w:rPr>
        <w:t>provided, however</w:t>
      </w:r>
      <w:r>
        <w:rPr>
          <w:rFonts w:ascii="Times New Roman;sans-serif" w:hAnsi="Times New Roman;sans-serif"/>
          <w:b w:val="false"/>
          <w:color w:val="000000"/>
          <w:sz w:val="22"/>
        </w:rPr>
        <w:t>, that in no event shall any Agent Party have any liability to the Company, any Lender, any L/C Issuer or any other Person for indirect, special, incidental, consequential or punitive damages (as opposed to direct or actual damages).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Change of Address, Etc.</w:t>
      </w:r>
      <w:r>
        <w:rPr>
          <w:color w:val="000000"/>
        </w:rPr>
        <w:t xml:space="preserve"> </w:t>
      </w:r>
      <w:r>
        <w:rPr>
          <w:rFonts w:ascii="Times New Roman;sans-serif" w:hAnsi="Times New Roman;sans-serif"/>
          <w:b w:val="false"/>
          <w:color w:val="000000"/>
          <w:sz w:val="22"/>
        </w:rPr>
        <w:t>Each of the Company (for itself and on behalf of the other Borrowers), the Administrative Agent, Bank of America, as an L/C Issuer, the Revolving Swing Line Lender, the New Vehicle Floorplan Swing Line Lender, the Used Vehicle Floorplan Swing Line Lender, and the New Vehicle Operations Group may change its address, facsimile or telephone number for notices and other communications hereunder by notice to the other parties hereto. Each other Lender or L/C Issuer may change its address, facsimile or telephone number for notices and other communications hereunder by notice to the Company, the Administrative Agent, the L/C Issuers, the Revolving Swing Line Lender, the New Vehicle Floorplan Swing Line Lender, the Used Vehicle Floorplan Swing Line Lender and the New Vehicle Floorplan Operations Group. In addition, each Lender and each L/C Issuer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or L/C Issuer, as applicable.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any Borrower or its securities for purposes of United States Federal or state securities laws.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Reliance by Administrative Agent, L/C Issuer and Lenders</w:t>
      </w:r>
      <w:r>
        <w:rPr>
          <w:rFonts w:ascii="Times New Roman;sans-serif" w:hAnsi="Times New Roman;sans-serif"/>
          <w:b w:val="false"/>
          <w:color w:val="000000"/>
          <w:sz w:val="22"/>
        </w:rPr>
        <w:t>. The Administrative Agent, the L/C Issuers and the Lenders shall be entitled to rely and act upon any notices (including telephonic or electronic Revolving Committed Loan Notices, Revolving Swing Line Loan Notices, New Vehicle Floorplan Committed Loan Notices, New Vehicle Floorplan Swing Line Loan Notices, Used Vehicle Floorplan Committed Loan Notices, Used Vehicle Floorplan Swing Line Loan Notices, Letter of Credit Applications, and Conversion Notices) purportedly given by or on behalf of any Borrower even if (i) such notices were not made in a manner specified herein, were incomplete or were not preceded or followed by any other form of notice specified herein, or (ii) the terms thereof, as understood by the recipient, varied from any confirmation thereof. The Company and each Borrower shall indemnify the Administrative Agent, each L/C Issuer, each Lender and the Related Parties of each of them from all losses, costs, expenses and liabilities resulting from the reliance by such Person on each notice purportedly given by or on behalf of the Company or any Borrower. All telephonic notices to and other telephonic communications with the Administrative Agent may be recorded by the Administrative Agent, and each of the parties hereto hereby consents to such recording.</w:t>
      </w:r>
    </w:p>
    <w:p>
      <w:pPr>
        <w:pStyle w:val="TextBody"/>
        <w:bidi w:val="0"/>
        <w:spacing w:lineRule="auto" w:line="240" w:before="0" w:after="240"/>
        <w:ind w:left="0" w:right="0" w:firstLine="720"/>
        <w:jc w:val="both"/>
        <w:rPr/>
      </w:pPr>
      <w:r>
        <w:rPr>
          <w:rFonts w:ascii="Times New Roman;sans-serif" w:hAnsi="Times New Roman;sans-serif"/>
          <w:b/>
          <w:color w:val="000000"/>
          <w:sz w:val="22"/>
        </w:rPr>
        <w:t>10.03</w:t>
      </w:r>
      <w:r>
        <w:rPr>
          <w:rFonts w:ascii="Times New Roman;sans-serif" w:hAnsi="Times New Roman;sans-serif"/>
          <w:b/>
          <w:color w:val="000000"/>
          <w:sz w:val="22"/>
        </w:rPr>
        <w:t>No Waiver; Cumulative Remedies; Enforcement</w:t>
      </w:r>
      <w:r>
        <w:rPr>
          <w:rFonts w:ascii="Times New Roman;sans-serif" w:hAnsi="Times New Roman;sans-serif"/>
          <w:b w:val="false"/>
          <w:color w:val="000000"/>
          <w:sz w:val="22"/>
        </w:rPr>
        <w:t>. No failure by any Lender, any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preclude any other or further exercise thereof or the exercise of any other right, remedy, power or privilege. The rights, remedies, powers and privileges herein provided , and provided under each other Loan Document, are cumulative and not exclusive of any rights, remedies, powers and privileges provided by law.</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480175" cy="367665"/>
                <wp:effectExtent l="0" t="0" r="0" b="0"/>
                <wp:wrapNone/>
                <wp:docPr id="339" name="Frame33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with such enforcement shall be instituted and maintained exclusively by, the Administrative Agent in accordance with </w:t>
      </w:r>
      <w:r>
        <w:rPr>
          <w:rFonts w:ascii="Times New Roman;sans-serif" w:hAnsi="Times New Roman;sans-serif"/>
          <w:b w:val="false"/>
          <w:color w:val="000000"/>
          <w:sz w:val="22"/>
          <w:u w:val="single"/>
        </w:rPr>
        <w:t>Section 8.02</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8.04</w:t>
      </w:r>
      <w:r>
        <w:rPr>
          <w:color w:val="000000"/>
        </w:rPr>
        <w:t xml:space="preserve"> </w:t>
      </w:r>
      <w:r>
        <w:rPr>
          <w:rFonts w:ascii="Times New Roman;sans-serif" w:hAnsi="Times New Roman;sans-serif"/>
          <w:b w:val="false"/>
          <w:color w:val="000000"/>
          <w:sz w:val="22"/>
        </w:rPr>
        <w:t xml:space="preserve">for the benefit of all the Lenders and the L/C Issuers; </w:t>
      </w:r>
      <w:r>
        <w:rPr>
          <w:rFonts w:ascii="Times New Roman;sans-serif" w:hAnsi="Times New Roman;sans-serif"/>
          <w:b w:val="false"/>
          <w:color w:val="000000"/>
          <w:sz w:val="22"/>
          <w:u w:val="single"/>
        </w:rPr>
        <w:t>provided, however</w:t>
      </w:r>
      <w:r>
        <w:rPr>
          <w:rFonts w:ascii="Times New Roman;sans-serif" w:hAnsi="Times New Roman;sans-serif"/>
          <w:b w:val="false"/>
          <w:color w:val="000000"/>
          <w:sz w:val="22"/>
        </w:rPr>
        <w:t xml:space="preserve">, that the foregoing shall not prohibit (a) the Administrative Agent from exercising on its own behalf the rights and remedies that inure to its benefit (solely in its capacity as Administrative Agent) hereunder and under the other Loan Documents, (b) any L/C Issuer from exercising the rights and remedies that inure to its benefit (solely in its capacity as L/C Issuer) hereunder and under the other Loan Documents, (c) Bank of America as the New Vehicle Floorplan Swing Line Lender or the Used Vehicle Floorplan Swing Line Lender from exercising the rights and remedies that inure to its benefit (solely in its capacity as Swing Line Lender) hereunder and under the other Loan Documents, (d) any Lender from exercising setoff rights in accordance with </w:t>
      </w:r>
      <w:r>
        <w:rPr>
          <w:rFonts w:ascii="Times New Roman;sans-serif" w:hAnsi="Times New Roman;sans-serif"/>
          <w:b w:val="false"/>
          <w:color w:val="000000"/>
          <w:sz w:val="22"/>
          <w:u w:val="single"/>
        </w:rPr>
        <w:t>Section 10.08</w:t>
      </w:r>
      <w:r>
        <w:rPr>
          <w:color w:val="000000"/>
        </w:rPr>
        <w:t xml:space="preserve"> </w:t>
      </w:r>
      <w:r>
        <w:rPr>
          <w:rFonts w:ascii="Times New Roman;sans-serif" w:hAnsi="Times New Roman;sans-serif"/>
          <w:b w:val="false"/>
          <w:color w:val="000000"/>
          <w:sz w:val="22"/>
        </w:rPr>
        <w:t xml:space="preserve">(subject to the terms of </w:t>
      </w:r>
      <w:r>
        <w:rPr>
          <w:rFonts w:ascii="Times New Roman;sans-serif" w:hAnsi="Times New Roman;sans-serif"/>
          <w:b w:val="false"/>
          <w:color w:val="000000"/>
          <w:sz w:val="22"/>
          <w:u w:val="single"/>
        </w:rPr>
        <w:t>Section 2.21</w:t>
      </w:r>
      <w:r>
        <w:rPr>
          <w:rFonts w:ascii="Times New Roman;sans-serif" w:hAnsi="Times New Roman;sans-serif"/>
          <w:b w:val="false"/>
          <w:color w:val="000000"/>
          <w:sz w:val="22"/>
        </w:rPr>
        <w:t xml:space="preserve">), or (e) any Lender from filing proofs of claim or appearing and filing pleadings on its own behalf during the pendency of a proceeding relative to any Loan Party under any Debtor Relief Law; and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sans-serif" w:hAnsi="Times New Roman;sans-serif"/>
          <w:b w:val="false"/>
          <w:color w:val="000000"/>
          <w:sz w:val="22"/>
          <w:u w:val="single"/>
        </w:rPr>
        <w:t>Section 8.02</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8.04</w:t>
      </w:r>
      <w:r>
        <w:rPr>
          <w:color w:val="000000"/>
        </w:rPr>
        <w:t xml:space="preserve"> </w:t>
      </w:r>
      <w:r>
        <w:rPr>
          <w:rFonts w:ascii="Times New Roman;sans-serif" w:hAnsi="Times New Roman;sans-serif"/>
          <w:b w:val="false"/>
          <w:color w:val="000000"/>
          <w:sz w:val="22"/>
        </w:rPr>
        <w:t xml:space="preserve">and (ii) in addition to the matters set forth in clauses (b), (c), (d) and (e) of the preceding proviso and subject to </w:t>
      </w:r>
      <w:r>
        <w:rPr>
          <w:rFonts w:ascii="Times New Roman;sans-serif" w:hAnsi="Times New Roman;sans-serif"/>
          <w:b w:val="false"/>
          <w:color w:val="000000"/>
          <w:sz w:val="22"/>
          <w:u w:val="single"/>
        </w:rPr>
        <w:t>Section 2.21</w:t>
      </w:r>
      <w:r>
        <w:rPr>
          <w:rFonts w:ascii="Times New Roman;sans-serif" w:hAnsi="Times New Roman;sans-serif"/>
          <w:b w:val="false"/>
          <w:color w:val="000000"/>
          <w:sz w:val="22"/>
        </w:rPr>
        <w:t>, any Lender may, with the consent of the Required Lenders, enforce any rights and remedies available to it and as authorized by the Required Lenders.</w:t>
      </w:r>
    </w:p>
    <w:p>
      <w:pPr>
        <w:pStyle w:val="TextBody"/>
        <w:bidi w:val="0"/>
        <w:spacing w:lineRule="auto" w:line="240" w:before="0" w:after="240"/>
        <w:ind w:left="0" w:right="0" w:hanging="720"/>
        <w:jc w:val="both"/>
        <w:rPr/>
      </w:pPr>
      <w:r>
        <w:rPr>
          <w:rFonts w:ascii="Times New Roman;sans-serif" w:hAnsi="Times New Roman;sans-serif"/>
          <w:b/>
          <w:color w:val="000000"/>
          <w:sz w:val="22"/>
        </w:rPr>
        <w:t>10.04Expenses; Indemnity; Damage Waiver</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Costs and Expenses</w:t>
      </w:r>
      <w:r>
        <w:rPr>
          <w:rFonts w:ascii="Times New Roman;sans-serif" w:hAnsi="Times New Roman;sans-serif"/>
          <w:b w:val="false"/>
          <w:color w:val="000000"/>
          <w:sz w:val="22"/>
        </w:rPr>
        <w:t>. The Company and each Borrower (jointly and severally) shall pay (i) all reasonable out-of-pocket expenses incurred by the Administrative Agent and its Affiliates (including the reasonable fees, charges and disbursements of one law firm acting as outside counsel for the Administrative Agent and one law firm acting as local counsel in each jurisdiction where necessary),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any L/C Issuer in connection with the issuance, amendment, reinstatement or renewal or extension of any Letter of Credit or any demand for payment thereunder and (iii) all out-of-pocket expenses incurred by the Administrative Agent, any Lender or any L/C Issuer (including the fees, charges and disbursements of any counsel for the Administrative Agent, any Lender or any L/C Issuer), in connection with the enforcement or protection of its rights (A) in connection with this Agreement and the other Loan Documents, including its rights under this Section, or (B) in connection with the Loans made or Letters of Credit issued hereunder, including all such out of pocket expenses incurred during any workout, restructuring or negotiations in respect of such Loans or Letters of Credit.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Indemnification by the Borrowers</w:t>
      </w:r>
      <w:r>
        <w:rPr>
          <w:rFonts w:ascii="Times New Roman;sans-serif" w:hAnsi="Times New Roman;sans-serif"/>
          <w:b w:val="false"/>
          <w:color w:val="000000"/>
          <w:sz w:val="22"/>
        </w:rPr>
        <w:t>. The Company and each Borrower (jointly and severally) shall indemnify the Administrative Agent (and any sub-agent thereof), the Arranger, each Lender and each L/C Issuer, and each Related Party of any of the foregoing Persons (each such Person being called an “</w:t>
      </w:r>
      <w:r>
        <w:rPr>
          <w:rFonts w:ascii="Times New Roman;sans-serif" w:hAnsi="Times New Roman;sans-serif"/>
          <w:b w:val="false"/>
          <w:color w:val="000000"/>
          <w:sz w:val="22"/>
          <w:u w:val="single"/>
        </w:rPr>
        <w:t>Indemnitee</w:t>
      </w:r>
      <w:r>
        <w:rPr>
          <w:color w:val="000000"/>
        </w:rPr>
        <w:t>”</w:t>
      </w:r>
      <w:r>
        <w:rPr>
          <w:rFonts w:ascii="Times New Roman;sans-serif" w:hAnsi="Times New Roman;sans-serif"/>
          <w:b w:val="false"/>
          <w:color w:val="000000"/>
          <w:sz w:val="22"/>
        </w:rPr>
        <w:t xml:space="preserve">) against, and hold each Indemnitee harmless from, any and all losses, claims, damages, liabilities and related expenses (but limited, in the case of legal fees and expenses, to the reasonable and documented fees, disbursements and other charges of (i) one counsel for the Administrative Agent and Bank of America, as Arranger, taken together, (ii) one counsel for the Lenders and the L/C Issuers, taken together, (iii) if the Administrative Agent deems it necessary, one local counsel in each relevant jurisdiction, and (iv) in the case of any actual or perceived conflict of interest with respect to any of the counsel identified in clauses (i) through (iii) above, one additional counsel for each group of affected persons similarly situated, taken as a whole (which in the case of clause (iii) will, if the Administrative Agent deems it necessary, allow for up to one additional counsel in each relevant jurisdiction)), incurred by any Indemnitee or asserted against any Indemnitee by any third party or by the Company or any other Loan Party arising out of, in connection with, or as a result of (i) the execution or delivery of this Agreement, any other Loan Document or any agreement or instrument contemplated hereby or thereby (including, without limitation, the Indemnitee’s reliance on any Communication executed using an Electronic Signature, or in the form of an Electronic Record), the performance by the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480175" cy="367665"/>
                <wp:effectExtent l="0" t="0" r="0" b="0"/>
                <wp:wrapNone/>
                <wp:docPr id="340" name="Frame33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167</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parties hereto of their respective obligations hereunder or thereunder,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Times New Roman;sans-serif" w:hAnsi="Times New Roman;sans-serif"/>
          <w:b w:val="false"/>
          <w:color w:val="000000"/>
          <w:sz w:val="22"/>
          <w:u w:val="single"/>
        </w:rPr>
        <w:t>Section 3.01</w:t>
      </w:r>
      <w:r>
        <w:rPr>
          <w:rFonts w:ascii="Times New Roman;sans-serif" w:hAnsi="Times New Roman;sans-serif"/>
          <w:b w:val="false"/>
          <w:color w:val="000000"/>
          <w:sz w:val="22"/>
        </w:rPr>
        <w:t xml:space="preserve">), (ii) any Commitment, Loan or Letter of Credit or the use or proposed use of the proceeds therefrom (including any refusal by the applicable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Company, any Borrower or any of its Subsidiaries, or any Environmental Liability related in any way to the Company, any Borrower or any of its Subsidiaries, or (iv) any actual or prospective claim, litigation, investigation or proceeding relating to any of the foregoing, whether based on contract, tort or any other theory, whether brought by a third party or by the Company or any other Loan Party, and regardless of whether any Indemnitee is a party thereto;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(y) result from a claim brought by the Company or any other Loan Party against an Indemnitee for breach in bad faith of such Indemnitee’s obligations hereunder or under any other Loan Document, if the Company or such other Loan Party has obtained a final and nonappealable judgment in its favor on such claim as determined by a court of competent jurisdiction, or (z) arise out of a dispute solely between or among Indemnitees that does not involve an act or omission by any Loan Party or any Loan Party’s Affiliates, other than any action, suit, proceeding or claim against any Indemnitee in its capacity or in fulfilling its role as an agent, arranger, L/C issuer, swing lender or similar role under hereunder or under any other Loan Document. Without limiting the provisions of </w:t>
      </w:r>
      <w:r>
        <w:rPr>
          <w:rFonts w:ascii="Times New Roman;sans-serif" w:hAnsi="Times New Roman;sans-serif"/>
          <w:b w:val="false"/>
          <w:color w:val="000000"/>
          <w:sz w:val="22"/>
          <w:u w:val="single"/>
        </w:rPr>
        <w:t>Section 3.01(c)</w:t>
      </w:r>
      <w:r>
        <w:rPr>
          <w:rFonts w:ascii="Times New Roman;sans-serif" w:hAnsi="Times New Roman;sans-serif"/>
          <w:b w:val="false"/>
          <w:color w:val="000000"/>
          <w:sz w:val="22"/>
        </w:rPr>
        <w:t xml:space="preserve">, this </w:t>
      </w:r>
      <w:r>
        <w:rPr>
          <w:rFonts w:ascii="Times New Roman;sans-serif" w:hAnsi="Times New Roman;sans-serif"/>
          <w:b w:val="false"/>
          <w:color w:val="000000"/>
          <w:sz w:val="22"/>
          <w:u w:val="single"/>
        </w:rPr>
        <w:t>Section 10.04(b)</w:t>
      </w:r>
      <w:r>
        <w:rPr>
          <w:color w:val="000000"/>
        </w:rPr>
        <w:t xml:space="preserve"> </w:t>
      </w:r>
      <w:r>
        <w:rPr>
          <w:rFonts w:ascii="Times New Roman;sans-serif" w:hAnsi="Times New Roman;sans-serif"/>
          <w:b w:val="false"/>
          <w:color w:val="000000"/>
          <w:sz w:val="22"/>
        </w:rPr>
        <w:t>shall not apply with respect to Taxes other than any Taxes that represent losses, claims, damages, etc. arising from any non-Tax claim.</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Reimbursement by Lenders</w:t>
      </w:r>
      <w:r>
        <w:rPr>
          <w:rFonts w:ascii="Times New Roman;sans-serif" w:hAnsi="Times New Roman;sans-serif"/>
          <w:b w:val="false"/>
          <w:color w:val="000000"/>
          <w:sz w:val="22"/>
        </w:rPr>
        <w:t xml:space="preserve">. To the extent that the Company or any Borrower for any reason fails to indefeasibly pay any amount required under subsection (a) or (b) of this Section to be paid by it to the Administrative Agent (or any sub-agent thereof), any L/C Issuer, any Swing Line Lender or any Related Party of any of the foregoing, each Lender severally agrees to pay to the Administrative Agent (or any such sub-agent), such L/C Issuer, such Swing Line Lender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of such unpaid amount,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unreimbursed expense or indemnified loss, claim, damage, liability or related expense, as the case may be, was incurred by or asserted against the Administrative Agent (or any such sub-agent) or such L/C Issuer or such Swing Line Lender in its capacity as such, or against any Related Party of any of the foregoing acting for the Administrative Agent (or any such sub-agent) or such L/C Issuer or such Swing Line Lender in connection with such capacity. The obligations of the Lenders under this subsection (c) are subject to the provisions of </w:t>
      </w:r>
      <w:r>
        <w:rPr>
          <w:rFonts w:ascii="Times New Roman;sans-serif" w:hAnsi="Times New Roman;sans-serif"/>
          <w:b w:val="false"/>
          <w:color w:val="000000"/>
          <w:sz w:val="22"/>
          <w:u w:val="single"/>
        </w:rPr>
        <w:t>Section 2.20(d)</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Waiver of Consequential Damages, Etc.</w:t>
      </w:r>
      <w:r>
        <w:rPr>
          <w:color w:val="000000"/>
        </w:rPr>
        <w:t xml:space="preserve"> </w:t>
      </w:r>
      <w:r>
        <w:rPr>
          <w:rFonts w:ascii="Times New Roman;sans-serif" w:hAnsi="Times New Roman;sans-serif"/>
          <w:b w:val="false"/>
          <w:color w:val="000000"/>
          <w:sz w:val="22"/>
        </w:rPr>
        <w:t>To the fullest extent permitted by applicable law, neither the Company nor any Borrower shall assert, and each of the Company and each Borrower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subsection (b)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480175" cy="367665"/>
                <wp:effectExtent l="0" t="0" r="0" b="0"/>
                <wp:wrapNone/>
                <wp:docPr id="341" name="Frame33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168</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Payments</w:t>
      </w:r>
      <w:r>
        <w:rPr>
          <w:rFonts w:ascii="Times New Roman;sans-serif" w:hAnsi="Times New Roman;sans-serif"/>
          <w:b w:val="false"/>
          <w:color w:val="000000"/>
          <w:sz w:val="22"/>
        </w:rPr>
        <w:t>. All amounts due under this Section shall be payable not later than ten Business Days after demand therefor.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Survival</w:t>
      </w:r>
      <w:r>
        <w:rPr>
          <w:rFonts w:ascii="Times New Roman;sans-serif" w:hAnsi="Times New Roman;sans-serif"/>
          <w:b w:val="false"/>
          <w:color w:val="000000"/>
          <w:sz w:val="22"/>
        </w:rPr>
        <w:t xml:space="preserve">. The agreements in this Section and the indemnity provisions of </w:t>
      </w:r>
      <w:r>
        <w:rPr>
          <w:rFonts w:ascii="Times New Roman;sans-serif" w:hAnsi="Times New Roman;sans-serif"/>
          <w:b w:val="false"/>
          <w:color w:val="000000"/>
          <w:sz w:val="22"/>
          <w:u w:val="single"/>
        </w:rPr>
        <w:t>Section 10.02(e)</w:t>
      </w:r>
      <w:r>
        <w:rPr>
          <w:color w:val="000000"/>
        </w:rPr>
        <w:t xml:space="preserve"> </w:t>
      </w:r>
      <w:r>
        <w:rPr>
          <w:rFonts w:ascii="Times New Roman;sans-serif" w:hAnsi="Times New Roman;sans-serif"/>
          <w:b w:val="false"/>
          <w:color w:val="000000"/>
          <w:sz w:val="22"/>
        </w:rPr>
        <w:t>shall survive the resignation of the Administrative Agent, any L/C Issuer, Bank of America as the Revolving Swing Line Lender, the Used Vehicle Floorplan Swing Line Lender and the Used Vehicle Floorplan Swing Line Lender, the replacement of any Lender, the termination of the Aggregate Commitments and the repayment, satisfaction or discharge of all the other Obligations.</w:t>
      </w:r>
    </w:p>
    <w:p>
      <w:pPr>
        <w:pStyle w:val="TextBody"/>
        <w:bidi w:val="0"/>
        <w:spacing w:lineRule="auto" w:line="240" w:before="0" w:after="240"/>
        <w:ind w:left="0" w:right="0" w:firstLine="720"/>
        <w:jc w:val="both"/>
        <w:rPr/>
      </w:pPr>
      <w:r>
        <w:rPr>
          <w:rFonts w:ascii="Times New Roman;sans-serif" w:hAnsi="Times New Roman;sans-serif"/>
          <w:b/>
          <w:color w:val="000000"/>
          <w:sz w:val="22"/>
        </w:rPr>
        <w:t>10.05</w:t>
      </w:r>
      <w:r>
        <w:rPr>
          <w:rFonts w:ascii="Times New Roman;sans-serif" w:hAnsi="Times New Roman;sans-serif"/>
          <w:b/>
          <w:color w:val="000000"/>
          <w:sz w:val="22"/>
        </w:rPr>
        <w:t>Payments Set Aside</w:t>
      </w:r>
      <w:r>
        <w:rPr>
          <w:rFonts w:ascii="Times New Roman;sans-serif" w:hAnsi="Times New Roman;sans-serif"/>
          <w:b w:val="false"/>
          <w:color w:val="000000"/>
          <w:sz w:val="22"/>
        </w:rPr>
        <w:t xml:space="preserve">. To the extent that any payment by or on behalf of the Company or any Borrower is made to the Administrative Agent, any L/C Issuer or any Lender, or the Administrative Agent, any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L/C Issuer severally agrees to pay to the Administrative Agent upon demand its applicable share (without duplication) of any amount so recovered from or repaid by the Administrative Agent,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interest thereon from the date of such demand to the date such payment is made at a rate per annum equal to the Federal Funds Rate from time to time in effect. The obligations of the Lenders and the L/C Issuers under clause (b) of the preceding sentence shall survive the payment in full of the Obligations and the termination of this Agreement.</w:t>
      </w:r>
    </w:p>
    <w:p>
      <w:pPr>
        <w:pStyle w:val="TextBody"/>
        <w:bidi w:val="0"/>
        <w:spacing w:lineRule="auto" w:line="240" w:before="0" w:after="240"/>
        <w:ind w:left="0" w:right="0" w:firstLine="720"/>
        <w:jc w:val="both"/>
        <w:rPr/>
      </w:pPr>
      <w:r>
        <w:rPr>
          <w:rFonts w:ascii="Times New Roman;sans-serif" w:hAnsi="Times New Roman;sans-serif"/>
          <w:b/>
          <w:color w:val="000000"/>
          <w:sz w:val="22"/>
        </w:rPr>
        <w:t>10.06</w:t>
      </w:r>
      <w:r>
        <w:rPr>
          <w:rFonts w:ascii="Times New Roman;sans-serif" w:hAnsi="Times New Roman;sans-serif"/>
          <w:b/>
          <w:color w:val="000000"/>
          <w:sz w:val="22"/>
        </w:rPr>
        <w:t>Successors and Assigns</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Successors and Assigns Generally</w:t>
      </w:r>
      <w:r>
        <w:rPr>
          <w:rFonts w:ascii="Times New Roman;sans-serif" w:hAnsi="Times New Roman;sans-serif"/>
          <w:b w:val="false"/>
          <w:color w:val="000000"/>
          <w:sz w:val="22"/>
        </w:rPr>
        <w:t>. The provisions of this Agreement shall be binding upon and inure to the benefit of the parties hereto and their respective successors and assigns permitted hereby, except that neither the Company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the L/C Issuers and the Lenders) any legal or equitable right, remedy or claim under or by reason of this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Assignments by Lenders</w:t>
      </w:r>
      <w:r>
        <w:rPr>
          <w:rFonts w:ascii="Times New Roman;sans-serif" w:hAnsi="Times New Roman;sans-serif"/>
          <w:b w:val="false"/>
          <w:color w:val="000000"/>
          <w:sz w:val="22"/>
        </w:rPr>
        <w:t xml:space="preserve">. Any Lender may at any time assign to one or more Eligible Assignees all or a portion of its rights and obligations under this Agreement (including all or a portion of its Revolving Commitment and the Revolving Loans at the time owing to it (including for purposes of this subsection (b), participations in L/C Obligations and in Revolving Swing Line Loans) or its New Vehicle Floorplan Commitment and the New Vehicle Floorplan Loans at the time owing to it (including for purposes of this subsection (b), participations in New Vehicle Floorplan Swing Line Loans), or its Used Vehicle Floorplan Commitment and the Used Vehicle Floorplan Loans at the time owing to it (including for purposes of this subsection (b), participations in Used Vehicle Floorplan Swing Line Loans) (such Lender’s portion of Loans, Commitments and risk participations with respect to an Applicable Facility being referred to in this </w:t>
      </w:r>
      <w:r>
        <w:rPr>
          <w:rFonts w:ascii="Times New Roman;sans-serif" w:hAnsi="Times New Roman;sans-serif"/>
          <w:b w:val="false"/>
          <w:color w:val="000000"/>
          <w:sz w:val="22"/>
          <w:u w:val="single"/>
        </w:rPr>
        <w:t>Section 10.06</w:t>
      </w:r>
      <w:r>
        <w:rPr>
          <w:color w:val="000000"/>
        </w:rPr>
        <w:t xml:space="preserve"> </w:t>
      </w:r>
      <w:r>
        <w:rPr>
          <w:rFonts w:ascii="Times New Roman;sans-serif" w:hAnsi="Times New Roman;sans-serif"/>
          <w:b w:val="false"/>
          <w:color w:val="000000"/>
          <w:sz w:val="22"/>
        </w:rPr>
        <w:t>as its “</w:t>
      </w:r>
      <w:r>
        <w:rPr>
          <w:rFonts w:ascii="Times New Roman;sans-serif" w:hAnsi="Times New Roman;sans-serif"/>
          <w:b w:val="false"/>
          <w:color w:val="000000"/>
          <w:sz w:val="22"/>
          <w:u w:val="single"/>
        </w:rPr>
        <w:t>Applicable Share</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such assignment shall be subject to the following conditions: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(i)Minimum Amounts.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(A)in the case of an assignment of the entire remaining amount of the assigning Lender’s Commitment under any Applicable Facility and the Loans at the time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480175" cy="367665"/>
                <wp:effectExtent l="0" t="0" r="0" b="0"/>
                <wp:wrapNone/>
                <wp:docPr id="342" name="Frame33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169</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owing to it under such Applicable Facility or in the case of an assignment to a Lender, an Affiliate of a Lender or an Approved Fund, no minimum amount need be assigned;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(B)in any case not described in subsection (b)(i)(A)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Company otherwise consents (each such consent not to be unreasonably withheld or delayed); </w:t>
      </w:r>
      <w:r>
        <w:rPr>
          <w:rFonts w:ascii="Times New Roman;sans-serif" w:hAnsi="Times New Roman;sans-serif"/>
          <w:b w:val="false"/>
          <w:color w:val="000000"/>
          <w:sz w:val="22"/>
          <w:u w:val="single"/>
        </w:rPr>
        <w:t>provided, however</w:t>
      </w:r>
      <w:r>
        <w:rPr>
          <w:rFonts w:ascii="Times New Roman;sans-serif" w:hAnsi="Times New Roman;sans-serif"/>
          <w:b w:val="false"/>
          <w:color w:val="000000"/>
          <w:sz w:val="22"/>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Proportionate Amounts</w:t>
      </w:r>
      <w:r>
        <w:rPr>
          <w:rFonts w:ascii="Times New Roman;sans-serif" w:hAnsi="Times New Roman;sans-serif"/>
          <w:b w:val="false"/>
          <w:color w:val="000000"/>
          <w:sz w:val="22"/>
        </w:rPr>
        <w:t xml:space="preserve">. Each partial assignment shall be made as an assignment of a proportionate part of all the assigning Lender’s rights and obligations under this Agreement with respect to the Loans and Commitments assigned (i.e. if a Lender assigns 25% of its Revolving Facility Commitment, such Lender must also simultaneously assign 25% of its New Vehicle Floorplan Commitment and 25% of its Used Vehicle Floorplan Commitment); and each assignment (whether partial or total) shall be allocated on a pro rata basis among the assigning Lender’s Loans and Commitments under each of the Facilities; except that this clause (ii) shall not apply to rights in respect of the Revolving Swing Line Lender’s, Used Vehicle Floorplan Swing Line Lender’s or New Vehicle Floorplan Swing Line Lender’s rights and obligations in respect of its applicable Swing Line Loans.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(iii)</w:t>
      </w:r>
      <w:r>
        <w:rPr>
          <w:rFonts w:ascii="Times New Roman;sans-serif" w:hAnsi="Times New Roman;sans-serif"/>
          <w:b w:val="false"/>
          <w:color w:val="000000"/>
          <w:sz w:val="22"/>
          <w:u w:val="single"/>
        </w:rPr>
        <w:t>Required Consents</w:t>
      </w:r>
      <w:r>
        <w:rPr>
          <w:rFonts w:ascii="Times New Roman;sans-serif" w:hAnsi="Times New Roman;sans-serif"/>
          <w:b w:val="false"/>
          <w:color w:val="000000"/>
          <w:sz w:val="22"/>
        </w:rPr>
        <w:t>. No consent shall be required for any assignment except to the extent required by subsection (b)(i)(B) of this Section and, in addition: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(A)the consent of the Company (such consent not to be unreasonably withheld or delayed) shall be required unless (1) an Event of Default has occurred and is continuing at the time of such assignment or (2) such assignment is to a Lender, an Affiliate of a Lender or an Approved Fund;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Company shall be deemed to have consented to any such assignment unless it shall object thereto by written notice to the Administrative Agent within ten (10) Business Days after having received notice thereof;</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(B)the consent of the Administrative Agent (such consent not to be unreasonably withheld or delayed) shall be required if such assignment is to a Person that is not a Lender, an Affiliate of such Lender or an Approved Fund with respect to such Lender;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(C)the consent of the L/C Issuers (such consent not to be unreasonably withheld or delayed) shall be required for any assignment that increases the obligation of the assignee to participate in exposure under one or more Letters of Credit (whether or not then outstanding); and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(D)the consent of the applicable Swing Line Lender (such consent not to be unreasonably withheld or delayed) shall be required for any assignment in respect of any Applicable Facility.</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(iv)</w:t>
      </w:r>
      <w:r>
        <w:rPr>
          <w:rFonts w:ascii="Times New Roman;sans-serif" w:hAnsi="Times New Roman;sans-serif"/>
          <w:b w:val="false"/>
          <w:color w:val="000000"/>
          <w:sz w:val="22"/>
          <w:u w:val="single"/>
        </w:rPr>
        <w:t>Assignment and Assumption</w:t>
      </w:r>
      <w:r>
        <w:rPr>
          <w:rFonts w:ascii="Times New Roman;sans-serif" w:hAnsi="Times New Roman;sans-serif"/>
          <w:b w:val="false"/>
          <w:color w:val="000000"/>
          <w:sz w:val="22"/>
        </w:rPr>
        <w:t xml:space="preserve">. The parties to each assignment shall execute and deliver to the Administrative Agent an Assignment and Assumption, together with a processing and recordation fee in the amount of $3,500; </w:t>
      </w:r>
      <w:r>
        <w:rPr>
          <w:rFonts w:ascii="Times New Roman;sans-serif" w:hAnsi="Times New Roman;sans-serif"/>
          <w:b w:val="false"/>
          <w:color w:val="000000"/>
          <w:sz w:val="22"/>
          <w:u w:val="single"/>
        </w:rPr>
        <w:t>provided, however</w:t>
      </w:r>
      <w:r>
        <w:rPr>
          <w:rFonts w:ascii="Times New Roman;sans-serif" w:hAnsi="Times New Roman;sans-serif"/>
          <w:b w:val="false"/>
          <w:color w:val="000000"/>
          <w:sz w:val="22"/>
        </w:rPr>
        <w:t xml:space="preserve">, that the Administrative Agent may, in its sole discretion, elect to waive such processing and recordation fee in the case of any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480175" cy="367665"/>
                <wp:effectExtent l="0" t="0" r="0" b="0"/>
                <wp:wrapNone/>
                <wp:docPr id="343" name="Frame33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170</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assignment. The assignee, if it is not a Lender, shall deliver to the Administrative Agent an Administrative Questionnaire.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(v)</w:t>
      </w:r>
      <w:r>
        <w:rPr>
          <w:rFonts w:ascii="Times New Roman;sans-serif" w:hAnsi="Times New Roman;sans-serif"/>
          <w:b w:val="false"/>
          <w:color w:val="000000"/>
          <w:sz w:val="22"/>
          <w:u w:val="single"/>
        </w:rPr>
        <w:t>No Assignment to Certain Persons</w:t>
      </w:r>
      <w:r>
        <w:rPr>
          <w:rFonts w:ascii="Times New Roman;sans-serif" w:hAnsi="Times New Roman;sans-serif"/>
          <w:b w:val="false"/>
          <w:color w:val="000000"/>
          <w:sz w:val="22"/>
        </w:rPr>
        <w:t>. No such assignment shall be made (A) to the Company or any of the Company’s Subsidiaries, (B) to any Defaulting Lender or any of its Subsidiaries, or (C) any competitor of the Company which has been identified in writing by the Company in a document that has been posted on a site maintained by the Administrative Agent and available to all of the Lenders prior to assignor’s and assignee’s execution of the applicable Assignment and Assumption (any such Person, a “</w:t>
      </w:r>
      <w:r>
        <w:rPr>
          <w:rFonts w:ascii="Times New Roman;sans-serif" w:hAnsi="Times New Roman;sans-serif"/>
          <w:b w:val="false"/>
          <w:color w:val="000000"/>
          <w:sz w:val="22"/>
          <w:u w:val="single"/>
        </w:rPr>
        <w:t>Competitor</w:t>
      </w:r>
      <w:r>
        <w:rPr>
          <w:color w:val="000000"/>
        </w:rPr>
        <w:t>”</w:t>
      </w:r>
      <w:r>
        <w:rPr>
          <w:rFonts w:ascii="Times New Roman;sans-serif" w:hAnsi="Times New Roman;sans-serif"/>
          <w:b w:val="false"/>
          <w:color w:val="000000"/>
          <w:sz w:val="22"/>
        </w:rPr>
        <w:t xml:space="preserve">), or any Person who, upon becoming a Lender hereunder, would constitute any of the foregoing Persons described in this clause (B), or (C) to a natural person (or a holding company investment vehicle or trust for, or owned and operated for the primary benefit of a natural person). The Administrative Agent shall have no responsibility for determining whether any assignee is a Competitor.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(vi)</w:t>
      </w:r>
      <w:r>
        <w:rPr>
          <w:rFonts w:ascii="Times New Roman;sans-serif" w:hAnsi="Times New Roman;sans-serif"/>
          <w:b w:val="false"/>
          <w:color w:val="000000"/>
          <w:sz w:val="22"/>
          <w:u w:val="single"/>
        </w:rPr>
        <w:t>Representation Regarding Competitors</w:t>
      </w:r>
      <w:r>
        <w:rPr>
          <w:rFonts w:ascii="Times New Roman;sans-serif" w:hAnsi="Times New Roman;sans-serif"/>
          <w:b w:val="false"/>
          <w:color w:val="000000"/>
          <w:sz w:val="22"/>
        </w:rPr>
        <w:t xml:space="preserve">. The Assignment and Assumption shall contain a representation and warranty (A) from the assignor that the assignee is not a Competitor and (B) from the assignee that it is not primarily engaged in the business of owning or operating automobile dealerships.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(vii)</w:t>
      </w:r>
      <w:r>
        <w:rPr>
          <w:rFonts w:ascii="Times New Roman;sans-serif" w:hAnsi="Times New Roman;sans-serif"/>
          <w:b w:val="false"/>
          <w:color w:val="000000"/>
          <w:sz w:val="22"/>
          <w:u w:val="single"/>
        </w:rPr>
        <w:t>Certain Additional Payments</w:t>
      </w:r>
      <w:r>
        <w:rPr>
          <w:rFonts w:ascii="Times New Roman;sans-serif" w:hAnsi="Times New Roman;sans-serif"/>
          <w:b w:val="false"/>
          <w:color w:val="000000"/>
          <w:sz w:val="22"/>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any L//C Issuer or 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Subject to acceptance and recording thereof by the Administrative Agent pursuant to subsection (c) of this Section,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sans-serif" w:hAnsi="Times New Roman;sans-serif"/>
          <w:b w:val="false"/>
          <w:color w:val="000000"/>
          <w:sz w:val="22"/>
          <w:u w:val="single"/>
        </w:rPr>
        <w:t>Sections 3.01</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3.04</w:t>
      </w:r>
      <w:r>
        <w:rPr>
          <w:rFonts w:ascii="Times New Roman;sans-serif" w:hAnsi="Times New Roman;sans-serif"/>
          <w:b w:val="false"/>
          <w:color w:val="000000"/>
          <w:sz w:val="22"/>
        </w:rPr>
        <w:t xml:space="preserve">, and </w:t>
      </w:r>
      <w:r>
        <w:rPr>
          <w:rFonts w:ascii="Times New Roman;sans-serif" w:hAnsi="Times New Roman;sans-serif"/>
          <w:b w:val="false"/>
          <w:color w:val="000000"/>
          <w:sz w:val="22"/>
          <w:u w:val="single"/>
        </w:rPr>
        <w:t>10.04</w:t>
      </w:r>
      <w:r>
        <w:rPr>
          <w:color w:val="000000"/>
        </w:rPr>
        <w:t xml:space="preserve"> </w:t>
      </w:r>
      <w:r>
        <w:rPr>
          <w:rFonts w:ascii="Times New Roman;sans-serif" w:hAnsi="Times New Roman;sans-serif"/>
          <w:b w:val="false"/>
          <w:color w:val="000000"/>
          <w:sz w:val="22"/>
        </w:rPr>
        <w:t xml:space="preserve">with respect to facts and circumstances occurring prior to the effective date of such assignment;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except to the extent otherwise expressly agreed by the affected parties, no assignment by a Defaulting Lender will constitute a waiver or release of any claim of any party hereunder arising from that Lender’s having been a Defaulting Lender. Upon request, each Borrower (at its expense) shall execute and deliver a Revolving Note, New Vehicle Floorplan Note and Used Vehicle Floorplan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480175" cy="367665"/>
                <wp:effectExtent l="0" t="0" r="0" b="0"/>
                <wp:wrapNone/>
                <wp:docPr id="344" name="Frame33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171</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Register</w:t>
      </w:r>
      <w:r>
        <w:rPr>
          <w:rFonts w:ascii="Times New Roman;sans-serif" w:hAnsi="Times New Roman;sans-serif"/>
          <w:b w:val="false"/>
          <w:color w:val="000000"/>
          <w:sz w:val="22"/>
        </w:rPr>
        <w:t>. The Administrative Agent, acting solely for this purpose as an agent of the Company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Times New Roman;sans-serif" w:hAnsi="Times New Roman;sans-serif"/>
          <w:b w:val="false"/>
          <w:color w:val="000000"/>
          <w:sz w:val="22"/>
          <w:u w:val="single"/>
        </w:rPr>
        <w:t>Register</w:t>
      </w:r>
      <w:r>
        <w:rPr>
          <w:color w:val="000000"/>
        </w:rPr>
        <w:t>”</w:t>
      </w:r>
      <w:r>
        <w:rPr>
          <w:rFonts w:ascii="Times New Roman;sans-serif" w:hAnsi="Times New Roman;sans-serif"/>
          <w:b w:val="false"/>
          <w:color w:val="000000"/>
          <w:sz w:val="22"/>
        </w:rPr>
        <w:t>). The entries in the Register shall be conclusive absent manifest error, and the Company, the Administrative Agent and the Lenders shall treat each Person whose name is recorded in the Register pursuant to the terms hereof as a Lender hereunder for all purposes of this Agreement. In addition, the Administrative Agent shall maintain on the Register information regarding the designation, and revocation of designation, of any Lender as a Defaulting Lender. The Register shall be available for inspection by each of the Borrowers, any Lender and any L/C Issuer, at any reasonable time and from time to time upon reasonable prior notice.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Participations</w:t>
      </w:r>
      <w:r>
        <w:rPr>
          <w:rFonts w:ascii="Times New Roman;sans-serif" w:hAnsi="Times New Roman;sans-serif"/>
          <w:b w:val="false"/>
          <w:color w:val="000000"/>
          <w:sz w:val="22"/>
        </w:rPr>
        <w:t>. Any Lender may at any time, without the consent of, or notice to, the Company, any Borrower, the Revolving Swing Line Lender, the New Vehicle Floorplan Swing Line Lender, the Used Vehicle Floorplan Swing Line Lender, any L/C Issuer or the Administrative Agent, sell participations to any Person (other than (w) a Defaulting Lender, (x) a natural person or a holding company investment vehicle or trust for, or owned and operated for the primary benefit of a natural person, (y) the Company or any of the Company’s Affiliates or Subsidiaries or (z) any Competitor of the Company which has been identified in writing by the Company in a document that has been made available to all of the Lenders) (each, a “</w:t>
      </w:r>
      <w:r>
        <w:rPr>
          <w:rFonts w:ascii="Times New Roman;sans-serif" w:hAnsi="Times New Roman;sans-serif"/>
          <w:b w:val="false"/>
          <w:color w:val="000000"/>
          <w:sz w:val="22"/>
          <w:u w:val="single"/>
        </w:rPr>
        <w:t>Participant</w:t>
      </w:r>
      <w:r>
        <w:rPr>
          <w:color w:val="000000"/>
        </w:rPr>
        <w:t>”</w:t>
      </w:r>
      <w:r>
        <w:rPr>
          <w:rFonts w:ascii="Times New Roman;sans-serif" w:hAnsi="Times New Roman;sans-serif"/>
          <w:b w:val="false"/>
          <w:color w:val="000000"/>
          <w:sz w:val="22"/>
        </w:rPr>
        <w:t xml:space="preserve">) in all or a portion of such Lender’s rights and/or obligations under this Agreement (including all or a portion of its Commitment and/or the Loans (including such Lender’s participations in L/C Obligations, Revolving Swing Line Loans, New Vehicle Floorplan Swing Line Loans and/or Used Vehicle Floorplan Swing Line Loans) owing to it);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(i) such Lender’s obligations under this Agreement shall remain unchanged, (ii) such Lender shall remain solely responsible to the other parties hereto for the performance of such obligations and (iii) the Company, the Borrowers, the Administrative Agent, the Lenders and the L/C Issuers shall continue to deal solely and directly with such Lender in connection with such Lender’s rights and obligations under this Agreement. For the avoidance of doubt, each Lender shall be responsible for the indemnity under </w:t>
      </w:r>
      <w:r>
        <w:rPr>
          <w:rFonts w:ascii="Times New Roman;sans-serif" w:hAnsi="Times New Roman;sans-serif"/>
          <w:b w:val="false"/>
          <w:color w:val="000000"/>
          <w:sz w:val="22"/>
          <w:u w:val="single"/>
        </w:rPr>
        <w:t>Section 10.04(c)</w:t>
      </w:r>
      <w:r>
        <w:rPr>
          <w:color w:val="000000"/>
        </w:rPr>
        <w:t xml:space="preserve"> </w:t>
      </w:r>
      <w:r>
        <w:rPr>
          <w:rFonts w:ascii="Times New Roman;sans-serif" w:hAnsi="Times New Roman;sans-serif"/>
          <w:b w:val="false"/>
          <w:color w:val="000000"/>
          <w:sz w:val="22"/>
        </w:rPr>
        <w:t>without regard to the existence of any participation. The Administrative Agent shall have no responsibility for determining whether any Participant is a Competitor.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Any agreement or instrument pursuant to which a Lender sells such a participation shall provide that such Lender shall retain the sole right to enforce this Agreement and to approve any amendment, modification or waiver of any provision of this Agreement and shall contain a representation and warranty (A) from the Lender selling the participation that the prospective participant is not a Competitor and (B) from the prospective participant that it is not primarily engaged in the business of owning or operating automobile dealerships;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agreement or instrument may provide that such Lender will not, without the consent of the Participant, agree to any amendment, waiver or other modification described in the first proviso to </w:t>
      </w:r>
      <w:r>
        <w:rPr>
          <w:rFonts w:ascii="Times New Roman;sans-serif" w:hAnsi="Times New Roman;sans-serif"/>
          <w:b w:val="false"/>
          <w:color w:val="000000"/>
          <w:sz w:val="22"/>
          <w:u w:val="single"/>
        </w:rPr>
        <w:t>Section 10.01</w:t>
      </w:r>
      <w:r>
        <w:rPr>
          <w:color w:val="000000"/>
        </w:rPr>
        <w:t xml:space="preserve"> </w:t>
      </w:r>
      <w:r>
        <w:rPr>
          <w:rFonts w:ascii="Times New Roman;sans-serif" w:hAnsi="Times New Roman;sans-serif"/>
          <w:b w:val="false"/>
          <w:color w:val="000000"/>
          <w:sz w:val="22"/>
        </w:rPr>
        <w:t xml:space="preserve">that affects such Participant. Subject to subsection (e) of this Section, the Company agrees that each Participant shall be entitled to the benefits of </w:t>
      </w:r>
      <w:r>
        <w:rPr>
          <w:rFonts w:ascii="Times New Roman;sans-serif" w:hAnsi="Times New Roman;sans-serif"/>
          <w:b w:val="false"/>
          <w:color w:val="000000"/>
          <w:sz w:val="22"/>
          <w:u w:val="single"/>
        </w:rPr>
        <w:t>Sections 3.01</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3.04</w:t>
      </w:r>
      <w:r>
        <w:rPr>
          <w:color w:val="000000"/>
        </w:rPr>
        <w:t xml:space="preserve"> </w:t>
      </w:r>
      <w:r>
        <w:rPr>
          <w:rFonts w:ascii="Times New Roman;sans-serif" w:hAnsi="Times New Roman;sans-serif"/>
          <w:b w:val="false"/>
          <w:color w:val="000000"/>
          <w:sz w:val="22"/>
        </w:rPr>
        <w:t xml:space="preserve">to the same extent as if it were a Lender and had acquired its interest by assignment pursuant to subsection (b) of this Section (it being understood that the documentation required under </w:t>
      </w:r>
      <w:r>
        <w:rPr>
          <w:rFonts w:ascii="Times New Roman;sans-serif" w:hAnsi="Times New Roman;sans-serif"/>
          <w:b w:val="false"/>
          <w:color w:val="000000"/>
          <w:sz w:val="22"/>
          <w:u w:val="single"/>
        </w:rPr>
        <w:t>Section 3.01(e)</w:t>
      </w:r>
      <w:r>
        <w:rPr>
          <w:color w:val="000000"/>
        </w:rPr>
        <w:t xml:space="preserve"> </w:t>
      </w:r>
      <w:r>
        <w:rPr>
          <w:rFonts w:ascii="Times New Roman;sans-serif" w:hAnsi="Times New Roman;sans-serif"/>
          <w:b w:val="false"/>
          <w:color w:val="000000"/>
          <w:sz w:val="22"/>
        </w:rPr>
        <w:t xml:space="preserve">shall be delivered to the Lender who sells the participation) to the same extent as if it were a Lender and had acquired its interest by assignment pursuant to subsection (b) of this Section; provided that such Participant (A) agrees to be subject to the provisions of </w:t>
      </w:r>
      <w:r>
        <w:rPr>
          <w:rFonts w:ascii="Times New Roman;sans-serif" w:hAnsi="Times New Roman;sans-serif"/>
          <w:b w:val="false"/>
          <w:color w:val="000000"/>
          <w:sz w:val="22"/>
          <w:u w:val="single"/>
        </w:rPr>
        <w:t>Sections 3.05</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10.13</w:t>
      </w:r>
      <w:r>
        <w:rPr>
          <w:color w:val="000000"/>
        </w:rPr>
        <w:t xml:space="preserve"> </w:t>
      </w:r>
      <w:r>
        <w:rPr>
          <w:rFonts w:ascii="Times New Roman;sans-serif" w:hAnsi="Times New Roman;sans-serif"/>
          <w:b w:val="false"/>
          <w:color w:val="000000"/>
          <w:sz w:val="22"/>
        </w:rPr>
        <w:t xml:space="preserve">as if it were an assignee under subsection (b) of this Section and (B) shall not be entitled to receive any greater payment under </w:t>
      </w:r>
      <w:r>
        <w:rPr>
          <w:rFonts w:ascii="Times New Roman;sans-serif" w:hAnsi="Times New Roman;sans-serif"/>
          <w:b w:val="false"/>
          <w:color w:val="000000"/>
          <w:sz w:val="22"/>
          <w:u w:val="single"/>
        </w:rPr>
        <w:t>Sections 3.01</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3.04</w:t>
      </w:r>
      <w:r>
        <w:rPr>
          <w:rFonts w:ascii="Times New Roman;sans-serif" w:hAnsi="Times New Roman;sans-serif"/>
          <w:b w:val="false"/>
          <w:color w:val="000000"/>
          <w:sz w:val="22"/>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Borrowers to effectuate the provisions of </w:t>
      </w:r>
      <w:r>
        <w:rPr>
          <w:rFonts w:ascii="Times New Roman;sans-serif" w:hAnsi="Times New Roman;sans-serif"/>
          <w:b w:val="false"/>
          <w:color w:val="000000"/>
          <w:sz w:val="22"/>
          <w:u w:val="single"/>
        </w:rPr>
        <w:t>Section 3.05</w:t>
      </w:r>
      <w:r>
        <w:rPr>
          <w:color w:val="000000"/>
        </w:rPr>
        <w:t xml:space="preserve"> </w:t>
      </w:r>
      <w:r>
        <w:rPr>
          <w:rFonts w:ascii="Times New Roman;sans-serif" w:hAnsi="Times New Roman;sans-serif"/>
          <w:b w:val="false"/>
          <w:color w:val="000000"/>
          <w:sz w:val="22"/>
        </w:rPr>
        <w:t xml:space="preserve">with respect to any Participant. To the extent permitted by law, each Participant also shall be entitled to the benefits of </w:t>
      </w:r>
      <w:r>
        <w:rPr>
          <w:rFonts w:ascii="Times New Roman;sans-serif" w:hAnsi="Times New Roman;sans-serif"/>
          <w:b w:val="false"/>
          <w:color w:val="000000"/>
          <w:sz w:val="22"/>
          <w:u w:val="single"/>
        </w:rPr>
        <w:t>Section 10.08</w:t>
      </w:r>
      <w:r>
        <w:rPr>
          <w:color w:val="000000"/>
        </w:rPr>
        <w:t xml:space="preserve"> </w:t>
      </w:r>
      <w:r>
        <w:rPr>
          <w:rFonts w:ascii="Times New Roman;sans-serif" w:hAnsi="Times New Roman;sans-serif"/>
          <w:b w:val="false"/>
          <w:color w:val="000000"/>
          <w:sz w:val="22"/>
        </w:rPr>
        <w:t xml:space="preserve">as though it were a Lender; provided that such Participant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480175" cy="367665"/>
                <wp:effectExtent l="0" t="0" r="0" b="0"/>
                <wp:wrapNone/>
                <wp:docPr id="345" name="Frame34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agrees to be subject to </w:t>
      </w:r>
      <w:r>
        <w:rPr>
          <w:rFonts w:ascii="Times New Roman;sans-serif" w:hAnsi="Times New Roman;sans-serif"/>
          <w:b w:val="false"/>
          <w:color w:val="000000"/>
          <w:sz w:val="22"/>
          <w:u w:val="single"/>
        </w:rPr>
        <w:t>Section 2.21</w:t>
      </w:r>
      <w:r>
        <w:rPr>
          <w:color w:val="000000"/>
        </w:rPr>
        <w:t xml:space="preserve"> </w:t>
      </w:r>
      <w:r>
        <w:rPr>
          <w:rFonts w:ascii="Times New Roman;sans-serif" w:hAnsi="Times New Roman;sans-serif"/>
          <w:b w:val="false"/>
          <w:color w:val="000000"/>
          <w:sz w:val="22"/>
        </w:rPr>
        <w:t>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sans-serif" w:hAnsi="Times New Roman;sans-serif"/>
          <w:b w:val="false"/>
          <w:color w:val="000000"/>
          <w:sz w:val="22"/>
          <w:u w:val="single"/>
        </w:rPr>
        <w:t>Participant Register</w:t>
      </w:r>
      <w:r>
        <w:rPr>
          <w:color w:val="000000"/>
        </w:rPr>
        <w:t>”</w:t>
      </w:r>
      <w:r>
        <w:rPr>
          <w:rFonts w:ascii="Times New Roman;sans-serif" w:hAnsi="Times New Roman;sans-serif"/>
          <w:b w:val="false"/>
          <w:color w:val="000000"/>
          <w:sz w:val="22"/>
        </w:rPr>
        <w:t>);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Limitations upon Participant Rights</w:t>
      </w:r>
      <w:r>
        <w:rPr>
          <w:rFonts w:ascii="Times New Roman;sans-serif" w:hAnsi="Times New Roman;sans-serif"/>
          <w:b w:val="false"/>
          <w:color w:val="000000"/>
          <w:sz w:val="22"/>
        </w:rPr>
        <w:t xml:space="preserve">. A Participant shall not be entitled to receive any greater payment under </w:t>
      </w:r>
      <w:r>
        <w:rPr>
          <w:rFonts w:ascii="Times New Roman;sans-serif" w:hAnsi="Times New Roman;sans-serif"/>
          <w:b w:val="false"/>
          <w:color w:val="000000"/>
          <w:sz w:val="22"/>
          <w:u w:val="single"/>
        </w:rPr>
        <w:t>Section 3.01</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3.04</w:t>
      </w:r>
      <w:r>
        <w:rPr>
          <w:color w:val="000000"/>
        </w:rPr>
        <w:t xml:space="preserve"> </w:t>
      </w:r>
      <w:r>
        <w:rPr>
          <w:rFonts w:ascii="Times New Roman;sans-serif" w:hAnsi="Times New Roman;sans-serif"/>
          <w:b w:val="false"/>
          <w:color w:val="000000"/>
          <w:sz w:val="22"/>
        </w:rPr>
        <w:t xml:space="preserve">than the applicable Lender would have been entitled to receive with respect to the participation sold to such Participant, unless the sale of the participation to such Participant is made with the Company’s prior written consent. A Participant that would be a Foreign Lender if it were a Lender shall not be entitled to the benefits of </w:t>
      </w:r>
      <w:r>
        <w:rPr>
          <w:rFonts w:ascii="Times New Roman;sans-serif" w:hAnsi="Times New Roman;sans-serif"/>
          <w:b w:val="false"/>
          <w:color w:val="000000"/>
          <w:sz w:val="22"/>
          <w:u w:val="single"/>
        </w:rPr>
        <w:t>Section 3.01</w:t>
      </w:r>
      <w:r>
        <w:rPr>
          <w:color w:val="000000"/>
        </w:rPr>
        <w:t xml:space="preserve"> </w:t>
      </w:r>
      <w:r>
        <w:rPr>
          <w:rFonts w:ascii="Times New Roman;sans-serif" w:hAnsi="Times New Roman;sans-serif"/>
          <w:b w:val="false"/>
          <w:color w:val="000000"/>
          <w:sz w:val="22"/>
        </w:rPr>
        <w:t xml:space="preserve">unless the Company is notified of the participation sold to such Participant and such Participant agrees, for the benefit of the Company, to comply with </w:t>
      </w:r>
      <w:r>
        <w:rPr>
          <w:rFonts w:ascii="Times New Roman;sans-serif" w:hAnsi="Times New Roman;sans-serif"/>
          <w:b w:val="false"/>
          <w:color w:val="000000"/>
          <w:sz w:val="22"/>
          <w:u w:val="single"/>
        </w:rPr>
        <w:t>Section 3.01(e)</w:t>
      </w:r>
      <w:r>
        <w:rPr>
          <w:color w:val="000000"/>
        </w:rPr>
        <w:t xml:space="preserve"> </w:t>
      </w:r>
      <w:r>
        <w:rPr>
          <w:rFonts w:ascii="Times New Roman;sans-serif" w:hAnsi="Times New Roman;sans-serif"/>
          <w:b w:val="false"/>
          <w:color w:val="000000"/>
          <w:sz w:val="22"/>
        </w:rPr>
        <w:t>as though it were a Lender.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Certain Pledges</w:t>
      </w:r>
      <w:r>
        <w:rPr>
          <w:rFonts w:ascii="Times New Roman;sans-serif" w:hAnsi="Times New Roman;sans-serif"/>
          <w:b w:val="false"/>
          <w:color w:val="000000"/>
          <w:sz w:val="22"/>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such pledge or assignment shall release such Lender from any of its obligations hereunder or substitute any such pledgee or assignee for such Lender as a party 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 xml:space="preserve">Resignation as L/C Issuer, Revolving Swing Line Lender, New Vehicle Floorplan Swing Line Lender or Used Vehicle Floorplan Swing Line Lender after Assignment. Notwithstanding anything to the contrary contained herein, (i) if at any time Bank of America assigns all of its Commitment and Loans pursuant to subsection (b) above, Bank of America may, (A) upon 30 days’ notice to the Company and the Lenders, resign as an L/C Issuer and/or (B) upon 30 days’ notice to the Company, resign as Revolving Swing Line Lender and/or (C) upon 30 days’ notice to the Company, resign as New Vehicle Floorplan Swing Line Lender and/or (D) upon 30 days’ notice to the Company, resign as Used Vehicle Floorplan Swing Line Lender, and (ii) if any time any other L/C Issuer assigns all of its Commitment and Loans pursuant to subsection (b) above, such L/C Issuer may, upon 30 days’ notice to the Company and the Lenders, resign as an L/C Issuer. In the event of any such resignation as L/C Issuer, Revolving Swing Line Lender, New Vehicle Floorplan Swing Line Lender or Used Vehicle Floorplan Swing Line Lender, the Company shall be entitled to appoint from among the Lenders a successor L/C Issuer, Revolving Swing Line Lender, New Vehicle Floorplan Swing Line Lender or Used Vehicle Floorplan Swing Line Lender hereunder; </w:t>
      </w:r>
      <w:r>
        <w:rPr>
          <w:rFonts w:ascii="Times New Roman;sans-serif" w:hAnsi="Times New Roman;sans-serif"/>
          <w:b w:val="false"/>
          <w:color w:val="000000"/>
          <w:sz w:val="22"/>
          <w:u w:val="single"/>
        </w:rPr>
        <w:t>provided, however</w:t>
      </w:r>
      <w:r>
        <w:rPr>
          <w:rFonts w:ascii="Times New Roman;sans-serif" w:hAnsi="Times New Roman;sans-serif"/>
          <w:b w:val="false"/>
          <w:color w:val="000000"/>
          <w:sz w:val="22"/>
        </w:rPr>
        <w:t xml:space="preserve">, that no failure by the Company to appoint any such successor shall affect the resignation of Bank of America or any other Person as L/C Issuer, Revolving Swing Line Lender, New Vehicle Floorplan Swing Line Lender or Used Vehicle Floorplan Swing Line Lender, as the case may be. If Bank of America or any other Person resigns as L/C Issuer, it shall retain all the rights, powers, privileges and duties of an L/C Issuer hereunder with respect to all Letters of Credit outstanding as of the effective date of its resignation as an L/C Issuer and all L/C Obligations with respect thereto (including the right to require the Lenders to make Daily Simple SOFR Committed Loans or fund risk participations in Unreimbursed Amounts pursuant to Section 2.03(c)). If Bank of America resigns as Revolving Swing Line Lender, it shall retain all the rights of the Revolving Swing Line Lender provided for hereunder with respect to Revolving Swing Line Loans made by it and outstanding as of the effective date of such resignation, including the right to require the Revolving Lenders to make Daily Simple SOFR Committed Loans or fund risk participations in outstanding Revolving Swing Line Loans pursuant to Section 2.04(c). If Bank of America resigns as New Vehicle Floorplan Swing Line Lender, it shall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480175" cy="367665"/>
                <wp:effectExtent l="0" t="0" r="0" b="0"/>
                <wp:wrapNone/>
                <wp:docPr id="346" name="Frame34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173</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retain all the rights of the New Vehicle Floorplan Swing Line Lender provided for hereunder with respect to New Vehicle Floorplan Swing Line Loans made by it and outstanding as of the effective date of such resignation, including the right to require the New Vehicle Floorplan Lenders to make Daily Simple SOFR Committed Loans or fund risk participations in outstanding New Vehicle Floorplan Swing Line Loans pursuant to Section 2.07(d). If Bank of America resigns as Used Vehicle Floorplan Swing Line Lender, it shall retain all the rights of the Used Vehicle Floorplan Swing Line Lender provided for hereunder with respect to Used Vehicle Floorplan Swing Line Loans made by it and outstanding as of the effective date of such resignation, including the right to require the Used Vehicle Floorplan Lenders to make Daily Simple SOFR Committed Loans or fund risk participations in outstanding Used Vehicle Floorplan Swing Line Loans pursuant to Section 2.12(c). Upon the appointment of a successor L/C Issuer, Revolving Swing Line Lender, New Vehicle Floorplan Swing Line Lender and/or Used Vehicle Floorplan Swing Line Lender, (a) such successor shall succeed to and become vested with all of the rights, powers, privileges and duties of the retiring L/C Issuer, Revolving Swing Line Lender, New Vehicle Floorplan Swing Line Lender or Used Vehicle Floorplan Swing Line Lender, as the case may be, and (b) the successor L/C Issuer shall issue letters of credit in substitution for the Letters of Credit, if any, outstanding at the time of such succession or make other arrangements satisfactory to Bank of America or such other applicable retiring L/C Issuer to effectively assume the obligations of Bank of America or the applicable retiring L/C Issuer with respect to such Letters of Credit.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For the avoidance of doubt, with respect to any assignee or participant that becomes a Competitor after the applicable date such Person becomes a Lender, (x) such assignee shall not retroactively be disqualified from becoming a Lender or participant and (y) the execution by the Company of an Assignment and Assumption with respect to such assignee will not by itself result in such assignee no longer being considered a Competitor. Any assignment in violation of this clause (h) shall not be void, but the other provisions of this clause (h) shall apply.</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(i)If any assignment is made to any Competitor without the Borrower’s prior consent in violation of </w:t>
      </w:r>
      <w:r>
        <w:rPr>
          <w:rFonts w:ascii="Times New Roman;sans-serif" w:hAnsi="Times New Roman;sans-serif"/>
          <w:b w:val="false"/>
          <w:color w:val="000000"/>
          <w:sz w:val="22"/>
          <w:u w:val="single"/>
        </w:rPr>
        <w:t>Section 10.06(b)(v)</w:t>
      </w:r>
      <w:r>
        <w:rPr>
          <w:color w:val="000000"/>
        </w:rPr>
        <w:t xml:space="preserve"> </w:t>
      </w:r>
      <w:r>
        <w:rPr>
          <w:rFonts w:ascii="Times New Roman;sans-serif" w:hAnsi="Times New Roman;sans-serif"/>
          <w:b w:val="false"/>
          <w:color w:val="000000"/>
          <w:sz w:val="22"/>
        </w:rPr>
        <w:t xml:space="preserve">above, or if any Person becomes a Competitor after the applicable date such Person becomes a Lender, the Borrower may, at its sole expense and effort, upon notice to the applicable Competitor and the Administrative Agent, (A) terminate any Commitment of such Competitor and repay all obligations of the Borrowers owing to such Competitor in connection with such Commitment, plus accrued interest, accrued fees and all other amounts payable to it hereunder and under the other Loan Documents and/or (B) require such Competitor to assign and delegate, without recourse (in accordance with and subject to the restrictions contained in this </w:t>
      </w:r>
      <w:r>
        <w:rPr>
          <w:rFonts w:ascii="Times New Roman;sans-serif" w:hAnsi="Times New Roman;sans-serif"/>
          <w:b w:val="false"/>
          <w:color w:val="000000"/>
          <w:sz w:val="22"/>
          <w:u w:val="single"/>
        </w:rPr>
        <w:t>Section 10.06</w:t>
      </w:r>
      <w:r>
        <w:rPr>
          <w:rFonts w:ascii="Times New Roman;sans-serif" w:hAnsi="Times New Roman;sans-serif"/>
          <w:b w:val="false"/>
          <w:color w:val="000000"/>
          <w:sz w:val="22"/>
        </w:rPr>
        <w:t xml:space="preserve">), all of its interest, rights and obligations under this Agreement and related Loan Documents to an Eligible Assignee that shall assume such obligations at the lesser of (x) the principal amount thereof and (y) the amount that such Competitor paid to acquire such interests, rights and obligations, in each case plus accrued interest, accrued fees and all other amounts (other than principal amounts) payable to it hereunder and other the other Loan Documents; provided that (i) the Borrowers shall have paid to the Administrative Agent the assignment fee (if any) specified in </w:t>
      </w:r>
      <w:r>
        <w:rPr>
          <w:rFonts w:ascii="Times New Roman;sans-serif" w:hAnsi="Times New Roman;sans-serif"/>
          <w:b w:val="false"/>
          <w:color w:val="000000"/>
          <w:sz w:val="22"/>
          <w:u w:val="single"/>
        </w:rPr>
        <w:t>Section 10.06(b)</w:t>
      </w:r>
      <w:r>
        <w:rPr>
          <w:color w:val="000000"/>
        </w:rPr>
        <w:t xml:space="preserve"> </w:t>
      </w:r>
      <w:r>
        <w:rPr>
          <w:rFonts w:ascii="Times New Roman;sans-serif" w:hAnsi="Times New Roman;sans-serif"/>
          <w:b w:val="false"/>
          <w:color w:val="000000"/>
          <w:sz w:val="22"/>
        </w:rPr>
        <w:t>and (ii) such assignment does not conflict with applicable Laws.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(ii)Notwithstanding anything to the contrary contained in this Agreement, Competitor (A) will not (x) have the right to receive information, reports or other materials provided to Lenders by the Borrower,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Competitor will be deemed to have consented in the same proportion as the Lenders that are not Competitor consented to such matter, and (y) for purposes of voting on any plan of reorganization or plan of liquidation pursuant to any Debtor Relief Laws (“Plan of Reorganization”), each Competitor party hereto hereby agrees (1) not to vote on such Plan of Reorganization, (2) if such Competitor does vote on such Plan of Reorganization notwithstanding the restriction in the foregoing clause (1), such vote will be deemed not to be in good faith and shall be “designated” pursuant to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480175" cy="367665"/>
                <wp:effectExtent l="0" t="0" r="0" b="0"/>
                <wp:wrapNone/>
                <wp:docPr id="347" name="Frame34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174</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Section 1126(e) of the Bankruptcy Code (or any similar provision in any other Debtor Relief Laws), and such vote shall not be counted in determining whether the applicable class has accepted or rejected such Plan of Reorganization in accordance with Section 1126(c) of the Bankruptcy Code (or any similar provision in any other Debtor Relief Laws) and (3) not to contest any request by any party for a determination by the Bankruptcy Court (or other applicable court of competent jurisdiction) effectuating the foregoing clause (2).</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The Administrative Agent shall have the right, and the each Borrower hereby expressly authorizes the Administrative Agent, to (A) post the list of Competitors provided by the Borrowers and any updates thereto from time to time (collectively, the “</w:t>
      </w:r>
      <w:r>
        <w:rPr>
          <w:rFonts w:ascii="Times New Roman;sans-serif" w:hAnsi="Times New Roman;sans-serif"/>
          <w:b w:val="false"/>
          <w:color w:val="000000"/>
          <w:sz w:val="22"/>
          <w:u w:val="single"/>
        </w:rPr>
        <w:t>DQ List</w:t>
      </w:r>
      <w:r>
        <w:rPr>
          <w:color w:val="000000"/>
        </w:rPr>
        <w:t>”</w:t>
      </w:r>
      <w:r>
        <w:rPr>
          <w:rFonts w:ascii="Times New Roman;sans-serif" w:hAnsi="Times New Roman;sans-serif"/>
          <w:b w:val="false"/>
          <w:color w:val="000000"/>
          <w:sz w:val="22"/>
        </w:rPr>
        <w:t xml:space="preserve">) on the Platform, including that portion of the Platform that is designated for “public side” Lenders or (B) provide the DQ List to each Lender requesting the same. </w:t>
      </w:r>
    </w:p>
    <w:p>
      <w:pPr>
        <w:pStyle w:val="TextBody"/>
        <w:bidi w:val="0"/>
        <w:spacing w:lineRule="auto" w:line="240" w:before="0" w:after="240"/>
        <w:ind w:left="0" w:right="0" w:firstLine="720"/>
        <w:jc w:val="both"/>
        <w:rPr/>
      </w:pPr>
      <w:r>
        <w:rPr>
          <w:rFonts w:ascii="Times New Roman;sans-serif" w:hAnsi="Times New Roman;sans-serif"/>
          <w:b/>
          <w:color w:val="000000"/>
          <w:sz w:val="22"/>
        </w:rPr>
        <w:t>10.07</w:t>
      </w:r>
      <w:r>
        <w:rPr>
          <w:rFonts w:ascii="Times New Roman;sans-serif" w:hAnsi="Times New Roman;sans-serif"/>
          <w:b/>
          <w:color w:val="000000"/>
          <w:sz w:val="22"/>
        </w:rPr>
        <w:t>Treatment of Certain Information; Confidentiality</w:t>
      </w:r>
      <w:r>
        <w:rPr>
          <w:rFonts w:ascii="Times New Roman;sans-serif" w:hAnsi="Times New Roman;sans-serif"/>
          <w:b w:val="false"/>
          <w:color w:val="000000"/>
          <w:sz w:val="22"/>
        </w:rPr>
        <w:t xml:space="preserve">. Each of the Administrative Agent, the Lenders and the L/C Issuers agrees to maintain the confidentiality of the Information (as defined below), except that Information may be disclosed (a) to its Affiliates, its auditors and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any Eligible Assignee invited to be a Lender pursuant to </w:t>
      </w:r>
      <w:r>
        <w:rPr>
          <w:rFonts w:ascii="Times New Roman;sans-serif" w:hAnsi="Times New Roman;sans-serif"/>
          <w:b w:val="false"/>
          <w:color w:val="000000"/>
          <w:sz w:val="22"/>
          <w:u w:val="single"/>
        </w:rPr>
        <w:t>Section 2.22(c)</w:t>
      </w:r>
      <w:r>
        <w:rPr>
          <w:color w:val="000000"/>
        </w:rPr>
        <w:t xml:space="preserve"> </w:t>
      </w:r>
      <w:r>
        <w:rPr>
          <w:rFonts w:ascii="Times New Roman;sans-serif" w:hAnsi="Times New Roman;sans-serif"/>
          <w:b w:val="false"/>
          <w:color w:val="000000"/>
          <w:sz w:val="22"/>
        </w:rPr>
        <w:t xml:space="preserve">or (ii) any actual or prospective counterparty (or its Related Parties) to any swap or derivative transaction relating to any Loan Party and its obligations (it being understood that the DQ List may be disclosed to any assignee or Participant, or prospective assignee or Participant) , (g) on a confidential basis to (i) any rating agency in connection with rating the Company or its Subsidiaries or the credit facilities provided hereunder or (ii) the CUSIP Service Bureau or any similar agency in connection with the issuance and monitoring of CUSIP numbers or other market identifiers with respect to the credit facilities provided hereunder, (h) with the consent of the Company or (i) to the extent such Information (x) becomes publicly available other than as a result of a breach of this Section, (y) becomes available to the Administrative Agent, any Lender, any L/C Issuer or any of their respective Affiliates on a nonconfidential basis from a source other than the Company or (z) is independently discovered or developed by a party hereto without utilizing any Information received from any Loan Party or violating the terms of this </w:t>
      </w:r>
      <w:r>
        <w:rPr>
          <w:rFonts w:ascii="Times New Roman;sans-serif" w:hAnsi="Times New Roman;sans-serif"/>
          <w:b w:val="false"/>
          <w:color w:val="000000"/>
          <w:sz w:val="22"/>
          <w:u w:val="single"/>
        </w:rPr>
        <w:t>Section 10.07</w:t>
      </w:r>
      <w:r>
        <w:rPr>
          <w:rFonts w:ascii="Times New Roman;sans-serif" w:hAnsi="Times New Roman;sans-serif"/>
          <w:b w:val="false"/>
          <w:color w:val="000000"/>
          <w:sz w:val="22"/>
        </w:rPr>
        <w:t xml:space="preserve">.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 For purposes of this Section, “Information” means all information received from the Company or any Subsidiary relating to Company or any Subsidiary or any of their respective businesses, other than any such information that is available to the Administrative Agent, any Lender or any L/C Issuer on a nonconfidential basis prior to disclosure by the Company or any Subsidiary,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in the case of information received from the Company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Each of the Administrative Agent, the Lenders and the L/C Issuers acknowledges that (a) the Information may include material non-public information concerning the Company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480175" cy="367665"/>
                <wp:effectExtent l="0" t="0" r="0" b="0"/>
                <wp:wrapNone/>
                <wp:docPr id="348" name="Frame34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175</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2"/>
        </w:rPr>
        <w:t>10.08</w:t>
      </w:r>
      <w:r>
        <w:rPr>
          <w:rFonts w:ascii="Times New Roman;sans-serif" w:hAnsi="Times New Roman;sans-serif"/>
          <w:b/>
          <w:color w:val="000000"/>
          <w:sz w:val="22"/>
        </w:rPr>
        <w:t>Right of Setoff</w:t>
      </w:r>
      <w:r>
        <w:rPr>
          <w:rFonts w:ascii="Times New Roman;sans-serif" w:hAnsi="Times New Roman;sans-serif"/>
          <w:b w:val="false"/>
          <w:color w:val="000000"/>
          <w:sz w:val="22"/>
        </w:rPr>
        <w:t>. If an Event of Default shall have occurred and be continuing, each Lender, each L/C Issuer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such L/C Issuer or any such Affiliate to or for the credit or the account of the Company or any Borrower against any and all of the obligations of the Company or any Borrower, as applicable, now or hereafter existing under this Agreement or any other Loan Document to such Lender or such L/C Issuer or</w:t>
      </w:r>
      <w:r>
        <w:rPr>
          <w:color w:val="000000"/>
        </w:rPr>
        <w:t xml:space="preserve"> </w:t>
      </w:r>
      <w:r>
        <w:rPr>
          <w:rFonts w:ascii="Times New Roman;sans-serif" w:hAnsi="Times New Roman;sans-serif"/>
          <w:b w:val="false"/>
          <w:color w:val="000000"/>
          <w:sz w:val="22"/>
        </w:rPr>
        <w:t xml:space="preserve">their respective Affiliates, irrespective of whether or not such Lender, such L/C Issuer or Affiliate shall have made any demand under this Agreement or any other Loan Document and although such obligations of the Company or such Borrower may be contingent or unmatured or are owed to a branch, office or Affiliate of such Lender or such L/C Issuer different from the branch, office or Affiliate holding such deposit or obligated on such indebtedness;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Times New Roman;sans-serif" w:hAnsi="Times New Roman;sans-serif"/>
          <w:b w:val="false"/>
          <w:color w:val="000000"/>
          <w:sz w:val="22"/>
          <w:u w:val="single"/>
        </w:rPr>
        <w:t>Section 2.26</w:t>
      </w:r>
      <w:r>
        <w:rPr>
          <w:color w:val="000000"/>
        </w:rPr>
        <w:t xml:space="preserve"> </w:t>
      </w:r>
      <w:r>
        <w:rPr>
          <w:rFonts w:ascii="Times New Roman;sans-serif" w:hAnsi="Times New Roman;sans-serif"/>
          <w:b w:val="false"/>
          <w:color w:val="000000"/>
          <w:sz w:val="22"/>
        </w:rPr>
        <w:t xml:space="preserve">and, pending such payment, shall be segregated by such Defaulting Lender from its other funds and deemed held in trust for the benefit of the Administrative Agent, the L/C Issuer and the Lenders, and (y) the Defaulting Lender shall provide promptly to the Administrative Agent a statement describing in reasonable detail the Obligations owing to such Defaulting Lender as to which it exercised such right of setoff. The rights of each Lender, each L/C Issuer and their respective Affiliates under this Section are in addition to other rights and remedies (including other rights of setoff) that such Lender, such L/C Issuer or their respective Affiliates may have. Each Lender and each L/C Issuer agrees to notify the Company and the Administrative Agent promptly after any such setoff and application,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failure to give such notice shall not affect the validity of such setoff and application.</w:t>
      </w:r>
    </w:p>
    <w:p>
      <w:pPr>
        <w:pStyle w:val="TextBody"/>
        <w:bidi w:val="0"/>
        <w:spacing w:lineRule="auto" w:line="240" w:before="0" w:after="240"/>
        <w:ind w:left="0" w:right="0" w:firstLine="720"/>
        <w:jc w:val="both"/>
        <w:rPr/>
      </w:pPr>
      <w:r>
        <w:rPr>
          <w:rFonts w:ascii="Times New Roman;sans-serif" w:hAnsi="Times New Roman;sans-serif"/>
          <w:b/>
          <w:color w:val="000000"/>
          <w:sz w:val="22"/>
        </w:rPr>
        <w:t>10.09</w:t>
      </w:r>
      <w:r>
        <w:rPr>
          <w:rFonts w:ascii="Times New Roman;sans-serif" w:hAnsi="Times New Roman;sans-serif"/>
          <w:b/>
          <w:color w:val="000000"/>
          <w:sz w:val="22"/>
        </w:rPr>
        <w:t>Interest Rate Limitation</w:t>
      </w:r>
      <w:r>
        <w:rPr>
          <w:rFonts w:ascii="Times New Roman;sans-serif" w:hAnsi="Times New Roman;sans-serif"/>
          <w:b w:val="false"/>
          <w:color w:val="000000"/>
          <w:sz w:val="22"/>
        </w:rPr>
        <w:t>. Notwithstanding anything to the contrary contained in any Loan Document, the interest paid or agreed to be paid under the Loan Documents shall not exceed the maximum rate of non-usurious interest permitted by applicable Law (the “</w:t>
      </w:r>
      <w:r>
        <w:rPr>
          <w:rFonts w:ascii="Times New Roman;sans-serif" w:hAnsi="Times New Roman;sans-serif"/>
          <w:b w:val="false"/>
          <w:color w:val="000000"/>
          <w:sz w:val="22"/>
          <w:u w:val="single"/>
        </w:rPr>
        <w:t>Maximum Rate</w:t>
      </w:r>
      <w:r>
        <w:rPr>
          <w:color w:val="000000"/>
        </w:rPr>
        <w:t>”</w:t>
      </w:r>
      <w:r>
        <w:rPr>
          <w:rFonts w:ascii="Times New Roman;sans-serif" w:hAnsi="Times New Roman;sans-serif"/>
          <w:b w:val="false"/>
          <w:color w:val="000000"/>
          <w:sz w:val="22"/>
        </w:rPr>
        <w:t>). If the Administrative Agent or any Lender shall receive interest in an amount that exceeds the Maximum Rate, the excess interest shall be applied to the principal of the Loans or, if it exceeds such unpaid principal, refunded to the Company.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pStyle w:val="TextBody"/>
        <w:bidi w:val="0"/>
        <w:spacing w:lineRule="auto" w:line="240" w:before="0" w:after="240"/>
        <w:ind w:left="0" w:right="0" w:firstLine="720"/>
        <w:jc w:val="both"/>
        <w:rPr/>
      </w:pPr>
      <w:r>
        <w:rPr>
          <w:rFonts w:ascii="Times New Roman;sans-serif" w:hAnsi="Times New Roman;sans-serif"/>
          <w:b/>
          <w:color w:val="000000"/>
          <w:sz w:val="22"/>
        </w:rPr>
        <w:t>10.10</w:t>
      </w:r>
      <w:r>
        <w:rPr>
          <w:rFonts w:ascii="Times New Roman;sans-serif" w:hAnsi="Times New Roman;sans-serif"/>
          <w:b/>
          <w:color w:val="000000"/>
          <w:sz w:val="22"/>
        </w:rPr>
        <w:t>Counterparts; Integration; Effectiveness</w:t>
      </w:r>
      <w:r>
        <w:rPr>
          <w:rFonts w:ascii="Times New Roman;sans-serif" w:hAnsi="Times New Roman;sans-serif"/>
          <w:b w:val="false"/>
          <w:color w:val="000000"/>
          <w:sz w:val="22"/>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w:t>
      </w:r>
      <w:r>
        <w:rPr>
          <w:rFonts w:ascii="Times New Roman;sans-serif" w:hAnsi="Times New Roman;sans-serif"/>
          <w:b w:val="false"/>
          <w:color w:val="000000"/>
          <w:sz w:val="22"/>
          <w:u w:val="single"/>
        </w:rPr>
        <w:t>Section 4.01</w:t>
      </w:r>
      <w:r>
        <w:rPr>
          <w:rFonts w:ascii="Times New Roman;sans-serif" w:hAnsi="Times New Roman;sans-serif"/>
          <w:b w:val="false"/>
          <w:color w:val="000000"/>
          <w:sz w:val="22"/>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other electronic imaging means (e.g. “pdf or “tif”) shall be effective as delivery of a manually executed counterpart of this Agreement.</w:t>
      </w:r>
    </w:p>
    <w:p>
      <w:pPr>
        <w:pStyle w:val="TextBody"/>
        <w:bidi w:val="0"/>
        <w:spacing w:lineRule="auto" w:line="240" w:before="0" w:after="240"/>
        <w:ind w:left="0" w:right="0" w:firstLine="720"/>
        <w:jc w:val="both"/>
        <w:rPr/>
      </w:pPr>
      <w:r>
        <w:rPr>
          <w:rFonts w:ascii="Times New Roman;sans-serif" w:hAnsi="Times New Roman;sans-serif"/>
          <w:b/>
          <w:color w:val="000000"/>
          <w:sz w:val="22"/>
        </w:rPr>
        <w:t>10.11</w:t>
      </w:r>
      <w:r>
        <w:rPr>
          <w:rFonts w:ascii="Times New Roman;sans-serif" w:hAnsi="Times New Roman;sans-serif"/>
          <w:b/>
          <w:color w:val="000000"/>
          <w:sz w:val="22"/>
        </w:rPr>
        <w:t>Survival of Representations and Warranties</w:t>
      </w:r>
      <w:r>
        <w:rPr>
          <w:rFonts w:ascii="Times New Roman;sans-serif" w:hAnsi="Times New Roman;sans-serif"/>
          <w:b w:val="false"/>
          <w:color w:val="000000"/>
          <w:sz w:val="22"/>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480175" cy="367665"/>
                <wp:effectExtent l="0" t="0" r="0" b="0"/>
                <wp:wrapNone/>
                <wp:docPr id="349" name="Frame34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176</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2"/>
        </w:rPr>
        <w:t>10.12</w:t>
      </w:r>
      <w:r>
        <w:rPr>
          <w:rFonts w:ascii="Times New Roman;sans-serif" w:hAnsi="Times New Roman;sans-serif"/>
          <w:b/>
          <w:color w:val="000000"/>
          <w:sz w:val="22"/>
        </w:rPr>
        <w:t>Severability</w:t>
      </w:r>
      <w:r>
        <w:rPr>
          <w:rFonts w:ascii="Times New Roman;sans-serif" w:hAnsi="Times New Roman;sans-serif"/>
          <w:b w:val="false"/>
          <w:color w:val="000000"/>
          <w:sz w:val="22"/>
        </w:rPr>
        <w:t xml:space="preserve">.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sans-serif" w:hAnsi="Times New Roman;sans-serif"/>
          <w:b w:val="false"/>
          <w:color w:val="000000"/>
          <w:sz w:val="22"/>
          <w:u w:val="single"/>
        </w:rPr>
        <w:t>Section 10.12</w:t>
      </w:r>
      <w:r>
        <w:rPr>
          <w:rFonts w:ascii="Times New Roman;sans-serif" w:hAnsi="Times New Roman;sans-serif"/>
          <w:b w:val="false"/>
          <w:color w:val="000000"/>
          <w:sz w:val="22"/>
        </w:rPr>
        <w:t>, if and to the extent that the enforceability of any provisions in this Agreement relating to Defaulting Lenders shall be limited by Debtor Relief Laws, as determined in good faith by the Administrative Agent, the L/C Issuers, the Revolving Swing Line Lender, the New Vehicle Floorplan Swing Line Lender or the Used Vehicle Floorplan Swing Line Lenders, as applicable, then such provisions shall be deemed to be in effect only to the extent not so limited.</w:t>
      </w:r>
    </w:p>
    <w:p>
      <w:pPr>
        <w:pStyle w:val="TextBody"/>
        <w:bidi w:val="0"/>
        <w:spacing w:lineRule="auto" w:line="240" w:before="0" w:after="240"/>
        <w:ind w:left="0" w:right="0" w:firstLine="720"/>
        <w:jc w:val="both"/>
        <w:rPr/>
      </w:pPr>
      <w:r>
        <w:rPr>
          <w:rFonts w:ascii="Times New Roman;sans-serif" w:hAnsi="Times New Roman;sans-serif"/>
          <w:b/>
          <w:color w:val="000000"/>
          <w:sz w:val="22"/>
        </w:rPr>
        <w:t>10.13</w:t>
      </w:r>
      <w:r>
        <w:rPr>
          <w:rFonts w:ascii="Times New Roman;sans-serif" w:hAnsi="Times New Roman;sans-serif"/>
          <w:b/>
          <w:color w:val="000000"/>
          <w:sz w:val="22"/>
        </w:rPr>
        <w:t>Replacement of Lenders</w:t>
      </w:r>
      <w:r>
        <w:rPr>
          <w:rFonts w:ascii="Times New Roman;sans-serif" w:hAnsi="Times New Roman;sans-serif"/>
          <w:b w:val="false"/>
          <w:color w:val="000000"/>
          <w:sz w:val="22"/>
        </w:rPr>
        <w:t xml:space="preserve">. If the Company or any other Borrower is entitled to replace a Lender pursuant to the provisions of </w:t>
      </w:r>
      <w:r>
        <w:rPr>
          <w:rFonts w:ascii="Times New Roman;sans-serif" w:hAnsi="Times New Roman;sans-serif"/>
          <w:b w:val="false"/>
          <w:color w:val="000000"/>
          <w:sz w:val="22"/>
          <w:u w:val="single"/>
        </w:rPr>
        <w:t>Section 3.05</w:t>
      </w:r>
      <w:r>
        <w:rPr>
          <w:rFonts w:ascii="Times New Roman;sans-serif" w:hAnsi="Times New Roman;sans-serif"/>
          <w:b w:val="false"/>
          <w:color w:val="000000"/>
          <w:sz w:val="22"/>
        </w:rPr>
        <w:t>, or if any Lender is a Defaulting Lender or a Non-Consenting Lender</w:t>
      </w:r>
      <w:r>
        <w:rPr>
          <w:color w:val="000000"/>
        </w:rPr>
        <w:t xml:space="preserve"> </w:t>
      </w:r>
      <w:r>
        <w:rPr>
          <w:rFonts w:ascii="Times New Roman;sans-serif" w:hAnsi="Times New Roman;sans-serif"/>
          <w:b w:val="false"/>
          <w:color w:val="000000"/>
          <w:sz w:val="22"/>
        </w:rPr>
        <w:t xml:space="preserve">or if any other circumstance exists hereunder that gives the Borrowers the right to replace a Lender as a party hereto, then the Company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sans-serif" w:hAnsi="Times New Roman;sans-serif"/>
          <w:b w:val="false"/>
          <w:color w:val="000000"/>
          <w:sz w:val="22"/>
          <w:u w:val="single"/>
        </w:rPr>
        <w:t>Section 10.06</w:t>
      </w:r>
      <w:r>
        <w:rPr>
          <w:rFonts w:ascii="Times New Roman;sans-serif" w:hAnsi="Times New Roman;sans-serif"/>
          <w:b w:val="false"/>
          <w:color w:val="000000"/>
          <w:sz w:val="22"/>
        </w:rPr>
        <w:t xml:space="preserve">), all of its interests, rights (other than its existing rights to payments pursuant to </w:t>
      </w:r>
      <w:r>
        <w:rPr>
          <w:rFonts w:ascii="Times New Roman;sans-serif" w:hAnsi="Times New Roman;sans-serif"/>
          <w:b w:val="false"/>
          <w:color w:val="000000"/>
          <w:sz w:val="22"/>
          <w:u w:val="single"/>
        </w:rPr>
        <w:t>Sections 3.01</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3.04</w:t>
      </w:r>
      <w:r>
        <w:rPr>
          <w:rFonts w:ascii="Times New Roman;sans-serif" w:hAnsi="Times New Roman;sans-serif"/>
          <w:b w:val="false"/>
          <w:color w:val="000000"/>
          <w:sz w:val="22"/>
        </w:rPr>
        <w:t xml:space="preserve">) and obligations under this Agreement and the related Loan Documents to an Eligible Assignee that shall assume such obligations (which assignee may be another Lender, if a Lender accepts such assignment),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the Company shall have paid to the Administrative Agent the assignment fee specified in </w:t>
      </w:r>
      <w:r>
        <w:rPr>
          <w:rFonts w:ascii="Times New Roman;sans-serif" w:hAnsi="Times New Roman;sans-serif"/>
          <w:b w:val="false"/>
          <w:color w:val="000000"/>
          <w:sz w:val="22"/>
          <w:u w:val="single"/>
        </w:rPr>
        <w:t>Section 10.06(b)</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such Lender shall have received payment of an amount equal to 100% of the outstanding principal of its Loans and L/C Advances, accrued interest thereon, accrued fees and all other amounts payable to it hereunder and under the other Loan Documents from the assignee (to the extent of such outstanding principal and accrued interest and fees) or the Company (in the case of all other amounts);</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in the case of any such assignment resulting from a claim for compensation under </w:t>
      </w:r>
      <w:r>
        <w:rPr>
          <w:rFonts w:ascii="Times New Roman;sans-serif" w:hAnsi="Times New Roman;sans-serif"/>
          <w:b w:val="false"/>
          <w:color w:val="000000"/>
          <w:sz w:val="22"/>
          <w:u w:val="single"/>
        </w:rPr>
        <w:t>Section 3.04</w:t>
      </w:r>
      <w:r>
        <w:rPr>
          <w:color w:val="000000"/>
        </w:rPr>
        <w:t xml:space="preserve"> </w:t>
      </w:r>
      <w:r>
        <w:rPr>
          <w:rFonts w:ascii="Times New Roman;sans-serif" w:hAnsi="Times New Roman;sans-serif"/>
          <w:b w:val="false"/>
          <w:color w:val="000000"/>
          <w:sz w:val="22"/>
        </w:rPr>
        <w:t xml:space="preserve">or payments required to be made pursuant to </w:t>
      </w:r>
      <w:r>
        <w:rPr>
          <w:rFonts w:ascii="Times New Roman;sans-serif" w:hAnsi="Times New Roman;sans-serif"/>
          <w:b w:val="false"/>
          <w:color w:val="000000"/>
          <w:sz w:val="22"/>
          <w:u w:val="single"/>
        </w:rPr>
        <w:t>Section 3.01</w:t>
      </w:r>
      <w:r>
        <w:rPr>
          <w:rFonts w:ascii="Times New Roman;sans-serif" w:hAnsi="Times New Roman;sans-serif"/>
          <w:b w:val="false"/>
          <w:color w:val="000000"/>
          <w:sz w:val="22"/>
        </w:rPr>
        <w:t>, such assignment will result in a reduction in such compensation or payments thereafter;</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such assignment does not conflict with applicable Laws;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in the case of an assignment resulting from a Lender becoming a Non-Consenting Lender, the applicable assignee shall have consented to the applicable amendment, waiver or consent.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Lender shall not be required to make any such assignment or delegation if, prior thereto, as a result of a waiver by such Lender or otherwise, the circumstances entitling the Company to require such assignment and delegation cease to apply.</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Each party hereto agrees that (a) an assignment required pursuant to this </w:t>
      </w:r>
      <w:r>
        <w:rPr>
          <w:rFonts w:ascii="Times New Roman;sans-serif" w:hAnsi="Times New Roman;sans-serif"/>
          <w:b w:val="false"/>
          <w:color w:val="000000"/>
          <w:sz w:val="22"/>
          <w:u w:val="single"/>
        </w:rPr>
        <w:t>Section 10.13</w:t>
      </w:r>
      <w:r>
        <w:rPr>
          <w:color w:val="000000"/>
        </w:rPr>
        <w:t xml:space="preserve"> </w:t>
      </w:r>
      <w:r>
        <w:rPr>
          <w:rFonts w:ascii="Times New Roman;sans-serif" w:hAnsi="Times New Roman;sans-serif"/>
          <w:b w:val="false"/>
          <w:color w:val="000000"/>
          <w:sz w:val="22"/>
        </w:rPr>
        <w:t xml:space="preserve">may be effected pursuant to an Assignment and Assumption executed by the Company, the Administrative Agent and the assignee and (b) the Lender required to make such assignment need not be a party thereto in order for such assignment to be effective and shall be deemed to have consented to an be bound by the terms thereof;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following the effectiveness of any such assignment, the other parties to such assignment agree to execute and deliver such documents necessary to evidence such assignment as reasonably requested by the applicable Lender,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that any such documents shall be without recourse to or warranty by the parties thereto.</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480175" cy="367665"/>
                <wp:effectExtent l="0" t="0" r="0" b="0"/>
                <wp:wrapNone/>
                <wp:docPr id="350" name="Frame34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Notwithstanding anything in this </w:t>
      </w:r>
      <w:r>
        <w:rPr>
          <w:rFonts w:ascii="Times New Roman;sans-serif" w:hAnsi="Times New Roman;sans-serif"/>
          <w:b w:val="false"/>
          <w:color w:val="000000"/>
          <w:sz w:val="22"/>
          <w:u w:val="single"/>
        </w:rPr>
        <w:t>Section 10.13</w:t>
      </w:r>
      <w:r>
        <w:rPr>
          <w:color w:val="000000"/>
        </w:rPr>
        <w:t xml:space="preserve"> </w:t>
      </w:r>
      <w:r>
        <w:rPr>
          <w:rFonts w:ascii="Times New Roman;sans-serif" w:hAnsi="Times New Roman;sans-serif"/>
          <w:b w:val="false"/>
          <w:color w:val="000000"/>
          <w:sz w:val="22"/>
        </w:rPr>
        <w:t xml:space="preserve">to the contrary, (i) any Lender that acts as an L/C Issuer may not be replaced hereunder at any time it has any Letter of Credit outstanding hereunder unless arrangements satisfactory to such Lender (including the furnishing of a backstop standby letter of credit in form and substance, and issued by an issuer, reasonably satisfactory to such L/C Issuer or the depositing of cash collateral into a cash collateral account in amounts and pursuant to arrangements reasonably satisfactory to such L/C Issuer) have been made with respect to such outstanding Letter of Credit and (ii) the Lender that acts as the Administrative Agent may not be replaced hereunder except in accordance with the terms of </w:t>
      </w:r>
      <w:r>
        <w:rPr>
          <w:rFonts w:ascii="Times New Roman;sans-serif" w:hAnsi="Times New Roman;sans-serif"/>
          <w:b w:val="false"/>
          <w:color w:val="000000"/>
          <w:sz w:val="22"/>
          <w:u w:val="single"/>
        </w:rPr>
        <w:t>Section 9.06</w:t>
      </w:r>
      <w:r>
        <w:rPr>
          <w:rFonts w:ascii="Times New Roman;sans-serif" w:hAnsi="Times New Roman;sans-serif"/>
          <w:b w:val="false"/>
          <w:color w:val="000000"/>
          <w:sz w:val="22"/>
        </w:rPr>
        <w:t>.</w:t>
      </w:r>
    </w:p>
    <w:p>
      <w:pPr>
        <w:pStyle w:val="TextBody"/>
        <w:bidi w:val="0"/>
        <w:spacing w:lineRule="auto" w:line="240" w:before="0" w:after="240"/>
        <w:ind w:left="0" w:right="0" w:hanging="720"/>
        <w:jc w:val="both"/>
        <w:rPr/>
      </w:pPr>
      <w:r>
        <w:rPr>
          <w:rFonts w:ascii="Times New Roman;sans-serif" w:hAnsi="Times New Roman;sans-serif"/>
          <w:b/>
          <w:color w:val="000000"/>
          <w:sz w:val="22"/>
        </w:rPr>
        <w:t>10.14Governing Law; Jurisdiction; Etc</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GOVERNING LAW</w:t>
      </w:r>
      <w:r>
        <w:rPr>
          <w:rFonts w:ascii="Times New Roman;sans-serif" w:hAnsi="Times New Roman;sans-serif"/>
          <w:b w:val="false"/>
          <w:color w:val="000000"/>
          <w:sz w:val="22"/>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SUBMISSION TO JURISDICTION</w:t>
      </w:r>
      <w:r>
        <w:rPr>
          <w:rFonts w:ascii="Times New Roman;sans-serif" w:hAnsi="Times New Roman;sans-serif"/>
          <w:b w:val="false"/>
          <w:color w:val="000000"/>
          <w:sz w:val="22"/>
        </w:rPr>
        <w:t>. THE COMPANY AND EACH BORROWER IRREVOCABLY AND UNCONDITIONALLY AGREES THAT IT WILL NOT COMMENCE ANY ACTION, LITIGATION OR PROCEEDING OF ANY KIND OR DESCRIPTION, WHETHER IN LAW OR EQUITY, WHETHER IN CONTRACT OR IN TORT OR OTHERWISE, AGAINST THE ADMINISTRATIVE AGENT, ANY LENDER, ANY L/C ISSUER,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ANY L/C ISSUER MAY OTHERWISE HAVE TO BRING ANY ACTION OR PROCEEDING RELATING TO THIS AGREEMENT OR ANY OTHER LOAN DOCUMENT AGAINST THE COMPANY OR ANY BORROWER OR ITS PROPERTIES IN THE COURTS OF ANY JURISDICTION.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WAIVER OF VENUE</w:t>
      </w:r>
      <w:r>
        <w:rPr>
          <w:rFonts w:ascii="Times New Roman;sans-serif" w:hAnsi="Times New Roman;sans-serif"/>
          <w:b w:val="false"/>
          <w:color w:val="000000"/>
          <w:sz w:val="22"/>
        </w:rPr>
        <w:t>. THE COMPANY AND EACH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SERVICE OF PROCESS</w:t>
      </w:r>
      <w:r>
        <w:rPr>
          <w:rFonts w:ascii="Times New Roman;sans-serif" w:hAnsi="Times New Roman;sans-serif"/>
          <w:b w:val="false"/>
          <w:color w:val="000000"/>
          <w:sz w:val="22"/>
        </w:rPr>
        <w:t xml:space="preserve">. EACH PARTY HERETO IRREVOCABLY CONSENTS TO SERVICE OF PROCESS IN THE MANNER PROVIDED FOR NOTICES IN </w:t>
      </w:r>
      <w:r>
        <w:rPr>
          <w:rFonts w:ascii="Times New Roman;sans-serif" w:hAnsi="Times New Roman;sans-serif"/>
          <w:b w:val="false"/>
          <w:color w:val="000000"/>
          <w:sz w:val="22"/>
          <w:u w:val="single"/>
        </w:rPr>
        <w:t>SECTION 10.02</w:t>
      </w:r>
      <w:r>
        <w:rPr>
          <w:rFonts w:ascii="Times New Roman;sans-serif" w:hAnsi="Times New Roman;sans-serif"/>
          <w:b w:val="false"/>
          <w:color w:val="000000"/>
          <w:sz w:val="22"/>
        </w:rPr>
        <w:t xml:space="preserve">.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480175" cy="367665"/>
                <wp:effectExtent l="0" t="0" r="0" b="0"/>
                <wp:wrapNone/>
                <wp:docPr id="351" name="Frame34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178</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NOTHING IN THIS AGREEMENT WILL AFFECT THE RIGHT OF ANY PARTY HERETO TO SERVE PROCESS IN ANY OTHER MANNER PERMITTED BY APPLICABLE LAW.</w:t>
      </w:r>
    </w:p>
    <w:p>
      <w:pPr>
        <w:pStyle w:val="TextBody"/>
        <w:bidi w:val="0"/>
        <w:spacing w:lineRule="auto" w:line="240" w:before="0" w:after="240"/>
        <w:ind w:left="0" w:right="0" w:firstLine="720"/>
        <w:jc w:val="both"/>
        <w:rPr/>
      </w:pPr>
      <w:r>
        <w:rPr>
          <w:rFonts w:ascii="Times New Roman;sans-serif" w:hAnsi="Times New Roman;sans-serif"/>
          <w:b/>
          <w:color w:val="000000"/>
          <w:sz w:val="22"/>
        </w:rPr>
        <w:t>10.15</w:t>
      </w:r>
      <w:r>
        <w:rPr>
          <w:rFonts w:ascii="Times New Roman;sans-serif" w:hAnsi="Times New Roman;sans-serif"/>
          <w:b/>
          <w:color w:val="000000"/>
          <w:sz w:val="22"/>
        </w:rPr>
        <w:t>Waiver of Jury Trial</w:t>
      </w:r>
      <w:r>
        <w:rPr>
          <w:rFonts w:ascii="Times New Roman;sans-serif" w:hAnsi="Times New Roman;sans-serif"/>
          <w:b w:val="false"/>
          <w:color w:val="000000"/>
          <w:sz w:val="22"/>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pStyle w:val="TextBody"/>
        <w:bidi w:val="0"/>
        <w:spacing w:lineRule="auto" w:line="240" w:before="0" w:after="240"/>
        <w:ind w:left="0" w:right="0" w:firstLine="720"/>
        <w:jc w:val="both"/>
        <w:rPr/>
      </w:pPr>
      <w:r>
        <w:rPr>
          <w:rFonts w:ascii="Times New Roman;sans-serif" w:hAnsi="Times New Roman;sans-serif"/>
          <w:b/>
          <w:color w:val="000000"/>
          <w:sz w:val="22"/>
        </w:rPr>
        <w:t>10.16</w:t>
      </w:r>
      <w:r>
        <w:rPr>
          <w:rFonts w:ascii="Times New Roman;sans-serif" w:hAnsi="Times New Roman;sans-serif"/>
          <w:b/>
          <w:color w:val="000000"/>
          <w:sz w:val="22"/>
        </w:rPr>
        <w:t>No Advisory or Fiduciary Responsibility</w:t>
      </w:r>
      <w:r>
        <w:rPr>
          <w:rFonts w:ascii="Times New Roman;sans-serif" w:hAnsi="Times New Roman;sans-serif"/>
          <w:b w:val="false"/>
          <w:color w:val="000000"/>
          <w:sz w:val="22"/>
        </w:rPr>
        <w:t>. In connection with all aspects of each transaction contemplated hereby (including in connection with any amendment, waiver or other modification hereof or of any other Loan Document), the Company and each other Loan Party acknowledges and agrees, and acknowledges its Affiliates’ understanding, that: (i) (A) the arranging and other services regarding this Agreement provided by the Administrative Agent, the Arranger and the Lenders are arm’s-length commercial transactions between the Loan Parties and their respective Affiliates, on the one hand, and the Administrative Agent, the Arranger and the Lenders, on the other hand, (B) each of the Company and each other Loan Party has consulted its own legal, accounting, regulatory and tax advisors to the extent it has deemed appropriate, and (C) each of the Company and each other Loan Party is capable of evaluating, and understands and accepts, the terms, risks and conditions of the transactions contemplated hereby and by the other Loan Documents; (ii) (A) the Administrative Agent, the Arranger and each Lender is and has been acting solely as a principal and, except as expressly agreed in writing by the relevant parties, has not been, is not, and will not be acting as an advisor, agent or fiduciary for the Company, any other Loan Party or any of their respective Affiliates, or any other Person and (B) neither the Administrative Agent, the Arranger nor any Lender has any obligation to the Company, any other Loan Party or any of their respective Affiliates with respect to the transactions contemplated hereby except those obligations expressly set forth herein and in the other Loan Documents; and (iii) the Administrative Agent, the Arranger and the Lenders and their respective Affiliates may be engaged in a broad range of transactions that involve interests that differ from those of the Company and the other Loan Parties and their respective Affiliates, and neither the Administrative Agent, the Arranger nor any Lender has any obligation to disclose any of such interests to the Company, any other Loan Party or any of their respective Affiliates. To the fullest extent permitted by law, each of the Company and each other Loan Party hereby waives and releases any claims that it may have against the Administrative Agent, the Arranger or any Lender with respect to any breach or alleged breach of agency or fiduciary duty in connection with any aspect of any transaction contemplated hereby.</w:t>
      </w:r>
    </w:p>
    <w:p>
      <w:pPr>
        <w:pStyle w:val="TextBody"/>
        <w:bidi w:val="0"/>
        <w:spacing w:lineRule="auto" w:line="240" w:before="0" w:after="240"/>
        <w:ind w:left="0" w:right="0" w:firstLine="720"/>
        <w:jc w:val="both"/>
        <w:rPr/>
      </w:pPr>
      <w:r>
        <w:rPr>
          <w:rFonts w:ascii="Times New Roman;sans-serif" w:hAnsi="Times New Roman;sans-serif"/>
          <w:b/>
          <w:color w:val="000000"/>
          <w:sz w:val="22"/>
        </w:rPr>
        <w:t>10.17</w:t>
      </w:r>
      <w:r>
        <w:rPr>
          <w:rFonts w:ascii="Times New Roman;sans-serif" w:hAnsi="Times New Roman;sans-serif"/>
          <w:b/>
          <w:color w:val="000000"/>
          <w:sz w:val="22"/>
        </w:rPr>
        <w:t>Electronic Execution; Electronic Records; Counterparts</w:t>
      </w:r>
      <w:r>
        <w:rPr>
          <w:rFonts w:ascii="Times New Roman;sans-serif" w:hAnsi="Times New Roman;sans-serif"/>
          <w:b w:val="false"/>
          <w:color w:val="000000"/>
          <w:sz w:val="22"/>
        </w:rPr>
        <w:t xml:space="preserve">. This Agreement, any Loan Document and any other Communication, including Communications required to be in writing (including without limitation Assignment and Assumptions, amendments or other modification modifications, Revolving Committed Loan Notices, Revolving Swing Line Loan Notices, New Vehicle Floorplan Committed Loan Notices, New Vehicle Floorplan Swing Line Loan Notices, Used Vehicle Floorplan Committed Loan Notices, Used Vehicle Floorplan Swing Line Loan Notices, waivers and consents), may be in the form of an Electronic Record and may be executed using Electronic Signatures. Each of the Loan Parties and each of the Administrative Agent, and the Lender Parties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480175" cy="367665"/>
                <wp:effectExtent l="0" t="0" r="0" b="0"/>
                <wp:wrapNone/>
                <wp:docPr id="352" name="Frame34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179</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179</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converted into electronic form (such as scanned into PDF format), or an electronically signed Communication converted into another format, for transmission, delivery and/or retention. The Administrative Agent and each of the Lender Parties may, at its option, create one or more copies of any Communication in the form of an imaged Electronic Record (“</w:t>
      </w:r>
      <w:r>
        <w:rPr>
          <w:rFonts w:ascii="Times New Roman;sans-serif" w:hAnsi="Times New Roman;sans-serif"/>
          <w:b w:val="false"/>
          <w:color w:val="000000"/>
          <w:sz w:val="22"/>
          <w:u w:val="single"/>
        </w:rPr>
        <w:t>Electronic Copy</w:t>
      </w:r>
      <w:r>
        <w:rPr>
          <w:color w:val="000000"/>
        </w:rPr>
        <w:t>”</w:t>
      </w:r>
      <w:r>
        <w:rPr>
          <w:rFonts w:ascii="Times New Roman;sans-serif" w:hAnsi="Times New Roman;sans-serif"/>
          <w:b w:val="false"/>
          <w:color w:val="000000"/>
          <w:sz w:val="22"/>
        </w:rPr>
        <w:t xml:space="preserve">),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any L/C Issuer nor any Swingline Lender is under any obligation to accept an Electronic Signature in any form or in any format unless expressly agreed to by such Person pursuant to procedures approved by it;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without limiting the foregoing, (a) to the extent the Administrative Agent, any L/C Issuer and/or any Swingline Lender has agreed to accept such Electronic Signature, the Administrative Agent and each of the Lender Parties shall be entitled to rely on any such Electronic Signature purportedly given by or on behalf of any Loan Party and/or any Lender Party without further verification and (b) upon the request of the Administrative Agent or any Lender Party, any Electronic Signature shall be promptly followed by such manually executed counterpart. For purposes hereof, “</w:t>
      </w:r>
      <w:r>
        <w:rPr>
          <w:rFonts w:ascii="Times New Roman;sans-serif" w:hAnsi="Times New Roman;sans-serif"/>
          <w:b w:val="false"/>
          <w:color w:val="000000"/>
          <w:sz w:val="22"/>
          <w:u w:val="single"/>
        </w:rPr>
        <w:t>Electronic Record</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Electronic Signature</w:t>
      </w:r>
      <w:r>
        <w:rPr>
          <w:color w:val="000000"/>
        </w:rPr>
        <w:t xml:space="preserve">” </w:t>
      </w:r>
      <w:r>
        <w:rPr>
          <w:rFonts w:ascii="Times New Roman;sans-serif" w:hAnsi="Times New Roman;sans-serif"/>
          <w:b w:val="false"/>
          <w:color w:val="000000"/>
          <w:sz w:val="22"/>
        </w:rPr>
        <w:t>shall have the meanings assigned to them, respectively, by 15 USC §7006, as it may be amended from time to time.</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Neither the Administrative Agent, any L/C Issuer nor any Swingline Lender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any L/C Issuer’s or any Swingline Lender’s reliance on any Electronic Signature transmitted by telecopy, emailed .pdf or any other electronic means). The Administrative Agent, any L/C Issuer and any Swingline Lender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Each of the Loan Parties and each Lender Party hereby waives (i) any argument, defense or right to contest the legal effect, validity or enforceability of this Agreement or any other Loan Document based solely on the lack of paper original copies of this Agreement and/or such other Loan Document, and (ii) waives any claim against the Administrative Agent, each Lender Party and each Related Party for any liabilities arising solely from the Administrative Agent’s and/or any Lender Party’s reliance on or use of Electronic Signatures, including any liabilities arising as a result of the failure of the Loan Parties to use any available security measures in connection with the execution, delivery or transmission of any Electronic Signature.</w:t>
      </w:r>
    </w:p>
    <w:p>
      <w:pPr>
        <w:pStyle w:val="TextBody"/>
        <w:bidi w:val="0"/>
        <w:spacing w:lineRule="auto" w:line="240" w:before="0" w:after="240"/>
        <w:ind w:left="0" w:right="0" w:firstLine="720"/>
        <w:jc w:val="both"/>
        <w:rPr/>
      </w:pPr>
      <w:r>
        <w:rPr>
          <w:rFonts w:ascii="Times New Roman;sans-serif" w:hAnsi="Times New Roman;sans-serif"/>
          <w:b/>
          <w:color w:val="000000"/>
          <w:sz w:val="22"/>
        </w:rPr>
        <w:t>10.18</w:t>
      </w:r>
      <w:r>
        <w:rPr>
          <w:rFonts w:ascii="Times New Roman;sans-serif" w:hAnsi="Times New Roman;sans-serif"/>
          <w:b/>
          <w:color w:val="000000"/>
          <w:sz w:val="22"/>
        </w:rPr>
        <w:t>USA PATRIOT Act</w:t>
      </w:r>
      <w:r>
        <w:rPr>
          <w:rFonts w:ascii="Times New Roman;sans-serif" w:hAnsi="Times New Roman;sans-serif"/>
          <w:b w:val="false"/>
          <w:color w:val="000000"/>
          <w:sz w:val="22"/>
        </w:rPr>
        <w:t>. Each Lender that is subject to the Act (as hereinafter defined) and the Administrative Agent (for itself and not on behalf of any Lender) hereby notifies the Company and the other Borrowers that pursuant to the requirements of the USA PATRIOT Act (Title III of Pub. L. 107-56 (signed into law October 26, 2001)) (the “</w:t>
      </w:r>
      <w:r>
        <w:rPr>
          <w:rFonts w:ascii="Times New Roman;sans-serif" w:hAnsi="Times New Roman;sans-serif"/>
          <w:b w:val="false"/>
          <w:color w:val="000000"/>
          <w:sz w:val="22"/>
          <w:u w:val="single"/>
        </w:rPr>
        <w:t>Act</w:t>
      </w:r>
      <w:r>
        <w:rPr>
          <w:color w:val="000000"/>
        </w:rPr>
        <w:t>”</w:t>
      </w:r>
      <w:r>
        <w:rPr>
          <w:rFonts w:ascii="Times New Roman;sans-serif" w:hAnsi="Times New Roman;sans-serif"/>
          <w:b w:val="false"/>
          <w:color w:val="000000"/>
          <w:sz w:val="22"/>
        </w:rPr>
        <w:t>), it is required to obtain, verify and record information that identifies the Company and the other Borrowers, which information includes the name and address of the Company and the other Borrowers and other information that will allow such Lender or the Administrative Agent, as applicable, to identify the Company and each other Borrower in accordance with the Act. The Company and each other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480175" cy="367665"/>
                <wp:effectExtent l="0" t="0" r="0" b="0"/>
                <wp:wrapNone/>
                <wp:docPr id="353" name="Frame34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180</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180</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color w:val="000000"/>
          <w:sz w:val="22"/>
        </w:rPr>
        <w:t>10.19</w:t>
      </w:r>
      <w:r>
        <w:rPr>
          <w:rFonts w:ascii="Times New Roman;sans-serif" w:hAnsi="Times New Roman;sans-serif"/>
          <w:b/>
          <w:color w:val="000000"/>
          <w:sz w:val="22"/>
        </w:rPr>
        <w:t>Designated Senior Debt</w:t>
      </w:r>
      <w:r>
        <w:rPr>
          <w:rFonts w:ascii="Times New Roman;sans-serif" w:hAnsi="Times New Roman;sans-serif"/>
          <w:b w:val="false"/>
          <w:color w:val="000000"/>
          <w:sz w:val="22"/>
        </w:rPr>
        <w:t xml:space="preserve">. Each party acknowledges and agrees that the Indebtedness under the Loan Documents is “Designated Senior Debt” (or any similar term) under, and as defined in, any agreements evidencing Subordinated Indebtedness. </w:t>
      </w:r>
    </w:p>
    <w:p>
      <w:pPr>
        <w:pStyle w:val="TextBody"/>
        <w:bidi w:val="0"/>
        <w:spacing w:lineRule="auto" w:line="240" w:before="0" w:after="240"/>
        <w:ind w:left="0" w:right="0" w:firstLine="720"/>
        <w:jc w:val="both"/>
        <w:rPr/>
      </w:pPr>
      <w:r>
        <w:rPr>
          <w:rFonts w:ascii="Times New Roman;sans-serif" w:hAnsi="Times New Roman;sans-serif"/>
          <w:b/>
          <w:color w:val="000000"/>
          <w:sz w:val="22"/>
        </w:rPr>
        <w:t>10.20</w:t>
      </w:r>
      <w:r>
        <w:rPr>
          <w:rFonts w:ascii="Times New Roman;sans-serif" w:hAnsi="Times New Roman;sans-serif"/>
          <w:b/>
          <w:color w:val="000000"/>
          <w:sz w:val="22"/>
        </w:rPr>
        <w:t>Keepwell</w:t>
      </w:r>
      <w:r>
        <w:rPr>
          <w:rFonts w:ascii="Times New Roman;sans-serif" w:hAnsi="Times New Roman;sans-serif"/>
          <w:b w:val="false"/>
          <w:color w:val="000000"/>
          <w:sz w:val="22"/>
        </w:rPr>
        <w:t xml:space="preserve">. Each Borrower that is a Qualified ECP Guarantor at the time the joint and several liability of any Specified Loan Party (pursuant to </w:t>
      </w:r>
      <w:r>
        <w:rPr>
          <w:rFonts w:ascii="Times New Roman;sans-serif" w:hAnsi="Times New Roman;sans-serif"/>
          <w:b w:val="false"/>
          <w:color w:val="000000"/>
          <w:sz w:val="22"/>
          <w:u w:val="single"/>
        </w:rPr>
        <w:t>Section 2.24</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2.25</w:t>
      </w:r>
      <w:r>
        <w:rPr>
          <w:rFonts w:ascii="Times New Roman;sans-serif" w:hAnsi="Times New Roman;sans-serif"/>
          <w:b w:val="false"/>
          <w:color w:val="000000"/>
          <w:sz w:val="22"/>
        </w:rPr>
        <w:t xml:space="preserve">, if applicable), or the Guaranty or the grant of a Lien under the Loan Documents, in each case, by any Specified Loan Party,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such Borrower’s obligations and undertakings under this </w:t>
      </w:r>
      <w:r>
        <w:rPr>
          <w:rFonts w:ascii="Times New Roman;sans-serif" w:hAnsi="Times New Roman;sans-serif"/>
          <w:b w:val="false"/>
          <w:color w:val="000000"/>
          <w:sz w:val="22"/>
          <w:u w:val="single"/>
        </w:rPr>
        <w:t>Article X</w:t>
      </w:r>
      <w:r>
        <w:rPr>
          <w:color w:val="000000"/>
        </w:rPr>
        <w:t xml:space="preserve"> </w:t>
      </w:r>
      <w:r>
        <w:rPr>
          <w:rFonts w:ascii="Times New Roman;sans-serif" w:hAnsi="Times New Roman;sans-serif"/>
          <w:b w:val="false"/>
          <w:color w:val="000000"/>
          <w:sz w:val="22"/>
        </w:rPr>
        <w:t>voidable under applicable law relating to fraudulent conveyance or fraudulent transfer, and not for any greater amount). The obligations and undertakings of each Borrower under this Section shall remain in full force and effect until the Obligations have been indefeasibly paid and performed in full. Each Borrower intends this Section to constitute, and this Section shall be deemed to constitute, a guarantee of the obligations of, and a “keepwell, support or other agreement” for the benefit of, each Specified Loan Party for all purposes of the Commodity Exchange Act.</w:t>
      </w:r>
    </w:p>
    <w:p>
      <w:pPr>
        <w:pStyle w:val="TextBody"/>
        <w:bidi w:val="0"/>
        <w:spacing w:lineRule="auto" w:line="240" w:before="0" w:after="240"/>
        <w:ind w:left="0" w:right="0" w:firstLine="720"/>
        <w:jc w:val="both"/>
        <w:rPr/>
      </w:pPr>
      <w:r>
        <w:rPr>
          <w:rFonts w:ascii="Times New Roman;sans-serif" w:hAnsi="Times New Roman;sans-serif"/>
          <w:b/>
          <w:color w:val="000000"/>
          <w:sz w:val="22"/>
        </w:rPr>
        <w:t>10.21</w:t>
      </w:r>
      <w:r>
        <w:rPr>
          <w:rFonts w:ascii="Times New Roman;sans-serif" w:hAnsi="Times New Roman;sans-serif"/>
          <w:b/>
          <w:color w:val="000000"/>
          <w:sz w:val="22"/>
        </w:rPr>
        <w:t>Acknowledgement and Consent to Bail-In of Affected Financial Institutions</w:t>
      </w:r>
      <w:r>
        <w:rPr>
          <w:rFonts w:ascii="Times New Roman;sans-serif" w:hAnsi="Times New Roman;sans-serif"/>
          <w:b w:val="false"/>
          <w:color w:val="000000"/>
          <w:sz w:val="22"/>
        </w:rPr>
        <w:t>. Solely to the extent any Lender or L/C Issuer that is an Affected Financial Institution is a party to this Agreement and notwithstanding anything to the contrary in any Loan Document or in any other agreement, arrangement or understanding among any such parties, each party hereto acknowledges that any liability of any Lender or L/C Issuer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application of any Write-Down and Conversion Powers by the applicable Resolution Authority to any such liabilities arising hereunder which may be payable to it by any Lender or L/C Issuer that is an Affected Financial Institution; and</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the effects of any Bail-In Action on any such liability, including, if applicable:</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(i)a reduction in full or in part or cancellation of any such liability;</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(iii)the variation of the terms of such liability in connection with the exercise of the Write-Down and Conversion Powers of the applicable Resolution Authority.</w:t>
      </w:r>
    </w:p>
    <w:p>
      <w:pPr>
        <w:pStyle w:val="TextBody"/>
        <w:bidi w:val="0"/>
        <w:spacing w:lineRule="auto" w:line="240" w:before="0" w:after="240"/>
        <w:ind w:left="0" w:right="0" w:firstLine="720"/>
        <w:jc w:val="both"/>
        <w:rPr/>
      </w:pPr>
      <w:r>
        <w:rPr>
          <w:rFonts w:ascii="Times New Roman;sans-serif" w:hAnsi="Times New Roman;sans-serif"/>
          <w:b/>
          <w:color w:val="000000"/>
          <w:sz w:val="22"/>
        </w:rPr>
        <w:t>10.22</w:t>
      </w:r>
      <w:r>
        <w:rPr>
          <w:rFonts w:ascii="Times New Roman;sans-serif" w:hAnsi="Times New Roman;sans-serif"/>
          <w:b/>
          <w:color w:val="000000"/>
          <w:sz w:val="22"/>
        </w:rPr>
        <w:t>Acknowledgement Regarding Any Supported QFCs</w:t>
      </w:r>
      <w:r>
        <w:rPr>
          <w:rFonts w:ascii="Times New Roman;sans-serif" w:hAnsi="Times New Roman;sans-serif"/>
          <w:b w:val="false"/>
          <w:color w:val="000000"/>
          <w:sz w:val="22"/>
        </w:rPr>
        <w:t>. To the extent that the Loan Documents provide support, through a guarantee or otherwise, for any Swap Contract or any other agreement or instrument that is a QFC (such support, “</w:t>
      </w:r>
      <w:r>
        <w:rPr>
          <w:rFonts w:ascii="Times New Roman;sans-serif" w:hAnsi="Times New Roman;sans-serif"/>
          <w:b w:val="false"/>
          <w:color w:val="000000"/>
          <w:sz w:val="22"/>
          <w:u w:val="single"/>
        </w:rPr>
        <w:t>QFC Credit Suppor</w:t>
      </w:r>
      <w:r>
        <w:rPr>
          <w:rFonts w:ascii="Times New Roman;sans-serif" w:hAnsi="Times New Roman;sans-serif"/>
          <w:b w:val="false"/>
          <w:color w:val="000000"/>
          <w:sz w:val="22"/>
        </w:rPr>
        <w:t>t”, and each such QFC, a “</w:t>
      </w:r>
      <w:r>
        <w:rPr>
          <w:rFonts w:ascii="Times New Roman;sans-serif" w:hAnsi="Times New Roman;sans-serif"/>
          <w:b w:val="false"/>
          <w:color w:val="000000"/>
          <w:sz w:val="22"/>
          <w:u w:val="single"/>
        </w:rPr>
        <w:t>Supported QFC</w:t>
      </w:r>
      <w:r>
        <w:rPr>
          <w:color w:val="000000"/>
        </w:rPr>
        <w:t>”</w:t>
      </w:r>
      <w:r>
        <w:rPr>
          <w:rFonts w:ascii="Times New Roman;sans-serif" w:hAnsi="Times New Roman;sans-serif"/>
          <w:b w:val="false"/>
          <w:color w:val="000000"/>
          <w:sz w:val="22"/>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ans-serif" w:hAnsi="Times New Roman;sans-serif"/>
          <w:b w:val="false"/>
          <w:color w:val="000000"/>
          <w:sz w:val="22"/>
          <w:u w:val="single"/>
        </w:rPr>
        <w:t>U.S. Special Resolution Regimes</w:t>
      </w:r>
      <w:r>
        <w:rPr>
          <w:color w:val="000000"/>
        </w:rPr>
        <w:t>”</w:t>
      </w:r>
      <w:r>
        <w:rPr>
          <w:rFonts w:ascii="Times New Roman;sans-serif" w:hAnsi="Times New Roman;sans-serif"/>
          <w:b w:val="false"/>
          <w:color w:val="000000"/>
          <w:sz w:val="22"/>
        </w:rPr>
        <w:t xml:space="preserve">)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480175" cy="367665"/>
                <wp:effectExtent l="0" t="0" r="0" b="0"/>
                <wp:wrapNone/>
                <wp:docPr id="354" name="Frame34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181</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In the event a Covered Entity that is party to a Supported QFC (each, a “</w:t>
      </w:r>
      <w:r>
        <w:rPr>
          <w:rFonts w:ascii="Times New Roman;sans-serif" w:hAnsi="Times New Roman;sans-serif"/>
          <w:b w:val="false"/>
          <w:color w:val="000000"/>
          <w:sz w:val="22"/>
          <w:u w:val="single"/>
        </w:rPr>
        <w:t>Covered Party</w:t>
      </w:r>
      <w:r>
        <w:rPr>
          <w:color w:val="000000"/>
        </w:rPr>
        <w:t>”</w:t>
      </w:r>
      <w:r>
        <w:rPr>
          <w:rFonts w:ascii="Times New Roman;sans-serif" w:hAnsi="Times New Roman;sans-serif"/>
          <w:b w:val="false"/>
          <w:color w:val="000000"/>
          <w:sz w:val="22"/>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As used in this </w:t>
      </w:r>
      <w:r>
        <w:rPr>
          <w:rFonts w:ascii="Times New Roman;sans-serif" w:hAnsi="Times New Roman;sans-serif"/>
          <w:b w:val="false"/>
          <w:color w:val="000000"/>
          <w:sz w:val="22"/>
          <w:u w:val="single"/>
        </w:rPr>
        <w:t>Section 10.22</w:t>
      </w:r>
      <w:r>
        <w:rPr>
          <w:rFonts w:ascii="Times New Roman;sans-serif" w:hAnsi="Times New Roman;sans-serif"/>
          <w:b w:val="false"/>
          <w:color w:val="000000"/>
          <w:sz w:val="22"/>
        </w:rPr>
        <w:t>, the following terms have the following meanings: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BHC Act Affiliate</w:t>
      </w:r>
      <w:r>
        <w:rPr>
          <w:color w:val="000000"/>
        </w:rPr>
        <w:t xml:space="preserve">” </w:t>
      </w:r>
      <w:r>
        <w:rPr>
          <w:rFonts w:ascii="Times New Roman;sans-serif" w:hAnsi="Times New Roman;sans-serif"/>
          <w:b w:val="false"/>
          <w:color w:val="000000"/>
          <w:sz w:val="22"/>
        </w:rPr>
        <w:t>of a party means an “affiliate” (as such term is defined under, and interpreted in accordance with, 12 U.S.C. 1841(k)) of such party.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Covered Entity</w:t>
      </w:r>
      <w:r>
        <w:rPr>
          <w:color w:val="000000"/>
        </w:rPr>
        <w:t xml:space="preserve">” </w:t>
      </w:r>
      <w:r>
        <w:rPr>
          <w:rFonts w:ascii="Times New Roman;sans-serif" w:hAnsi="Times New Roman;sans-serif"/>
          <w:b w:val="false"/>
          <w:color w:val="000000"/>
          <w:sz w:val="22"/>
        </w:rPr>
        <w:t>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Default Right</w:t>
      </w:r>
      <w:r>
        <w:rPr>
          <w:color w:val="000000"/>
        </w:rPr>
        <w:t xml:space="preserve">” </w:t>
      </w:r>
      <w:r>
        <w:rPr>
          <w:rFonts w:ascii="Times New Roman;sans-serif" w:hAnsi="Times New Roman;sans-serif"/>
          <w:b w:val="false"/>
          <w:color w:val="000000"/>
          <w:sz w:val="22"/>
        </w:rPr>
        <w:t>has the meaning assigned to that term in, and shall be interpreted in accordance with, 12 C.F.R. §§ 252.81, 47.2 or 382.1, as applicable.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QFC</w:t>
      </w:r>
      <w:r>
        <w:rPr>
          <w:color w:val="000000"/>
        </w:rPr>
        <w:t xml:space="preserve">” </w:t>
      </w:r>
      <w:r>
        <w:rPr>
          <w:rFonts w:ascii="Times New Roman;sans-serif" w:hAnsi="Times New Roman;sans-serif"/>
          <w:b w:val="false"/>
          <w:color w:val="000000"/>
          <w:sz w:val="22"/>
        </w:rPr>
        <w:t>has the meaning assigned to the term “qualified financial contract” in, and shall be interpreted in accordance with, 12 U.S.C. 5390(c)(8)(D).</w:t>
      </w:r>
    </w:p>
    <w:p>
      <w:pPr>
        <w:pStyle w:val="TextBody"/>
        <w:bidi w:val="0"/>
        <w:spacing w:lineRule="auto" w:line="288" w:before="0" w:after="240"/>
        <w:jc w:val="center"/>
        <w:rPr>
          <w:rFonts w:ascii="Times New Roman;sans-serif" w:hAnsi="Times New Roman;sans-serif"/>
          <w:b w:val="false"/>
          <w:i/>
          <w:color w:val="000000"/>
          <w:sz w:val="22"/>
        </w:rPr>
      </w:pPr>
      <w:r>
        <w:rPr>
          <w:rFonts w:ascii="Times New Roman;sans-serif" w:hAnsi="Times New Roman;sans-serif"/>
          <w:b w:val="false"/>
          <w:i/>
          <w:color w:val="000000"/>
          <w:sz w:val="22"/>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480175" cy="367665"/>
                <wp:effectExtent l="0" t="0" r="0" b="0"/>
                <wp:wrapNone/>
                <wp:docPr id="355" name="Frame35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caused this Agreement to be duly executed as of the date first above written.</w:t>
      </w:r>
    </w:p>
    <w:p>
      <w:pPr>
        <w:pStyle w:val="TextBody"/>
        <w:bidi w:val="0"/>
        <w:spacing w:lineRule="auto" w:line="288" w:before="0" w:after="240"/>
        <w:ind w:left="0" w:right="0" w:firstLine="720"/>
        <w:jc w:val="both"/>
        <w:rPr>
          <w:rFonts w:ascii="Times New Roman;sans-serif" w:hAnsi="Times New Roman;sans-serif"/>
          <w:b/>
          <w:color w:val="000000"/>
          <w:sz w:val="22"/>
        </w:rPr>
      </w:pPr>
      <w:r>
        <w:rPr>
          <w:rFonts w:ascii="Times New Roman;sans-serif" w:hAnsi="Times New Roman;sans-serif"/>
          <w:b/>
          <w:color w:val="000000"/>
          <w:sz w:val="22"/>
        </w:rPr>
        <w:t>ASBURY AUTOMOTIVE GROUP, INC.</w:t>
      </w:r>
    </w:p>
    <w:p>
      <w:pPr>
        <w:pStyle w:val="TextBody"/>
        <w:bidi w:val="0"/>
        <w:spacing w:lineRule="auto" w:line="288"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David W. Hult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Typed Name:    David W. Hult</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Typed Title:    President and Chief Executive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480175" cy="752475"/>
                <wp:effectExtent l="0" t="0" r="0" b="0"/>
                <wp:wrapNone/>
                <wp:docPr id="356" name="Frame351"/>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Asbury Automotive Group, Inc.</w:t>
                            </w:r>
                            <w:r>
                              <w:br w:type="page"/>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FOURTH AMENDED AND RESTATED CREDIT AGREEMENT</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Asbury Automotive Group, Inc.</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FOURTH AMENDED AND RESTATED CREDIT AGREEMENT</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color w:val="000000"/>
          <w:sz w:val="22"/>
          <w:u w:val="single"/>
        </w:rPr>
      </w:pPr>
      <w:r>
        <w:rPr>
          <w:rFonts w:ascii="Times New Roman;sans-serif" w:hAnsi="Times New Roman;sans-serif"/>
          <w:b/>
          <w:color w:val="000000"/>
          <w:sz w:val="22"/>
          <w:u w:val="single"/>
        </w:rPr>
        <w:t>NEW VEHICLE BORROWERS:</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ANT,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AR NISS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 xml:space="preserve">ASBURY ARLINGTON MB, LLC </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ART,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ATLANTA AC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ATLANTA AU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ATLANTA BM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ATLANTA CHEV,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ATLANTA HON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ATLANTA HUND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ATLANTA INF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ATLANTA INFINITI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ATLANTA K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ATLANTA LEX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ATLANTA NIS II,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ATLANTA NIS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ATLANTA TOY 2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ATLANTA TOY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ATLANTA VB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AURORA TOY,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AUTOMOTIVE BRANDON, L.P.</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AUTOMOTIVE ST. LOUIS,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 xml:space="preserve">ASBURY AUTOMOTIVE WEST, LLC </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CATONSVILLE M,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CH MOTORS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CLARKSVILLE CBG,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CO CDJR,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CO GEN,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CO HG,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CO LEX,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 xml:space="preserve">ASBURY CO SUB, LLC </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DALLAS MB,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DALLAS POR,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DALLAS VOL,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DELAND HUND,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ASBURY-DELAND IMPORTS, L.L.C.</w:t>
      </w:r>
    </w:p>
    <w:p>
      <w:pPr>
        <w:pStyle w:val="TextBody"/>
        <w:bidi w:val="0"/>
        <w:spacing w:lineRule="auto" w:line="288"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David W. Hult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Typed Name:    David W. Hult</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Typed Title:    President and Chief Executive Officer</w:t>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480175" cy="752475"/>
                <wp:effectExtent l="0" t="0" r="0" b="0"/>
                <wp:wrapNone/>
                <wp:docPr id="357" name="Frame352"/>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Asbury Automotive Group, Inc.</w:t>
                            </w:r>
                            <w:r>
                              <w:br w:type="page"/>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FOURTH AMENDED AND RESTATED CREDIT AGREEMENT</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Asbury Automotive Group, Inc.</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FOURTH AMENDED AND RESTATED CREDIT AGREEMENT</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color w:val="000000"/>
          <w:sz w:val="22"/>
          <w:u w:val="single"/>
        </w:rPr>
        <w:t xml:space="preserve">NEW VEHICLE BORROWERS, </w:t>
      </w:r>
      <w:r>
        <w:rPr>
          <w:rFonts w:ascii="Times New Roman;sans-serif" w:hAnsi="Times New Roman;sans-serif"/>
          <w:b/>
          <w:i/>
          <w:color w:val="000000"/>
          <w:sz w:val="22"/>
          <w:u w:val="single"/>
        </w:rPr>
        <w:t>continued</w:t>
      </w:r>
      <w:r>
        <w:rPr>
          <w:rFonts w:ascii="Times New Roman;sans-serif" w:hAnsi="Times New Roman;sans-serif"/>
          <w:b/>
          <w:color w:val="000000"/>
          <w:sz w:val="22"/>
          <w:u w:val="single"/>
        </w:rPr>
        <w:t>:</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DFW JLR,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EASTON T,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FORT WORTH MB,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GEORGIA TOY,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 xml:space="preserve">ASBURY GREELEY SUB, LLC </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IN CBG,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IN CDJ,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 xml:space="preserve">ASBURY IN CHEV, LLC </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IN FORD,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IN HON,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IN TOY,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INDY CHEV, LLC    </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JAX AC,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JAX HON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LAKEWOOD CHEV,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LAKEWOOD TOY,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LITTLETON JLR,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LITTLETON POR,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LONGMONT HUND,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MS CHEV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NOBLESVILLE CDJR,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OMK,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PLANO LEX,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SC JPV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SC LEX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SC TOY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ST. LOUIS LEX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ST. LOUIS LR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ST. LOUIS M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TX AUCTION,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TYSONS CBG,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TYSONS CDJR,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TYSONS T,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WESTMINSTER T,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WILMINGTON L,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WMC,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WMV, LLC</w:t>
      </w:r>
    </w:p>
    <w:p>
      <w:pPr>
        <w:pStyle w:val="TextBody"/>
        <w:bidi w:val="0"/>
        <w:spacing w:lineRule="auto" w:line="288"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David W. Hult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Typed Name:    David W. Hult</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Typed Title:    President and Chief Executive Officer</w:t>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ind w:left="0" w:right="0" w:firstLine="4320"/>
        <w:jc w:val="left"/>
        <w:rPr/>
      </w:pPr>
      <w:r>
        <w:rPr/>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480175" cy="752475"/>
                <wp:effectExtent l="0" t="0" r="0" b="0"/>
                <wp:wrapNone/>
                <wp:docPr id="358" name="Frame353"/>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Asbury Automotive Group, Inc.</w:t>
                            </w:r>
                            <w:r>
                              <w:br w:type="page"/>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FOURTH AMENDED AND RESTATED CREDIT AGREEMENT</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Asbury Automotive Group, Inc.</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FOURTH AMENDED AND RESTATED CREDIT AGREEMENT</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w:t>
                      </w:r>
                    </w:p>
                    <w:p>
                      <w:pPr>
                        <w:pStyle w:val="TextBody"/>
                        <w:bidi w:val="0"/>
                        <w:spacing w:before="0" w:after="0"/>
                        <w:jc w:val="center"/>
                        <w:rPr/>
                      </w:pPr>
                      <w:r>
                        <w:rPr/>
                      </w:r>
                    </w:p>
                  </w:txbxContent>
                </v:textbox>
                <w10:wrap type="none"/>
              </v:rect>
            </w:pict>
          </mc:Fallback>
        </mc:AlternateContent>
      </w:r>
    </w:p>
    <w:p>
      <w:pPr>
        <w:pStyle w:val="TextBody"/>
        <w:bidi w:val="0"/>
        <w:spacing w:before="0" w:after="240"/>
        <w:jc w:val="both"/>
        <w:rPr/>
      </w:pPr>
      <w:r>
        <w:rPr/>
      </w:r>
    </w:p>
    <w:p>
      <w:pPr>
        <w:pStyle w:val="TextBody"/>
        <w:bidi w:val="0"/>
        <w:spacing w:lineRule="auto" w:line="288" w:before="0" w:after="240"/>
        <w:jc w:val="both"/>
        <w:rPr/>
      </w:pPr>
      <w:r>
        <w:rPr>
          <w:rFonts w:ascii="Times New Roman;sans-serif" w:hAnsi="Times New Roman;sans-serif"/>
          <w:b/>
          <w:color w:val="000000"/>
          <w:sz w:val="22"/>
          <w:u w:val="single"/>
        </w:rPr>
        <w:t xml:space="preserve">NEW VEHICLE BORROWERS, </w:t>
      </w:r>
      <w:r>
        <w:rPr>
          <w:rFonts w:ascii="Times New Roman;sans-serif" w:hAnsi="Times New Roman;sans-serif"/>
          <w:b/>
          <w:i/>
          <w:color w:val="000000"/>
          <w:sz w:val="22"/>
          <w:u w:val="single"/>
        </w:rPr>
        <w:t>continued</w:t>
      </w:r>
      <w:r>
        <w:rPr>
          <w:rFonts w:ascii="Times New Roman;sans-serif" w:hAnsi="Times New Roman;sans-serif"/>
          <w:b/>
          <w:color w:val="000000"/>
          <w:sz w:val="22"/>
          <w:u w:val="single"/>
        </w:rPr>
        <w:t>:</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WOODBRIDGE BG,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WOODBRIDGE H,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WOODBRIDGE K,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AVENUES MOTORS, LTD.</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BFP MOTORS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CFP MOTORS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CH MOTORS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CHO PARTNERSHIP, LTD.</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CN MOTORS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COGGIN CARS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COGGIN CHEVROLET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CROWN CHH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CROWN FDO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CROWN GAC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CROWN GBM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CROWN GDO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CROWN GHO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CROWN GNI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CROWN GVO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CROWN MOTORCAR COMPANY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CROWN PBM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CROWN RIA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CROWN RIB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CROWN SNI L.L.C.    </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CSA IMPORTS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ESCUDE-NN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ESCUDE-NS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ESCUDE-T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HFP MOTORS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KP MOTORS L.L.C.</w:t>
      </w:r>
    </w:p>
    <w:p>
      <w:pPr>
        <w:pStyle w:val="TextBody"/>
        <w:bidi w:val="0"/>
        <w:spacing w:lineRule="auto" w:line="288" w:before="0" w:after="0"/>
        <w:ind w:left="0" w:right="0" w:hanging="180"/>
        <w:jc w:val="left"/>
        <w:rPr>
          <w:rFonts w:ascii="Times New Roman;sans-serif" w:hAnsi="Times New Roman;sans-serif"/>
          <w:b/>
          <w:color w:val="000000"/>
          <w:sz w:val="22"/>
        </w:rPr>
      </w:pPr>
      <w:r>
        <w:rPr>
          <w:rFonts w:ascii="Times New Roman;sans-serif" w:hAnsi="Times New Roman;sans-serif"/>
          <w:b/>
          <w:color w:val="000000"/>
          <w:sz w:val="22"/>
        </w:rPr>
        <w:t>LARRY H. MILLER COMPANY – BOUNTIFUL,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ACD,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ACJ,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ADR,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ALH, LLC</w:t>
      </w:r>
    </w:p>
    <w:p>
      <w:pPr>
        <w:pStyle w:val="TextBody"/>
        <w:bidi w:val="0"/>
        <w:spacing w:lineRule="auto" w:line="288"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David W. Hult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Typed Name:    David W. Hult</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Typed Title:    President and Chief Executive Officer</w:t>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ind w:left="0" w:right="0" w:firstLine="4320"/>
        <w:jc w:val="left"/>
        <w:rPr/>
      </w:pPr>
      <w:r>
        <w:rPr/>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480175" cy="752475"/>
                <wp:effectExtent l="0" t="0" r="0" b="0"/>
                <wp:wrapNone/>
                <wp:docPr id="359" name="Frame354"/>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Asbury Automotive Group, Inc.</w:t>
                            </w:r>
                            <w:r>
                              <w:br w:type="page"/>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FOURTH AMENDED AND RESTATED CREDIT AGREEMENT</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Asbury Automotive Group, Inc.</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FOURTH AMENDED AND RESTATED CREDIT AGREEMENT</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w:t>
                      </w:r>
                    </w:p>
                    <w:p>
                      <w:pPr>
                        <w:pStyle w:val="TextBody"/>
                        <w:bidi w:val="0"/>
                        <w:spacing w:before="0" w:after="0"/>
                        <w:jc w:val="center"/>
                        <w:rPr/>
                      </w:pPr>
                      <w:r>
                        <w:rPr/>
                      </w:r>
                    </w:p>
                  </w:txbxContent>
                </v:textbox>
                <w10:wrap type="none"/>
              </v:rect>
            </w:pict>
          </mc:Fallback>
        </mc:AlternateContent>
      </w:r>
    </w:p>
    <w:p>
      <w:pPr>
        <w:pStyle w:val="TextBody"/>
        <w:bidi w:val="0"/>
        <w:spacing w:before="0" w:after="0"/>
        <w:ind w:left="0" w:right="0" w:firstLine="4320"/>
        <w:jc w:val="left"/>
        <w:rPr/>
      </w:pPr>
      <w:r>
        <w:rPr/>
      </w:r>
    </w:p>
    <w:p>
      <w:pPr>
        <w:pStyle w:val="TextBody"/>
        <w:bidi w:val="0"/>
        <w:spacing w:before="0" w:after="0"/>
        <w:jc w:val="left"/>
        <w:rPr/>
      </w:pPr>
      <w:r>
        <w:rPr/>
      </w:r>
    </w:p>
    <w:p>
      <w:pPr>
        <w:pStyle w:val="TextBody"/>
        <w:bidi w:val="0"/>
        <w:spacing w:before="0" w:after="240"/>
        <w:jc w:val="both"/>
        <w:rPr/>
      </w:pPr>
      <w:r>
        <w:rPr/>
      </w:r>
    </w:p>
    <w:p>
      <w:pPr>
        <w:pStyle w:val="TextBody"/>
        <w:bidi w:val="0"/>
        <w:spacing w:lineRule="auto" w:line="288" w:before="0" w:after="240"/>
        <w:jc w:val="both"/>
        <w:rPr/>
      </w:pPr>
      <w:r>
        <w:rPr>
          <w:rFonts w:ascii="Times New Roman;sans-serif" w:hAnsi="Times New Roman;sans-serif"/>
          <w:b/>
          <w:color w:val="000000"/>
          <w:sz w:val="22"/>
          <w:u w:val="single"/>
        </w:rPr>
        <w:t xml:space="preserve">NEW VEHICLE BORROWERS, </w:t>
      </w:r>
      <w:r>
        <w:rPr>
          <w:rFonts w:ascii="Times New Roman;sans-serif" w:hAnsi="Times New Roman;sans-serif"/>
          <w:b/>
          <w:i/>
          <w:color w:val="000000"/>
          <w:sz w:val="22"/>
          <w:u w:val="single"/>
        </w:rPr>
        <w:t>continued</w:t>
      </w:r>
      <w:r>
        <w:rPr>
          <w:rFonts w:ascii="Times New Roman;sans-serif" w:hAnsi="Times New Roman;sans-serif"/>
          <w:b/>
          <w:color w:val="000000"/>
          <w:sz w:val="22"/>
          <w:u w:val="single"/>
        </w:rPr>
        <w:t>:</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AMT,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ANI,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AVW,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BCD,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BSU,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BUC,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CHV,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CTO,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DCJ,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DDR,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DNI,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FLT,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HOB,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HON,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HYN,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LCJ,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LEX,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LFO,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LMD,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MBL,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MNI,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MUR,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NHR,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PCD,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PCH,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PEORIA GEN,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PFL,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PNX,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QCH,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QCJ,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RCD,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SCD,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SFL,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SFO,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SHO, LLC    </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SWH,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TCD, LLC</w:t>
      </w:r>
    </w:p>
    <w:p>
      <w:pPr>
        <w:pStyle w:val="TextBody"/>
        <w:bidi w:val="0"/>
        <w:spacing w:lineRule="auto" w:line="288"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David W. Hult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Typed Name:    David W. Hult</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Typed Title:    President and Chief Executive Officer</w:t>
      </w:r>
    </w:p>
    <w:p>
      <w:pPr>
        <w:pStyle w:val="TextBody"/>
        <w:bidi w:val="0"/>
        <w:ind w:left="0" w:right="0" w:firstLine="4320"/>
        <w:jc w:val="left"/>
        <w:rPr/>
      </w:pPr>
      <w:r>
        <w:rPr/>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480175" cy="752475"/>
                <wp:effectExtent l="0" t="0" r="0" b="0"/>
                <wp:wrapNone/>
                <wp:docPr id="360" name="Frame355"/>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Asbury Automotive Group, Inc.</w:t>
                            </w:r>
                            <w:r>
                              <w:br w:type="page"/>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FOURTH AMENDED AND RESTATED CREDIT AGREEMENT</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Asbury Automotive Group, Inc.</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FOURTH AMENDED AND RESTATED CREDIT AGREEMENT</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w:t>
                      </w:r>
                    </w:p>
                    <w:p>
                      <w:pPr>
                        <w:pStyle w:val="TextBody"/>
                        <w:bidi w:val="0"/>
                        <w:spacing w:before="0" w:after="0"/>
                        <w:jc w:val="center"/>
                        <w:rPr/>
                      </w:pPr>
                      <w:r>
                        <w:rPr/>
                      </w:r>
                    </w:p>
                  </w:txbxContent>
                </v:textbox>
                <w10:wrap type="none"/>
              </v:rect>
            </w:pict>
          </mc:Fallback>
        </mc:AlternateContent>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before="0" w:after="0"/>
        <w:jc w:val="left"/>
        <w:rPr/>
      </w:pPr>
      <w:r>
        <w:rPr/>
      </w:r>
    </w:p>
    <w:p>
      <w:pPr>
        <w:pStyle w:val="TextBody"/>
        <w:bidi w:val="0"/>
        <w:spacing w:before="0" w:after="240"/>
        <w:jc w:val="both"/>
        <w:rPr/>
      </w:pPr>
      <w:r>
        <w:rPr/>
      </w:r>
    </w:p>
    <w:p>
      <w:pPr>
        <w:pStyle w:val="TextBody"/>
        <w:bidi w:val="0"/>
        <w:spacing w:lineRule="auto" w:line="288" w:before="0" w:after="240"/>
        <w:jc w:val="both"/>
        <w:rPr/>
      </w:pPr>
      <w:r>
        <w:rPr>
          <w:rFonts w:ascii="Times New Roman;sans-serif" w:hAnsi="Times New Roman;sans-serif"/>
          <w:b/>
          <w:color w:val="000000"/>
          <w:sz w:val="22"/>
          <w:u w:val="single"/>
        </w:rPr>
        <w:t xml:space="preserve">NEW VEHICLE BORROWERS, </w:t>
      </w:r>
      <w:r>
        <w:rPr>
          <w:rFonts w:ascii="Times New Roman;sans-serif" w:hAnsi="Times New Roman;sans-serif"/>
          <w:b/>
          <w:i/>
          <w:color w:val="000000"/>
          <w:sz w:val="22"/>
          <w:u w:val="single"/>
        </w:rPr>
        <w:t>continued</w:t>
      </w:r>
      <w:r>
        <w:rPr>
          <w:rFonts w:ascii="Times New Roman;sans-serif" w:hAnsi="Times New Roman;sans-serif"/>
          <w:b/>
          <w:color w:val="000000"/>
          <w:sz w:val="22"/>
          <w:u w:val="single"/>
        </w:rPr>
        <w:t>:</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TCJ,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TDR,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TSD,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TVW,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UCN,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UCO,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UCS,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MCDAVID AUSTIN-ACRA,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MCDAVID FRISCO-HON,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MCDAVID HOUSTON-NISS,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MCDAVID IRVING-HON,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MCDAVID PLANO-ACRA,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NP MZD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NP VKW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OSBORN/MILLER AUTOMOTIVE,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PRECISION INFINITI, INC.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PRECISION MOTORCARS, INC.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PRECISION NISSAN, INC.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PREMIER NSN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PREMIER PON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PRESTIGE BAY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PRESTIGE TOY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 xml:space="preserve">Q AUTOMOTIVE BRANDON FL, LLC </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 xml:space="preserve">Q AUTOMOTIVE CUMMING GA, LLC </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Q AUTOMOTIVE FT. MYERS FL,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 xml:space="preserve">Q AUTOMOTIVE HOLIDAY FL, LLC </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Q AUTOMOTIVE JACKSONVILLE FL,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Q AUTOMOTIVE KENNESAW GA,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 xml:space="preserve">Q AUTOMOTIVE ORLANDO FL, LLC </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Q AUTOMOTIVE TAMPA FL,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TAMPA HUND, L.P.</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TAMPA KIA, L.P.</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WTY MOTORS, L.P.</w:t>
      </w:r>
    </w:p>
    <w:p>
      <w:pPr>
        <w:pStyle w:val="TextBody"/>
        <w:bidi w:val="0"/>
        <w:spacing w:lineRule="auto" w:line="288"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David W. Hult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Typed Name:    David W. Hult</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Typed Title:    President and Chief Executive Officer</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480175" cy="752475"/>
                <wp:effectExtent l="0" t="0" r="0" b="0"/>
                <wp:wrapNone/>
                <wp:docPr id="361" name="Frame356"/>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Asbury Automotive Group, Inc.</w:t>
                            </w:r>
                            <w:r>
                              <w:br w:type="page"/>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FOURTH AMENDED AND RESTATED CREDIT AGREEMENT</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Asbury Automotive Group, Inc.</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FOURTH AMENDED AND RESTATED CREDIT AGREEMENT</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w:t>
                      </w:r>
                    </w:p>
                    <w:p>
                      <w:pPr>
                        <w:pStyle w:val="TextBody"/>
                        <w:bidi w:val="0"/>
                        <w:spacing w:before="0" w:after="0"/>
                        <w:jc w:val="center"/>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40"/>
        <w:jc w:val="both"/>
        <w:rPr/>
      </w:pPr>
      <w:r>
        <w:rPr/>
      </w:r>
    </w:p>
    <w:p>
      <w:pPr>
        <w:pStyle w:val="TextBody"/>
        <w:bidi w:val="0"/>
        <w:spacing w:lineRule="auto" w:line="288" w:before="0" w:after="240"/>
        <w:jc w:val="both"/>
        <w:rPr>
          <w:rFonts w:ascii="Times New Roman;sans-serif" w:hAnsi="Times New Roman;sans-serif"/>
          <w:b/>
          <w:color w:val="000000"/>
          <w:sz w:val="22"/>
          <w:u w:val="single"/>
        </w:rPr>
      </w:pPr>
      <w:r>
        <w:rPr>
          <w:rFonts w:ascii="Times New Roman;sans-serif" w:hAnsi="Times New Roman;sans-serif"/>
          <w:b/>
          <w:color w:val="000000"/>
          <w:sz w:val="22"/>
          <w:u w:val="single"/>
        </w:rPr>
        <w:t>USED VEHICLE BORROWERS:</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AUTOMOTIVE GROUP, INC.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AF MOTORS,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ANT,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AR NISS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ARLINGTON MB,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ART,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ATLANTA AC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ATLANTA AU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ATLANTA BM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ATLANTA CHEV,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ATLANTA FORD,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ATLANTA HON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ATLANTA HUND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ATLANTA INF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ATLANTA INFINITI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ATLANTA K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ATLANTA LEX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ATLANTA NIS II,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ATLANTA NIS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ATLANTA TOY 2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ATLANTA TOY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ATLANTA VB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AURORA TOY,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AUTOMOTIVE BRANDON, L.P.</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AUTOMOTIVE ST. LOUIS,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AUTOMOTIVE WEST,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BALTIMORE F,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CATONSVILLE M,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CH MOTORS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CLARKSVILLE CBG,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CO CDJR,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CO GEN,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CO HG, LLC</w:t>
      </w:r>
    </w:p>
    <w:p>
      <w:pPr>
        <w:pStyle w:val="TextBody"/>
        <w:bidi w:val="0"/>
        <w:spacing w:lineRule="auto" w:line="288"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David W. Hult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Typed Name:    David W. Hult</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Typed Title:    President and Chief Executive Officer</w:t>
      </w:r>
    </w:p>
    <w:p>
      <w:pPr>
        <w:pStyle w:val="TextBody"/>
        <w:bidi w:val="0"/>
        <w:spacing w:before="0" w:after="283"/>
        <w:jc w:val="left"/>
        <w:rPr/>
      </w:pPr>
      <w:r>
        <w:rPr/>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480175" cy="752475"/>
                <wp:effectExtent l="0" t="0" r="0" b="0"/>
                <wp:wrapNone/>
                <wp:docPr id="362" name="Frame357"/>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Asbury Automotive Group, Inc.</w:t>
                            </w:r>
                            <w:r>
                              <w:br w:type="page"/>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FOURTH AMENDED AND RESTATED CREDIT AGREEMENT</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Asbury Automotive Group, Inc.</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FOURTH AMENDED AND RESTATED CREDIT AGREEMENT</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w:t>
                      </w:r>
                    </w:p>
                    <w:p>
                      <w:pPr>
                        <w:pStyle w:val="TextBody"/>
                        <w:bidi w:val="0"/>
                        <w:spacing w:before="0" w:after="0"/>
                        <w:jc w:val="center"/>
                        <w:rPr/>
                      </w:pPr>
                      <w:r>
                        <w:rPr/>
                      </w:r>
                    </w:p>
                  </w:txbxContent>
                </v:textbox>
                <w10:wrap type="none"/>
              </v:rect>
            </w:pict>
          </mc:Fallback>
        </mc:AlternateContent>
      </w:r>
    </w:p>
    <w:p>
      <w:pPr>
        <w:pStyle w:val="TextBody"/>
        <w:bidi w:val="0"/>
        <w:spacing w:before="0" w:after="0"/>
        <w:ind w:left="0" w:right="0" w:firstLine="4320"/>
        <w:jc w:val="left"/>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88" w:before="0" w:after="240"/>
        <w:ind w:left="0" w:right="0" w:firstLine="720"/>
        <w:jc w:val="both"/>
        <w:rPr/>
      </w:pPr>
      <w:r>
        <w:rPr>
          <w:rFonts w:ascii="Times New Roman;sans-serif" w:hAnsi="Times New Roman;sans-serif"/>
          <w:b/>
          <w:color w:val="000000"/>
          <w:sz w:val="22"/>
          <w:u w:val="single"/>
        </w:rPr>
        <w:t xml:space="preserve">USED VEHICLE BORROWERS, </w:t>
      </w:r>
      <w:r>
        <w:rPr>
          <w:rFonts w:ascii="Times New Roman;sans-serif" w:hAnsi="Times New Roman;sans-serif"/>
          <w:b/>
          <w:i/>
          <w:color w:val="000000"/>
          <w:sz w:val="22"/>
          <w:u w:val="single"/>
        </w:rPr>
        <w:t>continued</w:t>
      </w:r>
      <w:r>
        <w:rPr>
          <w:rFonts w:ascii="Times New Roman;sans-serif" w:hAnsi="Times New Roman;sans-serif"/>
          <w:b/>
          <w:color w:val="000000"/>
          <w:sz w:val="22"/>
          <w:u w:val="single"/>
        </w:rPr>
        <w:t>:</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CO LEX,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CO SUB,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DALLAS MB,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DALLAS POR,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DALLAS VOL,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DELAND HUND,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ASBURY-DELAND IMPORTS,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DFW JLR,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EASTON T,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FCF,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FORT WORTH MB,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FT. WORTH FORD,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GEORGIA TOY,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 xml:space="preserve">ASBURY GREELEY SUB, LLC </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IN CBG,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IN CDJ,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IN CHEV, LLC     </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IN FORD,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IN HON,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IN TOY,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INDY CHEV,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JAX AC,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JAX FORD,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JAX HON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LAKEWOOD CHEV,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LAKEWOOD TOY,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LITTLETON JLR,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LITTLETON POR,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LONGMONT HUND,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MS CHEV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MS GRAY-DANIELS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NOBLESVILLE CDJR,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OMK,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PLANO LEX,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SC JPV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SC LEX L.L.C.</w:t>
      </w:r>
    </w:p>
    <w:p>
      <w:pPr>
        <w:pStyle w:val="TextBody"/>
        <w:bidi w:val="0"/>
        <w:spacing w:lineRule="auto" w:line="288"/>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SC TOY L.L.C.</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480175" cy="752475"/>
                <wp:effectExtent l="0" t="0" r="0" b="0"/>
                <wp:wrapNone/>
                <wp:docPr id="363" name="Frame358"/>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Asbury Automotive Group, Inc.</w:t>
                            </w:r>
                            <w:r>
                              <w:br w:type="page"/>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FOURTH AMENDED AND RESTATED CREDIT AGREEMENT</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Asbury Automotive Group, Inc.</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FOURTH AMENDED AND RESTATED CREDIT AGREEMENT</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ST. LOUIS LEX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ST. LOUIS LR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ST. LOUIS M L.L.C.</w:t>
      </w:r>
    </w:p>
    <w:p>
      <w:pPr>
        <w:pStyle w:val="TextBody"/>
        <w:bidi w:val="0"/>
        <w:spacing w:lineRule="auto" w:line="288"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David W. Hult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Typed Name:    David W. Hult</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Typed Title:    President and Chief Executive Officer</w:t>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lineRule="auto" w:line="288" w:before="0" w:after="240"/>
        <w:ind w:left="0" w:right="0" w:firstLine="720"/>
        <w:jc w:val="both"/>
        <w:rPr/>
      </w:pPr>
      <w:r>
        <w:rPr>
          <w:rFonts w:ascii="Times New Roman;sans-serif" w:hAnsi="Times New Roman;sans-serif"/>
          <w:b/>
          <w:color w:val="000000"/>
          <w:sz w:val="22"/>
          <w:u w:val="single"/>
        </w:rPr>
        <w:t xml:space="preserve">USED VEHICLE BORROWERS, </w:t>
      </w:r>
      <w:r>
        <w:rPr>
          <w:rFonts w:ascii="Times New Roman;sans-serif" w:hAnsi="Times New Roman;sans-serif"/>
          <w:b/>
          <w:i/>
          <w:color w:val="000000"/>
          <w:sz w:val="22"/>
          <w:u w:val="single"/>
        </w:rPr>
        <w:t>continued</w:t>
      </w:r>
      <w:r>
        <w:rPr>
          <w:rFonts w:ascii="Times New Roman;sans-serif" w:hAnsi="Times New Roman;sans-serif"/>
          <w:b/>
          <w:color w:val="000000"/>
          <w:sz w:val="22"/>
          <w:u w:val="single"/>
        </w:rPr>
        <w:t>:</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STERLING F,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TX AUCTION,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TYSONS CBG,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TYSONS CDJR,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TYSONS T,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WESTMINSTER T,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WILMINGTON L,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WMC,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WMV,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WOODBRIDGE BG,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WOODBRIDGE F,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WOODBRIDGE H,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ASBURY WOODBRIDGE K,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AVENUES MOTORS, LTD.</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BFP MOTORS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CFP MOTORS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CH MOTORS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CHO PARTNERSHIP, LTD.</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CN MOTORS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COGGIN CARS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COGGIN CHEVROLET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CROWN CHH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CROWN FDO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CROWN FFO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CROWN GAC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CROWN GBM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CROWN GDO L.L.C.    </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CROWN GHO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CROWN GNI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CROWN GVO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CROWN MOTORCAR COMPANY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CROWN PBM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CROWN RIA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CROWN RIB L.L.C.</w:t>
      </w:r>
    </w:p>
    <w:p>
      <w:pPr>
        <w:pStyle w:val="TextBody"/>
        <w:bidi w:val="0"/>
        <w:spacing w:lineRule="auto" w:line="288"/>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CROWN SNI L.L.C.</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480175" cy="752475"/>
                <wp:effectExtent l="0" t="0" r="0" b="0"/>
                <wp:wrapNone/>
                <wp:docPr id="364" name="Frame359"/>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Asbury Automotive Group, Inc.</w:t>
                            </w:r>
                            <w:r>
                              <w:br w:type="page"/>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FOURTH AMENDED AND RESTATED CREDIT AGREEMENT</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Asbury Automotive Group, Inc.</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FOURTH AMENDED AND RESTATED CREDIT AGREEMENT</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CSA IMPORTS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ESCUDE-NN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ESCUDE-NS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ESCUDE-T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HFP MOTORS L.L.C.</w:t>
      </w:r>
    </w:p>
    <w:p>
      <w:pPr>
        <w:pStyle w:val="TextBody"/>
        <w:bidi w:val="0"/>
        <w:spacing w:lineRule="auto" w:line="288"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David W. Hult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Typed Name:    David W. Hult</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Typed Title:    President and Chief Executive Officer</w:t>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before="0" w:after="240"/>
        <w:jc w:val="both"/>
        <w:rPr/>
      </w:pPr>
      <w:r>
        <w:rPr/>
      </w:r>
    </w:p>
    <w:p>
      <w:pPr>
        <w:pStyle w:val="TextBody"/>
        <w:bidi w:val="0"/>
        <w:spacing w:lineRule="auto" w:line="288" w:before="0" w:after="240"/>
        <w:jc w:val="both"/>
        <w:rPr/>
      </w:pPr>
      <w:r>
        <w:rPr>
          <w:rFonts w:ascii="Times New Roman;sans-serif" w:hAnsi="Times New Roman;sans-serif"/>
          <w:b/>
          <w:color w:val="000000"/>
          <w:sz w:val="22"/>
          <w:u w:val="single"/>
        </w:rPr>
        <w:t xml:space="preserve">USED VEHICLE BORROWERS, </w:t>
      </w:r>
      <w:r>
        <w:rPr>
          <w:rFonts w:ascii="Times New Roman;sans-serif" w:hAnsi="Times New Roman;sans-serif"/>
          <w:b/>
          <w:i/>
          <w:color w:val="000000"/>
          <w:sz w:val="22"/>
          <w:u w:val="single"/>
        </w:rPr>
        <w:t>continued</w:t>
      </w:r>
      <w:r>
        <w:rPr>
          <w:rFonts w:ascii="Times New Roman;sans-serif" w:hAnsi="Times New Roman;sans-serif"/>
          <w:b/>
          <w:color w:val="000000"/>
          <w:sz w:val="22"/>
          <w:u w:val="single"/>
        </w:rPr>
        <w:t>:</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KP MOTORS L.L.C.</w:t>
      </w:r>
    </w:p>
    <w:p>
      <w:pPr>
        <w:pStyle w:val="TextBody"/>
        <w:bidi w:val="0"/>
        <w:spacing w:lineRule="auto" w:line="288" w:before="0" w:after="0"/>
        <w:ind w:left="0" w:right="0" w:hanging="180"/>
        <w:jc w:val="left"/>
        <w:rPr>
          <w:rFonts w:ascii="Times New Roman;sans-serif" w:hAnsi="Times New Roman;sans-serif"/>
          <w:b/>
          <w:color w:val="000000"/>
          <w:sz w:val="22"/>
        </w:rPr>
      </w:pPr>
      <w:r>
        <w:rPr>
          <w:rFonts w:ascii="Times New Roman;sans-serif" w:hAnsi="Times New Roman;sans-serif"/>
          <w:b/>
          <w:color w:val="000000"/>
          <w:sz w:val="22"/>
        </w:rPr>
        <w:t>LARRY H. MILLER COMPANY – BOUNTIFUL,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ACD,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ACJ,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ADR,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ALH,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AMT,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ANI,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AVW,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BCD,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BSU,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BUC,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CHV,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CTO,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DCJ,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DDR,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DNI,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FLT,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HOB,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HON,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HYN,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LCJ,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LEX,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LFO,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LMD,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MBL,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MFD,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MNI,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MUR,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NHR,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PCD, LLC</w:t>
      </w:r>
    </w:p>
    <w:p>
      <w:pPr>
        <w:pStyle w:val="TextBody"/>
        <w:bidi w:val="0"/>
        <w:spacing w:lineRule="auto" w:line="288"/>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PCH, LLC</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480175" cy="752475"/>
                <wp:effectExtent l="0" t="0" r="0" b="0"/>
                <wp:wrapNone/>
                <wp:docPr id="365" name="Frame360"/>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Asbury Automotive Group, Inc.</w:t>
                            </w:r>
                            <w:r>
                              <w:br w:type="page"/>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FOURTH AMENDED AND RESTATED CREDIT AGREEMENT</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Asbury Automotive Group, Inc.</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FOURTH AMENDED AND RESTATED CREDIT AGREEMENT</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PEORIA GEN,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PFL,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PNX, LLC    </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QCH,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QCJ, LLC</w:t>
      </w:r>
    </w:p>
    <w:p>
      <w:pPr>
        <w:pStyle w:val="TextBody"/>
        <w:bidi w:val="0"/>
        <w:spacing w:lineRule="auto" w:line="288"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David W. Hult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Typed Name:    David W. Hult</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Typed Title:    President and Chief Executive Officer</w:t>
      </w:r>
    </w:p>
    <w:p>
      <w:pPr>
        <w:pStyle w:val="TextBody"/>
        <w:bidi w:val="0"/>
        <w:spacing w:before="0" w:after="0"/>
        <w:jc w:val="left"/>
        <w:rPr/>
      </w:pPr>
      <w:r>
        <w:rPr/>
      </w:r>
    </w:p>
    <w:p>
      <w:pPr>
        <w:pStyle w:val="TextBody"/>
        <w:bidi w:val="0"/>
        <w:spacing w:before="0" w:after="240"/>
        <w:jc w:val="both"/>
        <w:rPr/>
      </w:pPr>
      <w:r>
        <w:rPr/>
      </w:r>
    </w:p>
    <w:p>
      <w:pPr>
        <w:pStyle w:val="TextBody"/>
        <w:bidi w:val="0"/>
        <w:spacing w:lineRule="auto" w:line="288" w:before="0" w:after="240"/>
        <w:jc w:val="both"/>
        <w:rPr/>
      </w:pPr>
      <w:r>
        <w:rPr>
          <w:rFonts w:ascii="Times New Roman;sans-serif" w:hAnsi="Times New Roman;sans-serif"/>
          <w:b/>
          <w:color w:val="000000"/>
          <w:sz w:val="22"/>
          <w:u w:val="single"/>
        </w:rPr>
        <w:t xml:space="preserve">USED VEHICLE BORROWERS, </w:t>
      </w:r>
      <w:r>
        <w:rPr>
          <w:rFonts w:ascii="Times New Roman;sans-serif" w:hAnsi="Times New Roman;sans-serif"/>
          <w:b/>
          <w:i/>
          <w:color w:val="000000"/>
          <w:sz w:val="22"/>
          <w:u w:val="single"/>
        </w:rPr>
        <w:t>continued</w:t>
      </w:r>
      <w:r>
        <w:rPr>
          <w:rFonts w:ascii="Times New Roman;sans-serif" w:hAnsi="Times New Roman;sans-serif"/>
          <w:b/>
          <w:color w:val="000000"/>
          <w:sz w:val="22"/>
          <w:u w:val="single"/>
        </w:rPr>
        <w:t>:</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RCD,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SCD,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SFL,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SFO,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SHO,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SWH,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TCD,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TCJ,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TDR,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TSD,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TVW,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UCN,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UCO,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LHM UCS,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MCDAVID AUSTIN-ACRA,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MCDAVID FRISCO-HON,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MCDAVID HOUSTON-NISS,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MCDAVID IRVING-HON,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MCDAVID PLANO-ACRA,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NP FLM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NP MZD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NP VKW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OSBORN/MILLER AUTOMOTIVE,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PLANO LINCOLN-MERCURY, INC.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PRECISION INFINITI, INC.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PRECISION MOTORCARS, INC.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PRECISION NISSAN, INC.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PREMIER NSN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PREMIER PON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PRESTIGE BAY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PRESTIGE TOY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 xml:space="preserve">Q AUTOMOTIVE BRANDON FL, LLC </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Q AUTOMOTIVE CUMMING GA, LLC</w:t>
      </w:r>
    </w:p>
    <w:p>
      <w:pPr>
        <w:pStyle w:val="TextBody"/>
        <w:bidi w:val="0"/>
        <w:spacing w:lineRule="auto" w:line="288"/>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Q AUTOMOTIVE FT. MYERS FL, LLC</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480175" cy="752475"/>
                <wp:effectExtent l="0" t="0" r="0" b="0"/>
                <wp:wrapNone/>
                <wp:docPr id="366" name="Frame361"/>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Asbury Automotive Group, Inc.</w:t>
                            </w:r>
                            <w:r>
                              <w:br w:type="page"/>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FOURTH AMENDED AND RESTATED CREDIT AGREEMENT</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Asbury Automotive Group, Inc.</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FOURTH AMENDED AND RESTATED CREDIT AGREEMENT</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 xml:space="preserve">Q AUTOMOTIVE HOLIDAY FL, LLC </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Q AUTOMOTIVE JACKSONVILLE FL,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Q AUTOMOTIVE KENNESAW GA,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 xml:space="preserve">Q AUTOMOTIVE ORLANDO FL, LLC </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Q AUTOMOTIVE TAMPA FL, LLC</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TAMPA HUND, L.P.</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TAMPA KIA, L.P.</w:t>
      </w:r>
    </w:p>
    <w:p>
      <w:pPr>
        <w:pStyle w:val="TextBody"/>
        <w:bidi w:val="0"/>
        <w:spacing w:lineRule="auto" w:line="288" w:before="0" w:after="0"/>
        <w:ind w:left="0" w:right="0" w:firstLine="4320"/>
        <w:jc w:val="left"/>
        <w:rPr>
          <w:rFonts w:ascii="Times New Roman;sans-serif" w:hAnsi="Times New Roman;sans-serif"/>
          <w:b/>
          <w:color w:val="000000"/>
          <w:sz w:val="22"/>
        </w:rPr>
      </w:pPr>
      <w:r>
        <w:rPr>
          <w:rFonts w:ascii="Times New Roman;sans-serif" w:hAnsi="Times New Roman;sans-serif"/>
          <w:b/>
          <w:color w:val="000000"/>
          <w:sz w:val="22"/>
        </w:rPr>
        <w:t>WTY MOTORS, L.P.</w:t>
      </w:r>
    </w:p>
    <w:p>
      <w:pPr>
        <w:pStyle w:val="TextBody"/>
        <w:bidi w:val="0"/>
        <w:spacing w:before="0" w:after="0"/>
        <w:ind w:left="0" w:right="0" w:firstLine="4320"/>
        <w:jc w:val="left"/>
        <w:rPr/>
      </w:pPr>
      <w:r>
        <w:rPr/>
      </w:r>
    </w:p>
    <w:p>
      <w:pPr>
        <w:pStyle w:val="TextBody"/>
        <w:bidi w:val="0"/>
        <w:spacing w:lineRule="auto" w:line="288"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David W. Hult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Typed Name:    David W. Hult</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Typed Title:    President and Chief Executive Officer</w:t>
      </w:r>
    </w:p>
    <w:p>
      <w:pPr>
        <w:pStyle w:val="TextBody"/>
        <w:bidi w:val="0"/>
        <w:spacing w:before="0" w:after="0"/>
        <w:jc w:val="left"/>
        <w:rPr/>
      </w:pPr>
      <w:r>
        <w:rPr/>
      </w:r>
    </w:p>
    <w:p>
      <w:pPr>
        <w:pStyle w:val="TextBody"/>
        <w:bidi w:val="0"/>
        <w:spacing w:before="0" w:after="0"/>
        <w:ind w:left="0" w:right="0" w:firstLine="4320"/>
        <w:jc w:val="left"/>
        <w:rPr/>
      </w:pPr>
      <w:r>
        <w:rPr/>
      </w:r>
    </w:p>
    <w:p>
      <w:pPr>
        <w:pStyle w:val="TextBody"/>
        <w:bidi w:val="0"/>
        <w:spacing w:lineRule="auto" w:line="288" w:before="0" w:after="0"/>
        <w:jc w:val="both"/>
        <w:rPr/>
      </w:pPr>
      <w:r>
        <w:rPr>
          <w:rFonts w:ascii="Times New Roman;sans-serif" w:hAnsi="Times New Roman;sans-serif"/>
          <w:b/>
          <w:color w:val="000000"/>
          <w:sz w:val="22"/>
        </w:rPr>
        <w:t>BANK OF AMERICA, N.A.</w:t>
      </w:r>
      <w:r>
        <w:rPr>
          <w:rFonts w:ascii="Times New Roman;sans-serif" w:hAnsi="Times New Roman;sans-serif"/>
          <w:b w:val="false"/>
          <w:color w:val="000000"/>
          <w:sz w:val="22"/>
        </w:rPr>
        <w:t>,</w:t>
      </w:r>
      <w:r>
        <w:rPr>
          <w:color w:val="000000"/>
        </w:rPr>
        <w:t xml:space="preserve">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Administrative Agent</w:t>
      </w:r>
    </w:p>
    <w:p>
      <w:pPr>
        <w:pStyle w:val="TextBody"/>
        <w:bidi w:val="0"/>
        <w:spacing w:before="120" w:after="283"/>
        <w:jc w:val="both"/>
        <w:rPr/>
      </w:pPr>
      <w:r>
        <w:rPr/>
      </w:r>
    </w:p>
    <w:p>
      <w:pPr>
        <w:pStyle w:val="TextBody"/>
        <w:bidi w:val="0"/>
        <w:spacing w:lineRule="auto" w:line="288" w:before="120" w:after="283"/>
        <w:jc w:val="both"/>
        <w:rPr/>
      </w:pPr>
      <w:r>
        <w:rPr>
          <w:rFonts w:ascii="Times New Roman;sans-serif" w:hAnsi="Times New Roman;sans-serif"/>
          <w:b w:val="false"/>
          <w:color w:val="000000"/>
          <w:sz w:val="22"/>
        </w:rPr>
        <w:t>By:</w:t>
      </w:r>
      <w:r>
        <w:rPr>
          <w:color w:val="000000"/>
          <w:u w:val="single"/>
        </w:rPr>
        <w:t xml:space="preserve">     </w:t>
      </w:r>
      <w:r>
        <w:rPr>
          <w:rFonts w:ascii="Times New Roman;sans-serif" w:hAnsi="Times New Roman;sans-serif"/>
          <w:b w:val="false"/>
          <w:color w:val="000000"/>
          <w:sz w:val="22"/>
          <w:u w:val="single"/>
        </w:rPr>
        <w:t>/s/ Linda Lov                </w:t>
      </w:r>
    </w:p>
    <w:p>
      <w:pPr>
        <w:pStyle w:val="TextBody"/>
        <w:bidi w:val="0"/>
        <w:spacing w:lineRule="auto" w:line="288" w:before="0" w:after="0"/>
        <w:jc w:val="both"/>
        <w:rPr/>
      </w:pPr>
      <w:r>
        <w:rPr>
          <w:rFonts w:ascii="Times New Roman;sans-serif" w:hAnsi="Times New Roman;sans-serif"/>
          <w:b w:val="false"/>
          <w:color w:val="000000"/>
          <w:sz w:val="22"/>
        </w:rPr>
        <w:t>Typed Name:</w:t>
      </w:r>
      <w:r>
        <w:rPr>
          <w:color w:val="000000"/>
          <w:u w:val="single"/>
        </w:rPr>
        <w:t>    </w:t>
      </w:r>
      <w:r>
        <w:rPr>
          <w:rFonts w:ascii="Times New Roman;sans-serif" w:hAnsi="Times New Roman;sans-serif"/>
          <w:b w:val="false"/>
          <w:color w:val="000000"/>
          <w:sz w:val="22"/>
          <w:u w:val="single"/>
        </w:rPr>
        <w:t>Linda Lov                </w:t>
      </w:r>
    </w:p>
    <w:p>
      <w:pPr>
        <w:pStyle w:val="TextBody"/>
        <w:bidi w:val="0"/>
        <w:spacing w:lineRule="auto" w:line="288" w:before="0" w:after="600"/>
        <w:jc w:val="left"/>
        <w:rPr/>
      </w:pPr>
      <w:r>
        <w:rPr>
          <w:rFonts w:ascii="Times New Roman;sans-serif" w:hAnsi="Times New Roman;sans-serif"/>
          <w:b w:val="false"/>
          <w:color w:val="000000"/>
          <w:sz w:val="22"/>
        </w:rPr>
        <w:t>Typed Title:</w:t>
      </w:r>
      <w:r>
        <w:rPr>
          <w:color w:val="000000"/>
          <w:u w:val="single"/>
        </w:rPr>
        <w:t>    </w:t>
      </w:r>
      <w:r>
        <w:rPr>
          <w:rFonts w:ascii="Times New Roman;sans-serif" w:hAnsi="Times New Roman;sans-serif"/>
          <w:b w:val="false"/>
          <w:color w:val="000000"/>
          <w:sz w:val="22"/>
          <w:u w:val="single"/>
        </w:rPr>
        <w:t>Vice President                </w:t>
      </w:r>
    </w:p>
    <w:p>
      <w:pPr>
        <w:pStyle w:val="TextBody"/>
        <w:bidi w:val="0"/>
        <w:spacing w:lineRule="auto" w:line="288" w:before="0" w:after="0"/>
        <w:jc w:val="left"/>
        <w:rPr/>
      </w:pPr>
      <w:r>
        <w:rPr>
          <w:rFonts w:ascii="Times New Roman;sans-serif" w:hAnsi="Times New Roman;sans-serif"/>
          <w:b/>
          <w:color w:val="000000"/>
          <w:sz w:val="22"/>
        </w:rPr>
        <w:t>BANK OF AMERICA, N.A.</w:t>
      </w:r>
      <w:r>
        <w:rPr>
          <w:rFonts w:ascii="Times New Roman;sans-serif" w:hAnsi="Times New Roman;sans-serif"/>
          <w:b w:val="false"/>
          <w:color w:val="000000"/>
          <w:sz w:val="22"/>
        </w:rPr>
        <w:t>,</w:t>
      </w:r>
      <w:r>
        <w:rPr>
          <w:color w:val="000000"/>
        </w:rPr>
        <w:t xml:space="preserve">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as a Lender, an L/C Issuer, Revolving Swing Line Lender, New Vehicle Floorplan Swing Line Lender and Used Vehicle Floorplan Swing Line Lender</w:t>
      </w:r>
    </w:p>
    <w:p>
      <w:pPr>
        <w:pStyle w:val="TextBody"/>
        <w:bidi w:val="0"/>
        <w:spacing w:lineRule="auto" w:line="288" w:before="48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David T. Smith            </w:t>
      </w:r>
    </w:p>
    <w:p>
      <w:pPr>
        <w:pStyle w:val="TextBody"/>
        <w:bidi w:val="0"/>
        <w:spacing w:lineRule="auto" w:line="288" w:before="0" w:after="0"/>
        <w:jc w:val="both"/>
        <w:rPr/>
      </w:pPr>
      <w:r>
        <w:rPr>
          <w:rFonts w:ascii="Times New Roman;sans-serif" w:hAnsi="Times New Roman;sans-serif"/>
          <w:b w:val="false"/>
          <w:color w:val="000000"/>
          <w:sz w:val="22"/>
        </w:rPr>
        <w:t>Typed Name:</w:t>
      </w:r>
      <w:r>
        <w:rPr>
          <w:color w:val="000000"/>
          <w:u w:val="single"/>
        </w:rPr>
        <w:t>    </w:t>
      </w:r>
      <w:r>
        <w:rPr>
          <w:rFonts w:ascii="Times New Roman;sans-serif" w:hAnsi="Times New Roman;sans-serif"/>
          <w:b w:val="false"/>
          <w:color w:val="000000"/>
          <w:sz w:val="22"/>
          <w:u w:val="single"/>
        </w:rPr>
        <w:t>David T. Smith                </w:t>
      </w:r>
    </w:p>
    <w:p>
      <w:pPr>
        <w:pStyle w:val="TextBody"/>
        <w:bidi w:val="0"/>
        <w:spacing w:lineRule="auto" w:line="288" w:before="0" w:after="600"/>
        <w:jc w:val="both"/>
        <w:rPr/>
      </w:pPr>
      <w:r>
        <w:rPr>
          <w:rFonts w:ascii="Times New Roman;sans-serif" w:hAnsi="Times New Roman;sans-serif"/>
          <w:b w:val="false"/>
          <w:color w:val="000000"/>
          <w:sz w:val="22"/>
        </w:rPr>
        <w:t>Typed Title:</w:t>
      </w:r>
      <w:r>
        <w:rPr>
          <w:color w:val="000000"/>
          <w:u w:val="single"/>
        </w:rPr>
        <w:t>    </w:t>
      </w:r>
      <w:r>
        <w:rPr>
          <w:rFonts w:ascii="Times New Roman;sans-serif" w:hAnsi="Times New Roman;sans-serif"/>
          <w:b w:val="false"/>
          <w:color w:val="000000"/>
          <w:sz w:val="22"/>
          <w:u w:val="single"/>
        </w:rPr>
        <w:t>Senior Vice President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480175" cy="752475"/>
                <wp:effectExtent l="0" t="0" r="0" b="0"/>
                <wp:wrapNone/>
                <wp:docPr id="367" name="Frame362"/>
                <a:graphic xmlns:a="http://schemas.openxmlformats.org/drawingml/2006/main">
                  <a:graphicData uri="http://schemas.microsoft.com/office/word/2010/wordprocessingShape">
                    <wps:wsp>
                      <wps:cNvSpPr txBox="1"/>
                      <wps:spPr>
                        <a:xfrm>
                          <a:off x="0" y="0"/>
                          <a:ext cx="6480175" cy="75247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Asbury Automotive Group, Inc.</w:t>
                            </w:r>
                            <w:r>
                              <w:br w:type="page"/>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FOURTH AMENDED AND RESTATED CREDIT AGREEMENT</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2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Asbury Automotive Group, Inc.</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FOURTH AMENDED AND RESTATED CREDIT AGREEMENT</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rFonts w:ascii="Times New Roman;sans-serif" w:hAnsi="Times New Roman;sans-serif"/>
          <w:b/>
          <w:color w:val="000000"/>
          <w:sz w:val="22"/>
        </w:rPr>
        <w:t>TOYOTA MOTOR CREDIT CORPORATION</w:t>
      </w:r>
      <w:r>
        <w:rPr>
          <w:rFonts w:ascii="Times New Roman;sans-serif" w:hAnsi="Times New Roman;sans-serif"/>
          <w:b w:val="false"/>
          <w:color w:val="000000"/>
          <w:sz w:val="22"/>
        </w:rPr>
        <w:t>,</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as a Lender</w:t>
      </w:r>
    </w:p>
    <w:p>
      <w:pPr>
        <w:pStyle w:val="TextBody"/>
        <w:bidi w:val="0"/>
        <w:spacing w:lineRule="auto" w:line="288"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Dominic Calcaterra            </w:t>
      </w:r>
    </w:p>
    <w:p>
      <w:pPr>
        <w:pStyle w:val="TextBody"/>
        <w:bidi w:val="0"/>
        <w:spacing w:lineRule="auto" w:line="288" w:before="0" w:after="0"/>
        <w:jc w:val="both"/>
        <w:rPr/>
      </w:pPr>
      <w:r>
        <w:rPr>
          <w:rFonts w:ascii="Times New Roman;sans-serif" w:hAnsi="Times New Roman;sans-serif"/>
          <w:b w:val="false"/>
          <w:color w:val="000000"/>
          <w:sz w:val="22"/>
        </w:rPr>
        <w:t>Typed Name:</w:t>
      </w:r>
      <w:r>
        <w:rPr>
          <w:color w:val="000000"/>
          <w:u w:val="single"/>
        </w:rPr>
        <w:t>    </w:t>
      </w:r>
      <w:r>
        <w:rPr>
          <w:rFonts w:ascii="Times New Roman;sans-serif" w:hAnsi="Times New Roman;sans-serif"/>
          <w:b w:val="false"/>
          <w:color w:val="000000"/>
          <w:sz w:val="22"/>
          <w:u w:val="single"/>
        </w:rPr>
        <w:t>Dominic Calcaterra            </w:t>
      </w:r>
    </w:p>
    <w:p>
      <w:pPr>
        <w:pStyle w:val="TextBody"/>
        <w:bidi w:val="0"/>
        <w:spacing w:lineRule="auto" w:line="288" w:before="0" w:after="600"/>
        <w:jc w:val="both"/>
        <w:rPr/>
      </w:pPr>
      <w:r>
        <w:rPr>
          <w:rFonts w:ascii="Times New Roman;sans-serif" w:hAnsi="Times New Roman;sans-serif"/>
          <w:b w:val="false"/>
          <w:color w:val="000000"/>
          <w:sz w:val="22"/>
        </w:rPr>
        <w:t>Typed Title:</w:t>
      </w:r>
      <w:r>
        <w:rPr>
          <w:color w:val="000000"/>
          <w:u w:val="single"/>
        </w:rPr>
        <w:t>    </w:t>
      </w:r>
      <w:r>
        <w:rPr>
          <w:rFonts w:ascii="Times New Roman;sans-serif" w:hAnsi="Times New Roman;sans-serif"/>
          <w:b w:val="false"/>
          <w:color w:val="000000"/>
          <w:sz w:val="22"/>
          <w:u w:val="single"/>
        </w:rPr>
        <w:t>National Accounts Manager        </w:t>
      </w:r>
    </w:p>
    <w:p>
      <w:pPr>
        <w:pStyle w:val="TextBody"/>
        <w:bidi w:val="0"/>
        <w:jc w:val="left"/>
        <w:rPr/>
      </w:pPr>
      <w:r>
        <w:rPr/>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480175" cy="1205865"/>
                <wp:effectExtent l="0" t="0" r="0" b="0"/>
                <wp:wrapNone/>
                <wp:docPr id="368" name="Frame363"/>
                <a:graphic xmlns:a="http://schemas.openxmlformats.org/drawingml/2006/main">
                  <a:graphicData uri="http://schemas.microsoft.com/office/word/2010/wordprocessingShape">
                    <wps:wsp>
                      <wps:cNvSpPr txBox="1"/>
                      <wps:spPr>
                        <a:xfrm>
                          <a:off x="0" y="0"/>
                          <a:ext cx="6480175" cy="1205865"/>
                        </a:xfrm>
                        <a:prstGeom prst="rect"/>
                        <a:solidFill>
                          <a:srgbClr val="FFFFFF"/>
                        </a:solidFill>
                      </wps:spPr>
                      <wps:txbx>
                        <w:txbxContent>
                          <w:p>
                            <w:pPr>
                              <w:pStyle w:val="TextBody"/>
                              <w:bidi w:val="0"/>
                              <w:spacing w:before="0" w:after="0"/>
                              <w:ind w:left="0" w:right="0" w:firstLine="720"/>
                              <w:jc w:val="center"/>
                              <w:rPr/>
                            </w:pPr>
                            <w:r>
                              <w:rPr/>
                            </w:r>
                            <w:r>
                              <w:br w:type="page"/>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Asbury Automotive Group, Inc.</w:t>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FOURTH AMENDED AND RESTATED CREDIT AGREEMENT</w:t>
                            </w:r>
                          </w:p>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w:t>
                            </w:r>
                          </w:p>
                          <w:p>
                            <w:pPr>
                              <w:pStyle w:val="TextBody"/>
                              <w:bidi w:val="0"/>
                              <w:spacing w:before="0" w:after="24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Asbury Automotive Group, Inc.</w:t>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FOURTH AMENDED AND RESTATED CREDIT AGREEMENT</w:t>
                      </w:r>
                    </w:p>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w:t>
                      </w:r>
                    </w:p>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88" w:before="0" w:after="0"/>
        <w:jc w:val="left"/>
        <w:rPr/>
      </w:pPr>
      <w:r>
        <w:rPr>
          <w:rFonts w:ascii="Times New Roman;sans-serif" w:hAnsi="Times New Roman;sans-serif"/>
          <w:b/>
          <w:color w:val="000000"/>
          <w:sz w:val="22"/>
        </w:rPr>
        <w:t>JPMORGAN CHASE BANK, N.A.</w:t>
      </w:r>
      <w:r>
        <w:rPr>
          <w:rFonts w:ascii="Times New Roman;sans-serif" w:hAnsi="Times New Roman;sans-serif"/>
          <w:b w:val="false"/>
          <w:color w:val="000000"/>
          <w:sz w:val="22"/>
        </w:rPr>
        <w:t xml:space="preserve">,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as a Lender</w:t>
      </w:r>
    </w:p>
    <w:p>
      <w:pPr>
        <w:pStyle w:val="TextBody"/>
        <w:bidi w:val="0"/>
        <w:spacing w:lineRule="auto" w:line="288"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Adam Sigman            </w:t>
      </w:r>
    </w:p>
    <w:p>
      <w:pPr>
        <w:pStyle w:val="TextBody"/>
        <w:bidi w:val="0"/>
        <w:spacing w:lineRule="auto" w:line="288" w:before="0" w:after="0"/>
        <w:jc w:val="both"/>
        <w:rPr/>
      </w:pPr>
      <w:r>
        <w:rPr>
          <w:rFonts w:ascii="Times New Roman;sans-serif" w:hAnsi="Times New Roman;sans-serif"/>
          <w:b w:val="false"/>
          <w:color w:val="000000"/>
          <w:sz w:val="22"/>
        </w:rPr>
        <w:t>Typed Name:</w:t>
      </w:r>
      <w:r>
        <w:rPr>
          <w:color w:val="000000"/>
          <w:u w:val="single"/>
        </w:rPr>
        <w:t>    </w:t>
      </w:r>
      <w:r>
        <w:rPr>
          <w:rFonts w:ascii="Times New Roman;sans-serif" w:hAnsi="Times New Roman;sans-serif"/>
          <w:b w:val="false"/>
          <w:color w:val="000000"/>
          <w:sz w:val="22"/>
          <w:u w:val="single"/>
        </w:rPr>
        <w:t>Adam Sigman                </w:t>
      </w:r>
    </w:p>
    <w:p>
      <w:pPr>
        <w:pStyle w:val="TextBody"/>
        <w:bidi w:val="0"/>
        <w:spacing w:lineRule="auto" w:line="288" w:before="0" w:after="600"/>
        <w:jc w:val="both"/>
        <w:rPr/>
      </w:pPr>
      <w:r>
        <w:rPr>
          <w:rFonts w:ascii="Times New Roman;sans-serif" w:hAnsi="Times New Roman;sans-serif"/>
          <w:b w:val="false"/>
          <w:color w:val="000000"/>
          <w:sz w:val="22"/>
        </w:rPr>
        <w:t>Typed Title:</w:t>
      </w:r>
      <w:r>
        <w:rPr>
          <w:color w:val="000000"/>
          <w:u w:val="single"/>
        </w:rPr>
        <w:t>    </w:t>
      </w:r>
      <w:r>
        <w:rPr>
          <w:rFonts w:ascii="Times New Roman;sans-serif" w:hAnsi="Times New Roman;sans-serif"/>
          <w:b w:val="false"/>
          <w:color w:val="000000"/>
          <w:sz w:val="22"/>
          <w:u w:val="single"/>
        </w:rPr>
        <w:t>Executive Director            </w:t>
      </w:r>
    </w:p>
    <w:p>
      <w:pPr>
        <w:pStyle w:val="TextBody"/>
        <w:bidi w:val="0"/>
        <w:spacing w:before="0" w:after="283"/>
        <w:jc w:val="left"/>
        <w:rPr/>
      </w:pPr>
      <w:r>
        <w:rPr/>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480175" cy="1205865"/>
                <wp:effectExtent l="0" t="0" r="0" b="0"/>
                <wp:wrapNone/>
                <wp:docPr id="369" name="Frame364"/>
                <a:graphic xmlns:a="http://schemas.openxmlformats.org/drawingml/2006/main">
                  <a:graphicData uri="http://schemas.microsoft.com/office/word/2010/wordprocessingShape">
                    <wps:wsp>
                      <wps:cNvSpPr txBox="1"/>
                      <wps:spPr>
                        <a:xfrm>
                          <a:off x="0" y="0"/>
                          <a:ext cx="6480175" cy="1205865"/>
                        </a:xfrm>
                        <a:prstGeom prst="rect"/>
                        <a:solidFill>
                          <a:srgbClr val="FFFFFF"/>
                        </a:solidFill>
                      </wps:spPr>
                      <wps:txbx>
                        <w:txbxContent>
                          <w:p>
                            <w:pPr>
                              <w:pStyle w:val="TextBody"/>
                              <w:bidi w:val="0"/>
                              <w:spacing w:before="0" w:after="0"/>
                              <w:ind w:left="0" w:right="0" w:firstLine="720"/>
                              <w:jc w:val="center"/>
                              <w:rPr/>
                            </w:pPr>
                            <w:r>
                              <w:rPr/>
                            </w:r>
                            <w:r>
                              <w:br w:type="page"/>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Asbury Automotive Group, Inc.</w:t>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FOURTH AMENDED AND RESTATED CREDIT AGREEMENT</w:t>
                            </w:r>
                          </w:p>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w:t>
                            </w:r>
                          </w:p>
                          <w:p>
                            <w:pPr>
                              <w:pStyle w:val="TextBody"/>
                              <w:bidi w:val="0"/>
                              <w:spacing w:before="0" w:after="24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Asbury Automotive Group, Inc.</w:t>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FOURTH AMENDED AND RESTATED CREDIT AGREEMENT</w:t>
                      </w:r>
                    </w:p>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w:t>
                      </w:r>
                    </w:p>
                    <w:p>
                      <w:pPr>
                        <w:pStyle w:val="TextBody"/>
                        <w:bidi w:val="0"/>
                        <w:spacing w:before="0" w:after="24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2"/>
        </w:rPr>
        <w:t>WELLS FARGO BANK, NATIONAL ASSOCIATION</w:t>
      </w:r>
      <w:r>
        <w:rPr>
          <w:rFonts w:ascii="Times New Roman;sans-serif" w:hAnsi="Times New Roman;sans-serif"/>
          <w:b w:val="false"/>
          <w:color w:val="000000"/>
          <w:sz w:val="22"/>
        </w:rPr>
        <w:t>, as a Lender</w:t>
      </w:r>
    </w:p>
    <w:p>
      <w:pPr>
        <w:pStyle w:val="TextBody"/>
        <w:bidi w:val="0"/>
        <w:spacing w:lineRule="auto" w:line="288"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Chad McNeill            </w:t>
      </w:r>
    </w:p>
    <w:p>
      <w:pPr>
        <w:pStyle w:val="TextBody"/>
        <w:bidi w:val="0"/>
        <w:spacing w:lineRule="auto" w:line="288" w:before="0" w:after="0"/>
        <w:jc w:val="both"/>
        <w:rPr/>
      </w:pPr>
      <w:r>
        <w:rPr>
          <w:rFonts w:ascii="Times New Roman;sans-serif" w:hAnsi="Times New Roman;sans-serif"/>
          <w:b w:val="false"/>
          <w:color w:val="000000"/>
          <w:sz w:val="22"/>
        </w:rPr>
        <w:t>Typed Name:</w:t>
      </w:r>
      <w:r>
        <w:rPr>
          <w:color w:val="000000"/>
          <w:u w:val="single"/>
        </w:rPr>
        <w:t>    </w:t>
      </w:r>
      <w:r>
        <w:rPr>
          <w:rFonts w:ascii="Times New Roman;sans-serif" w:hAnsi="Times New Roman;sans-serif"/>
          <w:b w:val="false"/>
          <w:color w:val="000000"/>
          <w:sz w:val="22"/>
          <w:u w:val="single"/>
        </w:rPr>
        <w:t>Chad McNeill                </w:t>
      </w:r>
    </w:p>
    <w:p>
      <w:pPr>
        <w:pStyle w:val="TextBody"/>
        <w:bidi w:val="0"/>
        <w:spacing w:lineRule="auto" w:line="288" w:before="0" w:after="0"/>
        <w:jc w:val="left"/>
        <w:rPr/>
      </w:pPr>
      <w:r>
        <w:rPr>
          <w:rFonts w:ascii="Times New Roman;sans-serif" w:hAnsi="Times New Roman;sans-serif"/>
          <w:b w:val="false"/>
          <w:color w:val="000000"/>
          <w:sz w:val="22"/>
        </w:rPr>
        <w:t>Typed Title:</w:t>
      </w:r>
      <w:r>
        <w:rPr>
          <w:color w:val="000000"/>
          <w:u w:val="single"/>
        </w:rPr>
        <w:t>    </w:t>
      </w:r>
      <w:r>
        <w:rPr>
          <w:rFonts w:ascii="Times New Roman;sans-serif" w:hAnsi="Times New Roman;sans-serif"/>
          <w:b w:val="false"/>
          <w:color w:val="000000"/>
          <w:sz w:val="22"/>
          <w:u w:val="single"/>
        </w:rPr>
        <w:t>Director                </w:t>
      </w:r>
    </w:p>
    <w:p>
      <w:pPr>
        <w:pStyle w:val="TextBody"/>
        <w:bidi w:val="0"/>
        <w:spacing w:before="0" w:after="160"/>
        <w:jc w:val="left"/>
        <w:rPr/>
      </w:pPr>
      <w:r>
        <w:rPr/>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480175" cy="1205865"/>
                <wp:effectExtent l="0" t="0" r="0" b="0"/>
                <wp:wrapNone/>
                <wp:docPr id="370" name="Frame365"/>
                <a:graphic xmlns:a="http://schemas.openxmlformats.org/drawingml/2006/main">
                  <a:graphicData uri="http://schemas.microsoft.com/office/word/2010/wordprocessingShape">
                    <wps:wsp>
                      <wps:cNvSpPr txBox="1"/>
                      <wps:spPr>
                        <a:xfrm>
                          <a:off x="0" y="0"/>
                          <a:ext cx="6480175" cy="1205865"/>
                        </a:xfrm>
                        <a:prstGeom prst="rect"/>
                        <a:solidFill>
                          <a:srgbClr val="FFFFFF"/>
                        </a:solidFill>
                      </wps:spPr>
                      <wps:txbx>
                        <w:txbxContent>
                          <w:p>
                            <w:pPr>
                              <w:pStyle w:val="TextBody"/>
                              <w:bidi w:val="0"/>
                              <w:spacing w:before="0" w:after="0"/>
                              <w:ind w:left="0" w:right="0" w:firstLine="720"/>
                              <w:jc w:val="center"/>
                              <w:rPr/>
                            </w:pPr>
                            <w:r>
                              <w:rPr/>
                            </w:r>
                            <w:r>
                              <w:br w:type="page"/>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Asbury Automotive Group, Inc.</w:t>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FOURTH AMENDED AND RESTATED CREDIT AGREEMENT</w:t>
                            </w:r>
                          </w:p>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w:t>
                            </w:r>
                          </w:p>
                          <w:p>
                            <w:pPr>
                              <w:pStyle w:val="TextBody"/>
                              <w:bidi w:val="0"/>
                              <w:spacing w:before="0" w:after="24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Asbury Automotive Group, Inc.</w:t>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FOURTH AMENDED AND RESTATED CREDIT AGREEMENT</w:t>
                      </w:r>
                    </w:p>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w:t>
                      </w:r>
                    </w:p>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88" w:before="0" w:after="0"/>
        <w:jc w:val="left"/>
        <w:rPr/>
      </w:pPr>
      <w:r>
        <w:rPr>
          <w:rFonts w:ascii="Times New Roman;sans-serif" w:hAnsi="Times New Roman;sans-serif"/>
          <w:b/>
          <w:color w:val="000000"/>
          <w:sz w:val="22"/>
        </w:rPr>
        <w:t>AMERICAN HONDA FINANCE CORPORATION</w:t>
      </w:r>
      <w:r>
        <w:rPr>
          <w:rFonts w:ascii="Times New Roman;sans-serif" w:hAnsi="Times New Roman;sans-serif"/>
          <w:b w:val="false"/>
          <w:color w:val="000000"/>
          <w:sz w:val="22"/>
        </w:rPr>
        <w:t>,</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as a Lender</w:t>
      </w:r>
    </w:p>
    <w:p>
      <w:pPr>
        <w:pStyle w:val="TextBody"/>
        <w:bidi w:val="0"/>
        <w:spacing w:lineRule="auto" w:line="288"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Justin Calleja            </w:t>
      </w:r>
    </w:p>
    <w:p>
      <w:pPr>
        <w:pStyle w:val="TextBody"/>
        <w:bidi w:val="0"/>
        <w:spacing w:lineRule="auto" w:line="288" w:before="0" w:after="0"/>
        <w:jc w:val="both"/>
        <w:rPr/>
      </w:pPr>
      <w:r>
        <w:rPr>
          <w:rFonts w:ascii="Times New Roman;sans-serif" w:hAnsi="Times New Roman;sans-serif"/>
          <w:b w:val="false"/>
          <w:color w:val="000000"/>
          <w:sz w:val="22"/>
        </w:rPr>
        <w:t>Typed Name:</w:t>
      </w:r>
      <w:r>
        <w:rPr>
          <w:color w:val="000000"/>
          <w:u w:val="single"/>
        </w:rPr>
        <w:t>    </w:t>
      </w:r>
      <w:r>
        <w:rPr>
          <w:rFonts w:ascii="Times New Roman;sans-serif" w:hAnsi="Times New Roman;sans-serif"/>
          <w:b w:val="false"/>
          <w:color w:val="000000"/>
          <w:sz w:val="22"/>
          <w:u w:val="single"/>
        </w:rPr>
        <w:t>Justin Calleja                </w:t>
      </w:r>
    </w:p>
    <w:p>
      <w:pPr>
        <w:pStyle w:val="TextBody"/>
        <w:bidi w:val="0"/>
        <w:spacing w:lineRule="auto" w:line="288" w:before="0" w:after="600"/>
        <w:jc w:val="both"/>
        <w:rPr/>
      </w:pPr>
      <w:r>
        <w:rPr>
          <w:rFonts w:ascii="Times New Roman;sans-serif" w:hAnsi="Times New Roman;sans-serif"/>
          <w:b w:val="false"/>
          <w:color w:val="000000"/>
          <w:sz w:val="22"/>
        </w:rPr>
        <w:t>Typed Title:</w:t>
      </w:r>
      <w:r>
        <w:rPr>
          <w:color w:val="000000"/>
          <w:u w:val="single"/>
        </w:rPr>
        <w:t>    </w:t>
      </w:r>
      <w:r>
        <w:rPr>
          <w:rFonts w:ascii="Times New Roman;sans-serif" w:hAnsi="Times New Roman;sans-serif"/>
          <w:b w:val="false"/>
          <w:color w:val="000000"/>
          <w:sz w:val="22"/>
          <w:u w:val="single"/>
        </w:rPr>
        <w:t>DFS Asst. Manager            </w:t>
      </w:r>
    </w:p>
    <w:p>
      <w:pPr>
        <w:pStyle w:val="TextBody"/>
        <w:bidi w:val="0"/>
        <w:spacing w:before="0" w:after="283"/>
        <w:jc w:val="left"/>
        <w:rPr/>
      </w:pPr>
      <w:r>
        <w:rPr/>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480175" cy="1205865"/>
                <wp:effectExtent l="0" t="0" r="0" b="0"/>
                <wp:wrapNone/>
                <wp:docPr id="371" name="Frame366"/>
                <a:graphic xmlns:a="http://schemas.openxmlformats.org/drawingml/2006/main">
                  <a:graphicData uri="http://schemas.microsoft.com/office/word/2010/wordprocessingShape">
                    <wps:wsp>
                      <wps:cNvSpPr txBox="1"/>
                      <wps:spPr>
                        <a:xfrm>
                          <a:off x="0" y="0"/>
                          <a:ext cx="6480175" cy="1205865"/>
                        </a:xfrm>
                        <a:prstGeom prst="rect"/>
                        <a:solidFill>
                          <a:srgbClr val="FFFFFF"/>
                        </a:solidFill>
                      </wps:spPr>
                      <wps:txbx>
                        <w:txbxContent>
                          <w:p>
                            <w:pPr>
                              <w:pStyle w:val="TextBody"/>
                              <w:bidi w:val="0"/>
                              <w:spacing w:before="0" w:after="0"/>
                              <w:ind w:left="0" w:right="0" w:firstLine="720"/>
                              <w:jc w:val="center"/>
                              <w:rPr/>
                            </w:pPr>
                            <w:r>
                              <w:rPr/>
                            </w:r>
                            <w:r>
                              <w:br w:type="page"/>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Asbury Automotive Group, Inc.</w:t>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FOURTH AMENDED AND RESTATED CREDIT AGREEMENT</w:t>
                            </w:r>
                          </w:p>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w:t>
                            </w:r>
                          </w:p>
                          <w:p>
                            <w:pPr>
                              <w:pStyle w:val="TextBody"/>
                              <w:bidi w:val="0"/>
                              <w:spacing w:before="0" w:after="24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Asbury Automotive Group, Inc.</w:t>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FOURTH AMENDED AND RESTATED CREDIT AGREEMENT</w:t>
                      </w:r>
                    </w:p>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w:t>
                      </w:r>
                    </w:p>
                    <w:p>
                      <w:pPr>
                        <w:pStyle w:val="TextBody"/>
                        <w:bidi w:val="0"/>
                        <w:spacing w:before="0" w:after="24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2"/>
        </w:rPr>
        <w:t>MERCEDES-BENZ FINANCIAL SERVICES USA LLC</w:t>
      </w:r>
      <w:r>
        <w:rPr>
          <w:rFonts w:ascii="Times New Roman;sans-serif" w:hAnsi="Times New Roman;sans-serif"/>
          <w:b w:val="false"/>
          <w:color w:val="000000"/>
          <w:sz w:val="22"/>
        </w:rPr>
        <w:t>,</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as a Lender</w:t>
      </w:r>
    </w:p>
    <w:p>
      <w:pPr>
        <w:pStyle w:val="TextBody"/>
        <w:bidi w:val="0"/>
        <w:spacing w:lineRule="auto" w:line="288" w:before="360" w:after="283"/>
        <w:jc w:val="left"/>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Farrah Vaughn-Dixon        </w:t>
      </w:r>
    </w:p>
    <w:p>
      <w:pPr>
        <w:pStyle w:val="TextBody"/>
        <w:bidi w:val="0"/>
        <w:spacing w:lineRule="auto" w:line="288" w:before="0" w:after="0"/>
        <w:jc w:val="both"/>
        <w:rPr/>
      </w:pPr>
      <w:r>
        <w:rPr>
          <w:rFonts w:ascii="Times New Roman;sans-serif" w:hAnsi="Times New Roman;sans-serif"/>
          <w:b w:val="false"/>
          <w:color w:val="000000"/>
          <w:sz w:val="22"/>
        </w:rPr>
        <w:t>Typed Name:</w:t>
      </w:r>
      <w:r>
        <w:rPr>
          <w:color w:val="000000"/>
          <w:u w:val="single"/>
        </w:rPr>
        <w:t>    </w:t>
      </w:r>
      <w:r>
        <w:rPr>
          <w:rFonts w:ascii="Times New Roman;sans-serif" w:hAnsi="Times New Roman;sans-serif"/>
          <w:b w:val="false"/>
          <w:color w:val="000000"/>
          <w:sz w:val="22"/>
          <w:u w:val="single"/>
        </w:rPr>
        <w:t>Farrah Vaughn-Dixon            </w:t>
      </w:r>
    </w:p>
    <w:p>
      <w:pPr>
        <w:pStyle w:val="TextBody"/>
        <w:bidi w:val="0"/>
        <w:spacing w:lineRule="auto" w:line="288" w:before="0" w:after="600"/>
        <w:jc w:val="both"/>
        <w:rPr/>
      </w:pPr>
      <w:r>
        <w:rPr>
          <w:rFonts w:ascii="Times New Roman;sans-serif" w:hAnsi="Times New Roman;sans-serif"/>
          <w:b w:val="false"/>
          <w:color w:val="000000"/>
          <w:sz w:val="22"/>
        </w:rPr>
        <w:t>Typed Title:</w:t>
      </w:r>
      <w:r>
        <w:rPr>
          <w:color w:val="000000"/>
          <w:u w:val="single"/>
        </w:rPr>
        <w:t>    </w:t>
      </w:r>
      <w:r>
        <w:rPr>
          <w:rFonts w:ascii="Times New Roman;sans-serif" w:hAnsi="Times New Roman;sans-serif"/>
          <w:b w:val="false"/>
          <w:color w:val="000000"/>
          <w:sz w:val="22"/>
          <w:u w:val="single"/>
        </w:rPr>
        <w:t>Regional Dealer Credit Manager-National Accounts                    </w:t>
      </w:r>
    </w:p>
    <w:p>
      <w:pPr>
        <w:pStyle w:val="TextBody"/>
        <w:bidi w:val="0"/>
        <w:spacing w:before="0" w:after="283"/>
        <w:jc w:val="left"/>
        <w:rPr/>
      </w:pPr>
      <w:r>
        <w:rPr/>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480175" cy="1205865"/>
                <wp:effectExtent l="0" t="0" r="0" b="0"/>
                <wp:wrapNone/>
                <wp:docPr id="372" name="Frame367"/>
                <a:graphic xmlns:a="http://schemas.openxmlformats.org/drawingml/2006/main">
                  <a:graphicData uri="http://schemas.microsoft.com/office/word/2010/wordprocessingShape">
                    <wps:wsp>
                      <wps:cNvSpPr txBox="1"/>
                      <wps:spPr>
                        <a:xfrm>
                          <a:off x="0" y="0"/>
                          <a:ext cx="6480175" cy="1205865"/>
                        </a:xfrm>
                        <a:prstGeom prst="rect"/>
                        <a:solidFill>
                          <a:srgbClr val="FFFFFF"/>
                        </a:solidFill>
                      </wps:spPr>
                      <wps:txbx>
                        <w:txbxContent>
                          <w:p>
                            <w:pPr>
                              <w:pStyle w:val="TextBody"/>
                              <w:bidi w:val="0"/>
                              <w:spacing w:before="0" w:after="0"/>
                              <w:ind w:left="0" w:right="0" w:firstLine="720"/>
                              <w:jc w:val="center"/>
                              <w:rPr/>
                            </w:pPr>
                            <w:r>
                              <w:rPr/>
                            </w:r>
                            <w:r>
                              <w:br w:type="page"/>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Asbury Automotive Group, Inc.</w:t>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FOURTH AMENDED AND RESTATED CREDIT AGREEMENT</w:t>
                            </w:r>
                          </w:p>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w:t>
                            </w:r>
                          </w:p>
                          <w:p>
                            <w:pPr>
                              <w:pStyle w:val="TextBody"/>
                              <w:bidi w:val="0"/>
                              <w:spacing w:before="0" w:after="24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Asbury Automotive Group, Inc.</w:t>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FOURTH AMENDED AND RESTATED CREDIT AGREEMENT</w:t>
                      </w:r>
                    </w:p>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w:t>
                      </w:r>
                    </w:p>
                    <w:p>
                      <w:pPr>
                        <w:pStyle w:val="TextBody"/>
                        <w:bidi w:val="0"/>
                        <w:spacing w:before="0" w:after="24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2"/>
        </w:rPr>
        <w:t>U.S. BANK NATIONAL ASSOCIATION</w:t>
      </w:r>
      <w:r>
        <w:rPr>
          <w:rFonts w:ascii="Times New Roman;sans-serif" w:hAnsi="Times New Roman;sans-serif"/>
          <w:b w:val="false"/>
          <w:color w:val="000000"/>
          <w:sz w:val="22"/>
        </w:rPr>
        <w:t>,</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as a Lender</w:t>
      </w:r>
    </w:p>
    <w:p>
      <w:pPr>
        <w:pStyle w:val="TextBody"/>
        <w:bidi w:val="0"/>
        <w:spacing w:lineRule="auto" w:line="288"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Katherine Taylor            </w:t>
      </w:r>
    </w:p>
    <w:p>
      <w:pPr>
        <w:pStyle w:val="TextBody"/>
        <w:bidi w:val="0"/>
        <w:spacing w:lineRule="auto" w:line="288" w:before="0" w:after="0"/>
        <w:jc w:val="both"/>
        <w:rPr/>
      </w:pPr>
      <w:r>
        <w:rPr>
          <w:rFonts w:ascii="Times New Roman;sans-serif" w:hAnsi="Times New Roman;sans-serif"/>
          <w:b w:val="false"/>
          <w:color w:val="000000"/>
          <w:sz w:val="22"/>
        </w:rPr>
        <w:t>Typed Name:</w:t>
      </w:r>
      <w:r>
        <w:rPr>
          <w:color w:val="000000"/>
          <w:u w:val="single"/>
        </w:rPr>
        <w:t>    </w:t>
      </w:r>
      <w:r>
        <w:rPr>
          <w:rFonts w:ascii="Times New Roman;sans-serif" w:hAnsi="Times New Roman;sans-serif"/>
          <w:b w:val="false"/>
          <w:color w:val="000000"/>
          <w:sz w:val="22"/>
          <w:u w:val="single"/>
        </w:rPr>
        <w:t>Katherine Taylor            </w:t>
      </w:r>
    </w:p>
    <w:p>
      <w:pPr>
        <w:pStyle w:val="TextBody"/>
        <w:bidi w:val="0"/>
        <w:spacing w:lineRule="auto" w:line="288" w:before="0" w:after="600"/>
        <w:jc w:val="both"/>
        <w:rPr/>
      </w:pPr>
      <w:r>
        <w:rPr>
          <w:rFonts w:ascii="Times New Roman;sans-serif" w:hAnsi="Times New Roman;sans-serif"/>
          <w:b w:val="false"/>
          <w:color w:val="000000"/>
          <w:sz w:val="22"/>
        </w:rPr>
        <w:t>Typed Title:</w:t>
      </w:r>
      <w:r>
        <w:rPr>
          <w:color w:val="000000"/>
          <w:u w:val="single"/>
        </w:rPr>
        <w:t>    </w:t>
      </w:r>
      <w:r>
        <w:rPr>
          <w:rFonts w:ascii="Times New Roman;sans-serif" w:hAnsi="Times New Roman;sans-serif"/>
          <w:b w:val="false"/>
          <w:color w:val="000000"/>
          <w:sz w:val="22"/>
          <w:u w:val="single"/>
        </w:rPr>
        <w:t>Vice President                </w:t>
      </w:r>
    </w:p>
    <w:p>
      <w:pPr>
        <w:pStyle w:val="TextBody"/>
        <w:bidi w:val="0"/>
        <w:spacing w:before="0" w:after="283"/>
        <w:jc w:val="left"/>
        <w:rPr/>
      </w:pPr>
      <w:r>
        <w:rPr/>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480175" cy="1205865"/>
                <wp:effectExtent l="0" t="0" r="0" b="0"/>
                <wp:wrapNone/>
                <wp:docPr id="373" name="Frame368"/>
                <a:graphic xmlns:a="http://schemas.openxmlformats.org/drawingml/2006/main">
                  <a:graphicData uri="http://schemas.microsoft.com/office/word/2010/wordprocessingShape">
                    <wps:wsp>
                      <wps:cNvSpPr txBox="1"/>
                      <wps:spPr>
                        <a:xfrm>
                          <a:off x="0" y="0"/>
                          <a:ext cx="6480175" cy="1205865"/>
                        </a:xfrm>
                        <a:prstGeom prst="rect"/>
                        <a:solidFill>
                          <a:srgbClr val="FFFFFF"/>
                        </a:solidFill>
                      </wps:spPr>
                      <wps:txbx>
                        <w:txbxContent>
                          <w:p>
                            <w:pPr>
                              <w:pStyle w:val="TextBody"/>
                              <w:bidi w:val="0"/>
                              <w:spacing w:before="0" w:after="0"/>
                              <w:ind w:left="0" w:right="0" w:firstLine="720"/>
                              <w:jc w:val="center"/>
                              <w:rPr/>
                            </w:pPr>
                            <w:r>
                              <w:rPr/>
                            </w:r>
                            <w:r>
                              <w:br w:type="page"/>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Asbury Automotive Group, Inc.</w:t>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FOURTH AMENDED AND RESTATED CREDIT AGREEMENT</w:t>
                            </w:r>
                          </w:p>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w:t>
                            </w:r>
                          </w:p>
                          <w:p>
                            <w:pPr>
                              <w:pStyle w:val="TextBody"/>
                              <w:bidi w:val="0"/>
                              <w:spacing w:before="0" w:after="24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Asbury Automotive Group, Inc.</w:t>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FOURTH AMENDED AND RESTATED CREDIT AGREEMENT</w:t>
                      </w:r>
                    </w:p>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w:t>
                      </w:r>
                    </w:p>
                    <w:p>
                      <w:pPr>
                        <w:pStyle w:val="TextBody"/>
                        <w:bidi w:val="0"/>
                        <w:spacing w:before="0" w:after="24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2"/>
        </w:rPr>
        <w:t>SANTANDER BANK, N.A.</w:t>
      </w:r>
      <w:r>
        <w:rPr>
          <w:rFonts w:ascii="Times New Roman;sans-serif" w:hAnsi="Times New Roman;sans-serif"/>
          <w:b w:val="false"/>
          <w:color w:val="000000"/>
          <w:sz w:val="22"/>
        </w:rPr>
        <w:t>,</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as a Lender</w:t>
      </w:r>
    </w:p>
    <w:p>
      <w:pPr>
        <w:pStyle w:val="TextBody"/>
        <w:bidi w:val="0"/>
        <w:spacing w:lineRule="auto" w:line="288"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Scott Bernstein            </w:t>
      </w:r>
    </w:p>
    <w:p>
      <w:pPr>
        <w:pStyle w:val="TextBody"/>
        <w:bidi w:val="0"/>
        <w:spacing w:lineRule="auto" w:line="288" w:before="0" w:after="0"/>
        <w:jc w:val="both"/>
        <w:rPr/>
      </w:pPr>
      <w:r>
        <w:rPr>
          <w:rFonts w:ascii="Times New Roman;sans-serif" w:hAnsi="Times New Roman;sans-serif"/>
          <w:b w:val="false"/>
          <w:color w:val="000000"/>
          <w:sz w:val="22"/>
        </w:rPr>
        <w:t>Typed Name:</w:t>
      </w:r>
      <w:r>
        <w:rPr>
          <w:color w:val="000000"/>
          <w:u w:val="single"/>
        </w:rPr>
        <w:t>    </w:t>
      </w:r>
      <w:r>
        <w:rPr>
          <w:rFonts w:ascii="Times New Roman;sans-serif" w:hAnsi="Times New Roman;sans-serif"/>
          <w:b w:val="false"/>
          <w:color w:val="000000"/>
          <w:sz w:val="22"/>
          <w:u w:val="single"/>
        </w:rPr>
        <w:t>Scott Bernstein                </w:t>
      </w:r>
    </w:p>
    <w:p>
      <w:pPr>
        <w:pStyle w:val="TextBody"/>
        <w:bidi w:val="0"/>
        <w:spacing w:lineRule="auto" w:line="288" w:before="0" w:after="600"/>
        <w:jc w:val="both"/>
        <w:rPr/>
      </w:pPr>
      <w:r>
        <w:rPr>
          <w:rFonts w:ascii="Times New Roman;sans-serif" w:hAnsi="Times New Roman;sans-serif"/>
          <w:b w:val="false"/>
          <w:color w:val="000000"/>
          <w:sz w:val="22"/>
        </w:rPr>
        <w:t>Typed Title:</w:t>
      </w:r>
      <w:r>
        <w:rPr>
          <w:color w:val="000000"/>
          <w:u w:val="single"/>
        </w:rPr>
        <w:t>    </w:t>
      </w:r>
      <w:r>
        <w:rPr>
          <w:rFonts w:ascii="Times New Roman;sans-serif" w:hAnsi="Times New Roman;sans-serif"/>
          <w:b w:val="false"/>
          <w:color w:val="000000"/>
          <w:sz w:val="22"/>
          <w:u w:val="single"/>
        </w:rPr>
        <w:t>SVP                    </w:t>
      </w:r>
    </w:p>
    <w:p>
      <w:pPr>
        <w:pStyle w:val="TextBody"/>
        <w:bidi w:val="0"/>
        <w:spacing w:before="0" w:after="283"/>
        <w:jc w:val="left"/>
        <w:rPr/>
      </w:pPr>
      <w:r>
        <w:rPr/>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480175" cy="1205865"/>
                <wp:effectExtent l="0" t="0" r="0" b="0"/>
                <wp:wrapNone/>
                <wp:docPr id="374" name="Frame369"/>
                <a:graphic xmlns:a="http://schemas.openxmlformats.org/drawingml/2006/main">
                  <a:graphicData uri="http://schemas.microsoft.com/office/word/2010/wordprocessingShape">
                    <wps:wsp>
                      <wps:cNvSpPr txBox="1"/>
                      <wps:spPr>
                        <a:xfrm>
                          <a:off x="0" y="0"/>
                          <a:ext cx="6480175" cy="1205865"/>
                        </a:xfrm>
                        <a:prstGeom prst="rect"/>
                        <a:solidFill>
                          <a:srgbClr val="FFFFFF"/>
                        </a:solidFill>
                      </wps:spPr>
                      <wps:txbx>
                        <w:txbxContent>
                          <w:p>
                            <w:pPr>
                              <w:pStyle w:val="TextBody"/>
                              <w:bidi w:val="0"/>
                              <w:spacing w:before="0" w:after="0"/>
                              <w:ind w:left="0" w:right="0" w:firstLine="720"/>
                              <w:jc w:val="center"/>
                              <w:rPr/>
                            </w:pPr>
                            <w:r>
                              <w:rPr/>
                            </w:r>
                            <w:r>
                              <w:br w:type="page"/>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Asbury Automotive Group, Inc.</w:t>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FOURTH AMENDED AND RESTATED CREDIT AGREEMENT</w:t>
                            </w:r>
                          </w:p>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w:t>
                            </w:r>
                          </w:p>
                          <w:p>
                            <w:pPr>
                              <w:pStyle w:val="TextBody"/>
                              <w:bidi w:val="0"/>
                              <w:spacing w:before="0" w:after="24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Asbury Automotive Group, Inc.</w:t>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FOURTH AMENDED AND RESTATED CREDIT AGREEMENT</w:t>
                      </w:r>
                    </w:p>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w:t>
                      </w:r>
                    </w:p>
                    <w:p>
                      <w:pPr>
                        <w:pStyle w:val="TextBody"/>
                        <w:bidi w:val="0"/>
                        <w:spacing w:before="0" w:after="24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2"/>
        </w:rPr>
        <w:t>MASS MUTUAL ASSET FINANCE LLC</w:t>
      </w:r>
      <w:r>
        <w:rPr>
          <w:rFonts w:ascii="Times New Roman;sans-serif" w:hAnsi="Times New Roman;sans-serif"/>
          <w:b w:val="false"/>
          <w:color w:val="000000"/>
          <w:sz w:val="22"/>
        </w:rPr>
        <w:t xml:space="preserve">,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as a Lender</w:t>
      </w:r>
    </w:p>
    <w:p>
      <w:pPr>
        <w:pStyle w:val="TextBody"/>
        <w:bidi w:val="0"/>
        <w:spacing w:lineRule="auto" w:line="288"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Donald L. Buttler            </w:t>
      </w:r>
    </w:p>
    <w:p>
      <w:pPr>
        <w:pStyle w:val="TextBody"/>
        <w:bidi w:val="0"/>
        <w:spacing w:lineRule="auto" w:line="288" w:before="0" w:after="0"/>
        <w:jc w:val="both"/>
        <w:rPr/>
      </w:pPr>
      <w:r>
        <w:rPr>
          <w:rFonts w:ascii="Times New Roman;sans-serif" w:hAnsi="Times New Roman;sans-serif"/>
          <w:b w:val="false"/>
          <w:color w:val="000000"/>
          <w:sz w:val="22"/>
        </w:rPr>
        <w:t>Typed Name:</w:t>
      </w:r>
      <w:r>
        <w:rPr>
          <w:color w:val="000000"/>
          <w:u w:val="single"/>
        </w:rPr>
        <w:t>    </w:t>
      </w:r>
      <w:r>
        <w:rPr>
          <w:rFonts w:ascii="Times New Roman;sans-serif" w:hAnsi="Times New Roman;sans-serif"/>
          <w:b w:val="false"/>
          <w:color w:val="000000"/>
          <w:sz w:val="22"/>
          <w:u w:val="single"/>
        </w:rPr>
        <w:t>Donald L. Buttler            </w:t>
      </w:r>
    </w:p>
    <w:p>
      <w:pPr>
        <w:pStyle w:val="TextBody"/>
        <w:bidi w:val="0"/>
        <w:spacing w:lineRule="auto" w:line="288" w:before="0" w:after="600"/>
        <w:jc w:val="both"/>
        <w:rPr/>
      </w:pPr>
      <w:r>
        <w:rPr>
          <w:rFonts w:ascii="Times New Roman;sans-serif" w:hAnsi="Times New Roman;sans-serif"/>
          <w:b w:val="false"/>
          <w:color w:val="000000"/>
          <w:sz w:val="22"/>
        </w:rPr>
        <w:t>Typed Title:</w:t>
      </w:r>
      <w:r>
        <w:rPr>
          <w:color w:val="000000"/>
          <w:u w:val="single"/>
        </w:rPr>
        <w:t>    </w:t>
      </w:r>
      <w:r>
        <w:rPr>
          <w:rFonts w:ascii="Times New Roman;sans-serif" w:hAnsi="Times New Roman;sans-serif"/>
          <w:b w:val="false"/>
          <w:color w:val="000000"/>
          <w:sz w:val="22"/>
          <w:u w:val="single"/>
        </w:rPr>
        <w:t>Senior Vice President            </w:t>
      </w:r>
    </w:p>
    <w:p>
      <w:pPr>
        <w:pStyle w:val="TextBody"/>
        <w:bidi w:val="0"/>
        <w:spacing w:before="0" w:after="283"/>
        <w:jc w:val="left"/>
        <w:rPr/>
      </w:pPr>
      <w:r>
        <w:rPr/>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480175" cy="1205865"/>
                <wp:effectExtent l="0" t="0" r="0" b="0"/>
                <wp:wrapNone/>
                <wp:docPr id="375" name="Frame370"/>
                <a:graphic xmlns:a="http://schemas.openxmlformats.org/drawingml/2006/main">
                  <a:graphicData uri="http://schemas.microsoft.com/office/word/2010/wordprocessingShape">
                    <wps:wsp>
                      <wps:cNvSpPr txBox="1"/>
                      <wps:spPr>
                        <a:xfrm>
                          <a:off x="0" y="0"/>
                          <a:ext cx="6480175" cy="1205865"/>
                        </a:xfrm>
                        <a:prstGeom prst="rect"/>
                        <a:solidFill>
                          <a:srgbClr val="FFFFFF"/>
                        </a:solidFill>
                      </wps:spPr>
                      <wps:txbx>
                        <w:txbxContent>
                          <w:p>
                            <w:pPr>
                              <w:pStyle w:val="TextBody"/>
                              <w:bidi w:val="0"/>
                              <w:spacing w:before="0" w:after="0"/>
                              <w:ind w:left="0" w:right="0" w:firstLine="720"/>
                              <w:jc w:val="center"/>
                              <w:rPr/>
                            </w:pPr>
                            <w:r>
                              <w:rPr/>
                            </w:r>
                            <w:r>
                              <w:br w:type="page"/>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Asbury Automotive Group, Inc.</w:t>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FOURTH AMENDED AND RESTATED CREDIT AGREEMENT</w:t>
                            </w:r>
                          </w:p>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w:t>
                            </w:r>
                          </w:p>
                          <w:p>
                            <w:pPr>
                              <w:pStyle w:val="TextBody"/>
                              <w:bidi w:val="0"/>
                              <w:spacing w:before="0" w:after="24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Asbury Automotive Group, Inc.</w:t>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FOURTH AMENDED AND RESTATED CREDIT AGREEMENT</w:t>
                      </w:r>
                    </w:p>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w:t>
                      </w:r>
                    </w:p>
                    <w:p>
                      <w:pPr>
                        <w:pStyle w:val="TextBody"/>
                        <w:bidi w:val="0"/>
                        <w:spacing w:before="0" w:after="24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2"/>
        </w:rPr>
        <w:t>TD BANK, N.A.,</w:t>
      </w:r>
      <w:r>
        <w:rPr>
          <w:color w:val="000000"/>
        </w:rPr>
        <w:t xml:space="preserve">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as a Lender</w:t>
      </w:r>
    </w:p>
    <w:p>
      <w:pPr>
        <w:pStyle w:val="TextBody"/>
        <w:bidi w:val="0"/>
        <w:spacing w:lineRule="auto" w:line="288"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Edward A. Palek,Jr            </w:t>
      </w:r>
    </w:p>
    <w:p>
      <w:pPr>
        <w:pStyle w:val="TextBody"/>
        <w:bidi w:val="0"/>
        <w:spacing w:lineRule="auto" w:line="288" w:before="0" w:after="0"/>
        <w:jc w:val="both"/>
        <w:rPr/>
      </w:pPr>
      <w:r>
        <w:rPr>
          <w:rFonts w:ascii="Times New Roman;sans-serif" w:hAnsi="Times New Roman;sans-serif"/>
          <w:b w:val="false"/>
          <w:color w:val="000000"/>
          <w:sz w:val="22"/>
        </w:rPr>
        <w:t>Typed Name:</w:t>
      </w:r>
      <w:r>
        <w:rPr>
          <w:color w:val="000000"/>
          <w:u w:val="single"/>
        </w:rPr>
        <w:t>    </w:t>
      </w:r>
      <w:r>
        <w:rPr>
          <w:rFonts w:ascii="Times New Roman;sans-serif" w:hAnsi="Times New Roman;sans-serif"/>
          <w:b w:val="false"/>
          <w:color w:val="000000"/>
          <w:sz w:val="22"/>
          <w:u w:val="single"/>
        </w:rPr>
        <w:t>Edward A. Palek,Jr            </w:t>
      </w:r>
    </w:p>
    <w:p>
      <w:pPr>
        <w:pStyle w:val="TextBody"/>
        <w:bidi w:val="0"/>
        <w:spacing w:lineRule="auto" w:line="288" w:before="0" w:after="600"/>
        <w:jc w:val="both"/>
        <w:rPr/>
      </w:pPr>
      <w:r>
        <w:rPr>
          <w:rFonts w:ascii="Times New Roman;sans-serif" w:hAnsi="Times New Roman;sans-serif"/>
          <w:b w:val="false"/>
          <w:color w:val="000000"/>
          <w:sz w:val="22"/>
        </w:rPr>
        <w:t>Typed Title:</w:t>
      </w:r>
      <w:r>
        <w:rPr>
          <w:color w:val="000000"/>
          <w:u w:val="single"/>
        </w:rPr>
        <w:t>    </w:t>
      </w:r>
      <w:r>
        <w:rPr>
          <w:rFonts w:ascii="Times New Roman;sans-serif" w:hAnsi="Times New Roman;sans-serif"/>
          <w:b w:val="false"/>
          <w:color w:val="000000"/>
          <w:sz w:val="22"/>
          <w:u w:val="single"/>
        </w:rPr>
        <w:t>VP, Market Credit Manager        </w:t>
      </w:r>
    </w:p>
    <w:p>
      <w:pPr>
        <w:pStyle w:val="TextBody"/>
        <w:bidi w:val="0"/>
        <w:spacing w:before="0" w:after="283"/>
        <w:jc w:val="left"/>
        <w:rPr/>
      </w:pPr>
      <w:r>
        <w:rPr/>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480175" cy="1205865"/>
                <wp:effectExtent l="0" t="0" r="0" b="0"/>
                <wp:wrapNone/>
                <wp:docPr id="376" name="Frame371"/>
                <a:graphic xmlns:a="http://schemas.openxmlformats.org/drawingml/2006/main">
                  <a:graphicData uri="http://schemas.microsoft.com/office/word/2010/wordprocessingShape">
                    <wps:wsp>
                      <wps:cNvSpPr txBox="1"/>
                      <wps:spPr>
                        <a:xfrm>
                          <a:off x="0" y="0"/>
                          <a:ext cx="6480175" cy="1205865"/>
                        </a:xfrm>
                        <a:prstGeom prst="rect"/>
                        <a:solidFill>
                          <a:srgbClr val="FFFFFF"/>
                        </a:solidFill>
                      </wps:spPr>
                      <wps:txbx>
                        <w:txbxContent>
                          <w:p>
                            <w:pPr>
                              <w:pStyle w:val="TextBody"/>
                              <w:bidi w:val="0"/>
                              <w:spacing w:before="0" w:after="0"/>
                              <w:ind w:left="0" w:right="0" w:firstLine="720"/>
                              <w:jc w:val="center"/>
                              <w:rPr/>
                            </w:pPr>
                            <w:r>
                              <w:rPr/>
                            </w:r>
                            <w:r>
                              <w:br w:type="page"/>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Asbury Automotive Group, Inc.</w:t>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FOURTH AMENDED AND RESTATED CREDIT AGREEMENT</w:t>
                            </w:r>
                          </w:p>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w:t>
                            </w:r>
                          </w:p>
                          <w:p>
                            <w:pPr>
                              <w:pStyle w:val="TextBody"/>
                              <w:bidi w:val="0"/>
                              <w:spacing w:before="0" w:after="24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Asbury Automotive Group, Inc.</w:t>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FOURTH AMENDED AND RESTATED CREDIT AGREEMENT</w:t>
                      </w:r>
                    </w:p>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w:t>
                      </w:r>
                    </w:p>
                    <w:p>
                      <w:pPr>
                        <w:pStyle w:val="TextBody"/>
                        <w:bidi w:val="0"/>
                        <w:spacing w:before="0" w:after="24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2"/>
        </w:rPr>
        <w:t>HYUNDAI CAPITAL AMERICA</w:t>
      </w:r>
      <w:r>
        <w:rPr>
          <w:rFonts w:ascii="Times New Roman;sans-serif" w:hAnsi="Times New Roman;sans-serif"/>
          <w:b w:val="false"/>
          <w:color w:val="000000"/>
          <w:sz w:val="22"/>
        </w:rPr>
        <w:t xml:space="preserve">,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as a Lender</w:t>
      </w:r>
    </w:p>
    <w:p>
      <w:pPr>
        <w:pStyle w:val="TextBody"/>
        <w:bidi w:val="0"/>
        <w:spacing w:lineRule="auto" w:line="288"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Jean Tham                </w:t>
      </w:r>
    </w:p>
    <w:p>
      <w:pPr>
        <w:pStyle w:val="TextBody"/>
        <w:bidi w:val="0"/>
        <w:spacing w:lineRule="auto" w:line="288" w:before="0" w:after="0"/>
        <w:jc w:val="both"/>
        <w:rPr/>
      </w:pPr>
      <w:r>
        <w:rPr>
          <w:rFonts w:ascii="Times New Roman;sans-serif" w:hAnsi="Times New Roman;sans-serif"/>
          <w:b w:val="false"/>
          <w:color w:val="000000"/>
          <w:sz w:val="22"/>
        </w:rPr>
        <w:t>Typed Name:</w:t>
      </w:r>
      <w:r>
        <w:rPr>
          <w:color w:val="000000"/>
          <w:u w:val="single"/>
        </w:rPr>
        <w:t>    </w:t>
      </w:r>
      <w:r>
        <w:rPr>
          <w:rFonts w:ascii="Times New Roman;sans-serif" w:hAnsi="Times New Roman;sans-serif"/>
          <w:b w:val="false"/>
          <w:color w:val="000000"/>
          <w:sz w:val="22"/>
          <w:u w:val="single"/>
        </w:rPr>
        <w:t>Jean Tham                </w:t>
      </w:r>
    </w:p>
    <w:p>
      <w:pPr>
        <w:pStyle w:val="TextBody"/>
        <w:bidi w:val="0"/>
        <w:spacing w:lineRule="auto" w:line="288" w:before="0" w:after="600"/>
        <w:jc w:val="both"/>
        <w:rPr/>
      </w:pPr>
      <w:r>
        <w:rPr>
          <w:rFonts w:ascii="Times New Roman;sans-serif" w:hAnsi="Times New Roman;sans-serif"/>
          <w:b w:val="false"/>
          <w:color w:val="000000"/>
          <w:sz w:val="22"/>
        </w:rPr>
        <w:t>Typed Title:</w:t>
      </w:r>
      <w:r>
        <w:rPr>
          <w:color w:val="000000"/>
          <w:u w:val="single"/>
        </w:rPr>
        <w:t>    </w:t>
      </w:r>
      <w:r>
        <w:rPr>
          <w:rFonts w:ascii="Times New Roman;sans-serif" w:hAnsi="Times New Roman;sans-serif"/>
          <w:b w:val="false"/>
          <w:color w:val="000000"/>
          <w:sz w:val="22"/>
          <w:u w:val="single"/>
        </w:rPr>
        <w:t>Vice President                </w:t>
      </w:r>
    </w:p>
    <w:p>
      <w:pPr>
        <w:pStyle w:val="TextBody"/>
        <w:bidi w:val="0"/>
        <w:spacing w:before="0" w:after="600"/>
        <w:jc w:val="both"/>
        <w:rPr/>
      </w:pPr>
      <w:r>
        <w:rPr/>
      </w:r>
    </w:p>
    <w:p>
      <w:pPr>
        <w:pStyle w:val="TextBody"/>
        <w:bidi w:val="0"/>
        <w:spacing w:before="0" w:after="600"/>
        <w:jc w:val="both"/>
        <w:rPr/>
      </w:pPr>
      <w:r>
        <w:rPr/>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480175" cy="1205865"/>
                <wp:effectExtent l="0" t="0" r="0" b="0"/>
                <wp:wrapNone/>
                <wp:docPr id="377" name="Frame372"/>
                <a:graphic xmlns:a="http://schemas.openxmlformats.org/drawingml/2006/main">
                  <a:graphicData uri="http://schemas.microsoft.com/office/word/2010/wordprocessingShape">
                    <wps:wsp>
                      <wps:cNvSpPr txBox="1"/>
                      <wps:spPr>
                        <a:xfrm>
                          <a:off x="0" y="0"/>
                          <a:ext cx="6480175" cy="1205865"/>
                        </a:xfrm>
                        <a:prstGeom prst="rect"/>
                        <a:solidFill>
                          <a:srgbClr val="FFFFFF"/>
                        </a:solidFill>
                      </wps:spPr>
                      <wps:txbx>
                        <w:txbxContent>
                          <w:p>
                            <w:pPr>
                              <w:pStyle w:val="TextBody"/>
                              <w:bidi w:val="0"/>
                              <w:spacing w:before="0" w:after="0"/>
                              <w:ind w:left="0" w:right="0" w:firstLine="720"/>
                              <w:jc w:val="center"/>
                              <w:rPr/>
                            </w:pPr>
                            <w:r>
                              <w:rPr/>
                            </w:r>
                            <w:r>
                              <w:br w:type="page"/>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Asbury Automotive Group, Inc.</w:t>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FOURTH AMENDED AND RESTATED CREDIT AGREEMENT</w:t>
                            </w:r>
                          </w:p>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w:t>
                            </w:r>
                          </w:p>
                          <w:p>
                            <w:pPr>
                              <w:pStyle w:val="TextBody"/>
                              <w:bidi w:val="0"/>
                              <w:spacing w:before="0" w:after="24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Asbury Automotive Group, Inc.</w:t>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FOURTH AMENDED AND RESTATED CREDIT AGREEMENT</w:t>
                      </w:r>
                    </w:p>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w:t>
                      </w:r>
                    </w:p>
                    <w:p>
                      <w:pPr>
                        <w:pStyle w:val="TextBody"/>
                        <w:bidi w:val="0"/>
                        <w:spacing w:before="0" w:after="240"/>
                        <w:ind w:left="0" w:right="0" w:firstLine="720"/>
                        <w:jc w:val="both"/>
                        <w:rPr/>
                      </w:pPr>
                      <w:r>
                        <w:rPr/>
                      </w:r>
                    </w:p>
                  </w:txbxContent>
                </v:textbox>
                <w10:wrap type="none"/>
              </v:rect>
            </w:pict>
          </mc:Fallback>
        </mc:AlternateContent>
      </w:r>
    </w:p>
    <w:p>
      <w:pPr>
        <w:pStyle w:val="TextBody"/>
        <w:bidi w:val="0"/>
        <w:spacing w:before="0" w:after="600"/>
        <w:jc w:val="both"/>
        <w:rPr/>
      </w:pPr>
      <w:r>
        <w:rPr/>
      </w:r>
    </w:p>
    <w:p>
      <w:pPr>
        <w:pStyle w:val="TextBody"/>
        <w:bidi w:val="0"/>
        <w:spacing w:lineRule="auto" w:line="288" w:before="0" w:after="0"/>
        <w:jc w:val="left"/>
        <w:rPr/>
      </w:pPr>
      <w:r>
        <w:rPr>
          <w:rFonts w:ascii="Times New Roman;sans-serif" w:hAnsi="Times New Roman;sans-serif"/>
          <w:b/>
          <w:color w:val="000000"/>
          <w:sz w:val="22"/>
        </w:rPr>
        <w:t>BMW FINANCIAL SERVICES NA, LLC</w:t>
      </w:r>
      <w:r>
        <w:rPr>
          <w:rFonts w:ascii="Times New Roman;sans-serif" w:hAnsi="Times New Roman;sans-serif"/>
          <w:b w:val="false"/>
          <w:color w:val="000000"/>
          <w:sz w:val="22"/>
        </w:rPr>
        <w:t>,</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as a Lender</w:t>
      </w:r>
    </w:p>
    <w:p>
      <w:pPr>
        <w:pStyle w:val="TextBody"/>
        <w:bidi w:val="0"/>
        <w:spacing w:lineRule="auto" w:line="288"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Emily Adams            </w:t>
      </w:r>
    </w:p>
    <w:p>
      <w:pPr>
        <w:pStyle w:val="TextBody"/>
        <w:bidi w:val="0"/>
        <w:spacing w:lineRule="auto" w:line="288" w:before="0" w:after="0"/>
        <w:jc w:val="both"/>
        <w:rPr/>
      </w:pPr>
      <w:r>
        <w:rPr>
          <w:rFonts w:ascii="Times New Roman;sans-serif" w:hAnsi="Times New Roman;sans-serif"/>
          <w:b w:val="false"/>
          <w:color w:val="000000"/>
          <w:sz w:val="22"/>
        </w:rPr>
        <w:t>Typed Name:</w:t>
      </w:r>
      <w:r>
        <w:rPr>
          <w:color w:val="000000"/>
          <w:u w:val="single"/>
        </w:rPr>
        <w:t>    </w:t>
      </w:r>
      <w:r>
        <w:rPr>
          <w:rFonts w:ascii="Times New Roman;sans-serif" w:hAnsi="Times New Roman;sans-serif"/>
          <w:b w:val="false"/>
          <w:color w:val="000000"/>
          <w:sz w:val="22"/>
          <w:u w:val="single"/>
        </w:rPr>
        <w:t>Emily Adams                </w:t>
      </w:r>
    </w:p>
    <w:p>
      <w:pPr>
        <w:pStyle w:val="TextBody"/>
        <w:bidi w:val="0"/>
        <w:spacing w:lineRule="auto" w:line="288" w:before="0" w:after="480"/>
        <w:jc w:val="both"/>
        <w:rPr/>
      </w:pPr>
      <w:r>
        <w:rPr>
          <w:rFonts w:ascii="Times New Roman;sans-serif" w:hAnsi="Times New Roman;sans-serif"/>
          <w:b w:val="false"/>
          <w:color w:val="000000"/>
          <w:sz w:val="22"/>
        </w:rPr>
        <w:t>Typed Title:</w:t>
      </w:r>
      <w:r>
        <w:rPr>
          <w:color w:val="000000"/>
          <w:u w:val="single"/>
        </w:rPr>
        <w:t>    </w:t>
      </w:r>
      <w:r>
        <w:rPr>
          <w:rFonts w:ascii="Times New Roman;sans-serif" w:hAnsi="Times New Roman;sans-serif"/>
          <w:b w:val="false"/>
          <w:color w:val="000000"/>
          <w:sz w:val="22"/>
          <w:u w:val="single"/>
        </w:rPr>
        <w:t>Section Manager            </w:t>
      </w:r>
    </w:p>
    <w:p>
      <w:pPr>
        <w:pStyle w:val="TextBody"/>
        <w:bidi w:val="0"/>
        <w:spacing w:lineRule="auto" w:line="288" w:before="12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Alex Calcasola            </w:t>
      </w:r>
    </w:p>
    <w:p>
      <w:pPr>
        <w:pStyle w:val="TextBody"/>
        <w:bidi w:val="0"/>
        <w:spacing w:lineRule="auto" w:line="288" w:before="0" w:after="0"/>
        <w:jc w:val="both"/>
        <w:rPr/>
      </w:pPr>
      <w:r>
        <w:rPr>
          <w:rFonts w:ascii="Times New Roman;sans-serif" w:hAnsi="Times New Roman;sans-serif"/>
          <w:b w:val="false"/>
          <w:color w:val="000000"/>
          <w:sz w:val="22"/>
        </w:rPr>
        <w:t>Typed Name:</w:t>
      </w:r>
      <w:r>
        <w:rPr>
          <w:color w:val="000000"/>
          <w:u w:val="single"/>
        </w:rPr>
        <w:t>    </w:t>
      </w:r>
      <w:r>
        <w:rPr>
          <w:rFonts w:ascii="Times New Roman;sans-serif" w:hAnsi="Times New Roman;sans-serif"/>
          <w:b w:val="false"/>
          <w:color w:val="000000"/>
          <w:sz w:val="22"/>
          <w:u w:val="single"/>
        </w:rPr>
        <w:t>Alex Calcasola                </w:t>
      </w:r>
    </w:p>
    <w:p>
      <w:pPr>
        <w:pStyle w:val="TextBody"/>
        <w:bidi w:val="0"/>
        <w:spacing w:lineRule="auto" w:line="288" w:before="0" w:after="600"/>
        <w:jc w:val="both"/>
        <w:rPr/>
      </w:pPr>
      <w:r>
        <w:rPr>
          <w:rFonts w:ascii="Times New Roman;sans-serif" w:hAnsi="Times New Roman;sans-serif"/>
          <w:b w:val="false"/>
          <w:color w:val="000000"/>
          <w:sz w:val="22"/>
        </w:rPr>
        <w:t>Typed Title:</w:t>
      </w:r>
      <w:r>
        <w:rPr>
          <w:color w:val="000000"/>
          <w:u w:val="single"/>
        </w:rPr>
        <w:t>    </w:t>
      </w:r>
      <w:r>
        <w:rPr>
          <w:rFonts w:ascii="Times New Roman;sans-serif" w:hAnsi="Times New Roman;sans-serif"/>
          <w:b w:val="false"/>
          <w:color w:val="000000"/>
          <w:sz w:val="22"/>
          <w:u w:val="single"/>
        </w:rPr>
        <w:t>Deputy for Department Manager    </w:t>
      </w:r>
    </w:p>
    <w:p>
      <w:pPr>
        <w:pStyle w:val="TextBody"/>
        <w:bidi w:val="0"/>
        <w:spacing w:before="0" w:after="600"/>
        <w:jc w:val="both"/>
        <w:rPr/>
      </w:pPr>
      <w:r>
        <w:rPr/>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480175" cy="1205865"/>
                <wp:effectExtent l="0" t="0" r="0" b="0"/>
                <wp:wrapNone/>
                <wp:docPr id="378" name="Frame373"/>
                <a:graphic xmlns:a="http://schemas.openxmlformats.org/drawingml/2006/main">
                  <a:graphicData uri="http://schemas.microsoft.com/office/word/2010/wordprocessingShape">
                    <wps:wsp>
                      <wps:cNvSpPr txBox="1"/>
                      <wps:spPr>
                        <a:xfrm>
                          <a:off x="0" y="0"/>
                          <a:ext cx="6480175" cy="1205865"/>
                        </a:xfrm>
                        <a:prstGeom prst="rect"/>
                        <a:solidFill>
                          <a:srgbClr val="FFFFFF"/>
                        </a:solidFill>
                      </wps:spPr>
                      <wps:txbx>
                        <w:txbxContent>
                          <w:p>
                            <w:pPr>
                              <w:pStyle w:val="TextBody"/>
                              <w:bidi w:val="0"/>
                              <w:spacing w:before="0" w:after="0"/>
                              <w:ind w:left="0" w:right="0" w:firstLine="720"/>
                              <w:jc w:val="center"/>
                              <w:rPr/>
                            </w:pPr>
                            <w:r>
                              <w:rPr/>
                            </w:r>
                            <w:r>
                              <w:br w:type="page"/>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Asbury Automotive Group, Inc.</w:t>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FOURTH AMENDED AND RESTATED CREDIT AGREEMENT</w:t>
                            </w:r>
                          </w:p>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w:t>
                            </w:r>
                          </w:p>
                          <w:p>
                            <w:pPr>
                              <w:pStyle w:val="TextBody"/>
                              <w:bidi w:val="0"/>
                              <w:spacing w:before="0" w:after="24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Asbury Automotive Group, Inc.</w:t>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FOURTH AMENDED AND RESTATED CREDIT AGREEMENT</w:t>
                      </w:r>
                    </w:p>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w:t>
                      </w:r>
                    </w:p>
                    <w:p>
                      <w:pPr>
                        <w:pStyle w:val="TextBody"/>
                        <w:bidi w:val="0"/>
                        <w:spacing w:before="0" w:after="240"/>
                        <w:ind w:left="0" w:right="0" w:firstLine="720"/>
                        <w:jc w:val="both"/>
                        <w:rPr/>
                      </w:pPr>
                      <w:r>
                        <w:rPr/>
                      </w:r>
                    </w:p>
                  </w:txbxContent>
                </v:textbox>
                <w10:wrap type="none"/>
              </v:rect>
            </w:pict>
          </mc:Fallback>
        </mc:AlternateContent>
      </w:r>
    </w:p>
    <w:p>
      <w:pPr>
        <w:pStyle w:val="TextBody"/>
        <w:bidi w:val="0"/>
        <w:spacing w:before="0" w:after="600"/>
        <w:jc w:val="both"/>
        <w:rPr/>
      </w:pPr>
      <w:r>
        <w:rPr/>
      </w:r>
    </w:p>
    <w:p>
      <w:pPr>
        <w:pStyle w:val="TextBody"/>
        <w:bidi w:val="0"/>
        <w:spacing w:lineRule="auto" w:line="288" w:before="0" w:after="0"/>
        <w:jc w:val="left"/>
        <w:rPr/>
      </w:pPr>
      <w:r>
        <w:rPr>
          <w:rFonts w:ascii="Times New Roman;sans-serif" w:hAnsi="Times New Roman;sans-serif"/>
          <w:b/>
          <w:color w:val="000000"/>
          <w:sz w:val="22"/>
        </w:rPr>
        <w:t>ZIONS BANCORPORATION, N.A.</w:t>
      </w:r>
      <w:r>
        <w:rPr>
          <w:rFonts w:ascii="Times New Roman;sans-serif" w:hAnsi="Times New Roman;sans-serif"/>
          <w:b w:val="false"/>
          <w:color w:val="000000"/>
          <w:sz w:val="22"/>
        </w:rPr>
        <w:t>,</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as a Lender</w:t>
      </w:r>
    </w:p>
    <w:p>
      <w:pPr>
        <w:pStyle w:val="TextBody"/>
        <w:bidi w:val="0"/>
        <w:spacing w:lineRule="auto" w:line="288"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Robert Kastelic            </w:t>
      </w:r>
    </w:p>
    <w:p>
      <w:pPr>
        <w:pStyle w:val="TextBody"/>
        <w:bidi w:val="0"/>
        <w:spacing w:lineRule="auto" w:line="288" w:before="0" w:after="0"/>
        <w:jc w:val="both"/>
        <w:rPr/>
      </w:pPr>
      <w:r>
        <w:rPr>
          <w:rFonts w:ascii="Times New Roman;sans-serif" w:hAnsi="Times New Roman;sans-serif"/>
          <w:b w:val="false"/>
          <w:color w:val="000000"/>
          <w:sz w:val="22"/>
        </w:rPr>
        <w:t>Typed Name:</w:t>
      </w:r>
      <w:r>
        <w:rPr>
          <w:color w:val="000000"/>
          <w:u w:val="single"/>
        </w:rPr>
        <w:t>    </w:t>
      </w:r>
      <w:r>
        <w:rPr>
          <w:rFonts w:ascii="Times New Roman;sans-serif" w:hAnsi="Times New Roman;sans-serif"/>
          <w:b w:val="false"/>
          <w:color w:val="000000"/>
          <w:sz w:val="22"/>
          <w:u w:val="single"/>
        </w:rPr>
        <w:t>Robert Kastelic                </w:t>
      </w:r>
    </w:p>
    <w:p>
      <w:pPr>
        <w:pStyle w:val="TextBody"/>
        <w:bidi w:val="0"/>
        <w:spacing w:lineRule="auto" w:line="288" w:before="0" w:after="600"/>
        <w:jc w:val="both"/>
        <w:rPr/>
      </w:pPr>
      <w:r>
        <w:rPr>
          <w:rFonts w:ascii="Times New Roman;sans-serif" w:hAnsi="Times New Roman;sans-serif"/>
          <w:b w:val="false"/>
          <w:color w:val="000000"/>
          <w:sz w:val="22"/>
        </w:rPr>
        <w:t>Typed Title:</w:t>
      </w:r>
      <w:r>
        <w:rPr>
          <w:color w:val="000000"/>
          <w:u w:val="single"/>
        </w:rPr>
        <w:t>    </w:t>
      </w:r>
      <w:r>
        <w:rPr>
          <w:rFonts w:ascii="Times New Roman;sans-serif" w:hAnsi="Times New Roman;sans-serif"/>
          <w:b w:val="false"/>
          <w:color w:val="000000"/>
          <w:sz w:val="22"/>
          <w:u w:val="single"/>
        </w:rPr>
        <w:t>SVP                    </w:t>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480175" cy="1205865"/>
                <wp:effectExtent l="0" t="0" r="0" b="0"/>
                <wp:wrapNone/>
                <wp:docPr id="379" name="Frame374"/>
                <a:graphic xmlns:a="http://schemas.openxmlformats.org/drawingml/2006/main">
                  <a:graphicData uri="http://schemas.microsoft.com/office/word/2010/wordprocessingShape">
                    <wps:wsp>
                      <wps:cNvSpPr txBox="1"/>
                      <wps:spPr>
                        <a:xfrm>
                          <a:off x="0" y="0"/>
                          <a:ext cx="6480175" cy="1205865"/>
                        </a:xfrm>
                        <a:prstGeom prst="rect"/>
                        <a:solidFill>
                          <a:srgbClr val="FFFFFF"/>
                        </a:solidFill>
                      </wps:spPr>
                      <wps:txbx>
                        <w:txbxContent>
                          <w:p>
                            <w:pPr>
                              <w:pStyle w:val="TextBody"/>
                              <w:bidi w:val="0"/>
                              <w:spacing w:before="0" w:after="0"/>
                              <w:ind w:left="0" w:right="0" w:firstLine="720"/>
                              <w:jc w:val="center"/>
                              <w:rPr/>
                            </w:pPr>
                            <w:r>
                              <w:rPr/>
                            </w:r>
                            <w:r>
                              <w:br w:type="page"/>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Asbury Automotive Group, Inc.</w:t>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FOURTH AMENDED AND RESTATED CREDIT AGREEMENT</w:t>
                            </w:r>
                          </w:p>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w:t>
                            </w:r>
                          </w:p>
                          <w:p>
                            <w:pPr>
                              <w:pStyle w:val="TextBody"/>
                              <w:bidi w:val="0"/>
                              <w:spacing w:before="0" w:after="24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Asbury Automotive Group, Inc.</w:t>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FOURTH AMENDED AND RESTATED CREDIT AGREEMENT</w:t>
                      </w:r>
                    </w:p>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w:t>
                      </w:r>
                    </w:p>
                    <w:p>
                      <w:pPr>
                        <w:pStyle w:val="TextBody"/>
                        <w:bidi w:val="0"/>
                        <w:spacing w:before="0" w:after="240"/>
                        <w:ind w:left="0" w:right="0" w:firstLine="720"/>
                        <w:jc w:val="both"/>
                        <w:rPr/>
                      </w:pPr>
                      <w:r>
                        <w:rPr/>
                      </w:r>
                    </w:p>
                  </w:txbxContent>
                </v:textbox>
                <w10:wrap type="none"/>
              </v:rect>
            </w:pict>
          </mc:Fallback>
        </mc:AlternateContent>
      </w:r>
    </w:p>
    <w:p>
      <w:pPr>
        <w:pStyle w:val="TextBody"/>
        <w:bidi w:val="0"/>
        <w:spacing w:before="0" w:after="600"/>
        <w:jc w:val="both"/>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VW CREDIT, INC.,</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as a Lender</w:t>
      </w:r>
    </w:p>
    <w:p>
      <w:pPr>
        <w:pStyle w:val="TextBody"/>
        <w:bidi w:val="0"/>
        <w:spacing w:lineRule="auto" w:line="288"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William J. Binz            </w:t>
      </w:r>
    </w:p>
    <w:p>
      <w:pPr>
        <w:pStyle w:val="TextBody"/>
        <w:bidi w:val="0"/>
        <w:spacing w:lineRule="auto" w:line="288" w:before="0" w:after="0"/>
        <w:jc w:val="both"/>
        <w:rPr/>
      </w:pPr>
      <w:r>
        <w:rPr>
          <w:rFonts w:ascii="Times New Roman;sans-serif" w:hAnsi="Times New Roman;sans-serif"/>
          <w:b w:val="false"/>
          <w:color w:val="000000"/>
          <w:sz w:val="22"/>
        </w:rPr>
        <w:t>Typed Name:</w:t>
      </w:r>
      <w:r>
        <w:rPr>
          <w:color w:val="000000"/>
          <w:u w:val="single"/>
        </w:rPr>
        <w:t>    </w:t>
      </w:r>
      <w:r>
        <w:rPr>
          <w:rFonts w:ascii="Times New Roman;sans-serif" w:hAnsi="Times New Roman;sans-serif"/>
          <w:b w:val="false"/>
          <w:color w:val="000000"/>
          <w:sz w:val="22"/>
          <w:u w:val="single"/>
        </w:rPr>
        <w:t>William J. Binz                </w:t>
      </w:r>
    </w:p>
    <w:p>
      <w:pPr>
        <w:pStyle w:val="TextBody"/>
        <w:bidi w:val="0"/>
        <w:spacing w:lineRule="auto" w:line="288" w:before="0" w:after="600"/>
        <w:jc w:val="both"/>
        <w:rPr/>
      </w:pPr>
      <w:r>
        <w:rPr>
          <w:rFonts w:ascii="Times New Roman;sans-serif" w:hAnsi="Times New Roman;sans-serif"/>
          <w:b w:val="false"/>
          <w:color w:val="000000"/>
          <w:sz w:val="22"/>
        </w:rPr>
        <w:t>Typed Title:</w:t>
      </w:r>
      <w:r>
        <w:rPr>
          <w:color w:val="000000"/>
          <w:u w:val="single"/>
        </w:rPr>
        <w:t>    </w:t>
      </w:r>
      <w:r>
        <w:rPr>
          <w:rFonts w:ascii="Times New Roman;sans-serif" w:hAnsi="Times New Roman;sans-serif"/>
          <w:b w:val="false"/>
          <w:color w:val="000000"/>
          <w:sz w:val="22"/>
          <w:u w:val="single"/>
        </w:rPr>
        <w:t>Sr. Manager - Commercial Credit    </w:t>
      </w:r>
    </w:p>
    <w:p>
      <w:pPr>
        <w:pStyle w:val="TextBody"/>
        <w:bidi w:val="0"/>
        <w:spacing w:before="0" w:after="283"/>
        <w:jc w:val="left"/>
        <w:rPr/>
      </w:pPr>
      <w:r>
        <w:rPr/>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480175" cy="1205865"/>
                <wp:effectExtent l="0" t="0" r="0" b="0"/>
                <wp:wrapNone/>
                <wp:docPr id="380" name="Frame375"/>
                <a:graphic xmlns:a="http://schemas.openxmlformats.org/drawingml/2006/main">
                  <a:graphicData uri="http://schemas.microsoft.com/office/word/2010/wordprocessingShape">
                    <wps:wsp>
                      <wps:cNvSpPr txBox="1"/>
                      <wps:spPr>
                        <a:xfrm>
                          <a:off x="0" y="0"/>
                          <a:ext cx="6480175" cy="1205865"/>
                        </a:xfrm>
                        <a:prstGeom prst="rect"/>
                        <a:solidFill>
                          <a:srgbClr val="FFFFFF"/>
                        </a:solidFill>
                      </wps:spPr>
                      <wps:txbx>
                        <w:txbxContent>
                          <w:p>
                            <w:pPr>
                              <w:pStyle w:val="TextBody"/>
                              <w:bidi w:val="0"/>
                              <w:spacing w:before="0" w:after="0"/>
                              <w:ind w:left="0" w:right="0" w:firstLine="720"/>
                              <w:jc w:val="center"/>
                              <w:rPr/>
                            </w:pPr>
                            <w:r>
                              <w:rPr/>
                            </w:r>
                            <w:r>
                              <w:br w:type="page"/>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Asbury Automotive Group, Inc.</w:t>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FOURTH AMENDED AND RESTATED CREDIT AGREEMENT</w:t>
                            </w:r>
                          </w:p>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w:t>
                            </w:r>
                          </w:p>
                          <w:p>
                            <w:pPr>
                              <w:pStyle w:val="TextBody"/>
                              <w:bidi w:val="0"/>
                              <w:spacing w:before="0" w:after="24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Asbury Automotive Group, Inc.</w:t>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FOURTH AMENDED AND RESTATED CREDIT AGREEMENT</w:t>
                      </w:r>
                    </w:p>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w:t>
                      </w:r>
                    </w:p>
                    <w:p>
                      <w:pPr>
                        <w:pStyle w:val="TextBody"/>
                        <w:bidi w:val="0"/>
                        <w:spacing w:before="0" w:after="24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PNC BANK, NATIONAL ASSOCIATION,</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as a Lender</w:t>
      </w:r>
    </w:p>
    <w:p>
      <w:pPr>
        <w:pStyle w:val="TextBody"/>
        <w:bidi w:val="0"/>
        <w:spacing w:lineRule="auto" w:line="288"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Larry D. Jackson            </w:t>
      </w:r>
    </w:p>
    <w:p>
      <w:pPr>
        <w:pStyle w:val="TextBody"/>
        <w:bidi w:val="0"/>
        <w:spacing w:lineRule="auto" w:line="288" w:before="0" w:after="0"/>
        <w:jc w:val="both"/>
        <w:rPr/>
      </w:pPr>
      <w:r>
        <w:rPr>
          <w:rFonts w:ascii="Times New Roman;sans-serif" w:hAnsi="Times New Roman;sans-serif"/>
          <w:b w:val="false"/>
          <w:color w:val="000000"/>
          <w:sz w:val="22"/>
        </w:rPr>
        <w:t>Typed Name:</w:t>
      </w:r>
      <w:r>
        <w:rPr>
          <w:color w:val="000000"/>
          <w:u w:val="single"/>
        </w:rPr>
        <w:t>    </w:t>
      </w:r>
      <w:r>
        <w:rPr>
          <w:rFonts w:ascii="Times New Roman;sans-serif" w:hAnsi="Times New Roman;sans-serif"/>
          <w:b w:val="false"/>
          <w:color w:val="000000"/>
          <w:sz w:val="22"/>
          <w:u w:val="single"/>
        </w:rPr>
        <w:t>Larry D. Jackson            </w:t>
      </w:r>
    </w:p>
    <w:p>
      <w:pPr>
        <w:pStyle w:val="TextBody"/>
        <w:bidi w:val="0"/>
        <w:spacing w:lineRule="auto" w:line="288" w:before="0" w:after="600"/>
        <w:jc w:val="both"/>
        <w:rPr/>
      </w:pPr>
      <w:r>
        <w:rPr>
          <w:rFonts w:ascii="Times New Roman;sans-serif" w:hAnsi="Times New Roman;sans-serif"/>
          <w:b w:val="false"/>
          <w:color w:val="000000"/>
          <w:sz w:val="22"/>
        </w:rPr>
        <w:t>Typed Title:</w:t>
      </w:r>
      <w:r>
        <w:rPr>
          <w:color w:val="000000"/>
          <w:u w:val="single"/>
        </w:rPr>
        <w:t>    </w:t>
      </w:r>
      <w:r>
        <w:rPr>
          <w:rFonts w:ascii="Times New Roman;sans-serif" w:hAnsi="Times New Roman;sans-serif"/>
          <w:b w:val="false"/>
          <w:color w:val="000000"/>
          <w:sz w:val="22"/>
          <w:u w:val="single"/>
        </w:rPr>
        <w:t>Senior Vice President            </w:t>
      </w:r>
    </w:p>
    <w:p>
      <w:pPr>
        <w:pStyle w:val="TextBody"/>
        <w:bidi w:val="0"/>
        <w:spacing w:before="0" w:after="283"/>
        <w:jc w:val="left"/>
        <w:rPr/>
      </w:pPr>
      <w:r>
        <w:rPr/>
      </w:r>
    </w:p>
    <w:p>
      <w:pPr>
        <w:pStyle w:val="TextBody"/>
        <w:bidi w:val="0"/>
        <w:spacing w:before="0" w:after="240"/>
        <w:ind w:left="0" w:right="0" w:firstLine="720"/>
        <w:jc w:val="both"/>
        <w:rPr/>
      </w:pPr>
      <w:r>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480175" cy="1205865"/>
                <wp:effectExtent l="0" t="0" r="0" b="0"/>
                <wp:wrapNone/>
                <wp:docPr id="381" name="Frame376"/>
                <a:graphic xmlns:a="http://schemas.openxmlformats.org/drawingml/2006/main">
                  <a:graphicData uri="http://schemas.microsoft.com/office/word/2010/wordprocessingShape">
                    <wps:wsp>
                      <wps:cNvSpPr txBox="1"/>
                      <wps:spPr>
                        <a:xfrm>
                          <a:off x="0" y="0"/>
                          <a:ext cx="6480175" cy="1205865"/>
                        </a:xfrm>
                        <a:prstGeom prst="rect"/>
                        <a:solidFill>
                          <a:srgbClr val="FFFFFF"/>
                        </a:solidFill>
                      </wps:spPr>
                      <wps:txbx>
                        <w:txbxContent>
                          <w:p>
                            <w:pPr>
                              <w:pStyle w:val="TextBody"/>
                              <w:bidi w:val="0"/>
                              <w:spacing w:before="0" w:after="0"/>
                              <w:ind w:left="0" w:right="0" w:firstLine="720"/>
                              <w:jc w:val="center"/>
                              <w:rPr/>
                            </w:pPr>
                            <w:r>
                              <w:rPr/>
                            </w:r>
                            <w:r>
                              <w:br w:type="page"/>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Asbury Automotive Group, Inc.</w:t>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FOURTH AMENDED AND RESTATED CREDIT AGREEMENT</w:t>
                            </w:r>
                          </w:p>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w:t>
                            </w:r>
                          </w:p>
                          <w:p>
                            <w:pPr>
                              <w:pStyle w:val="TextBody"/>
                              <w:bidi w:val="0"/>
                              <w:spacing w:before="0" w:after="24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Asbury Automotive Group, Inc.</w:t>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FOURTH AMENDED AND RESTATED CREDIT AGREEMENT</w:t>
                      </w:r>
                    </w:p>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w:t>
                      </w:r>
                    </w:p>
                    <w:p>
                      <w:pPr>
                        <w:pStyle w:val="TextBody"/>
                        <w:bidi w:val="0"/>
                        <w:spacing w:before="0" w:after="240"/>
                        <w:ind w:left="0" w:right="0" w:firstLine="72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2"/>
        </w:rPr>
        <w:t>NISSAN MOTOR ACCEPTANCE COMPANY LLC, formerly known as NISSAN MOTOR ACCEPTANCE CORPORATION</w:t>
      </w:r>
      <w:r>
        <w:rPr>
          <w:rFonts w:ascii="Times New Roman;sans-serif" w:hAnsi="Times New Roman;sans-serif"/>
          <w:b w:val="false"/>
          <w:color w:val="000000"/>
          <w:sz w:val="22"/>
        </w:rPr>
        <w:t>, as a Lender</w:t>
      </w:r>
    </w:p>
    <w:p>
      <w:pPr>
        <w:pStyle w:val="TextBody"/>
        <w:bidi w:val="0"/>
        <w:spacing w:lineRule="auto" w:line="288" w:before="360" w:after="283"/>
        <w:jc w:val="both"/>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Todd Voorhies            </w:t>
      </w:r>
    </w:p>
    <w:p>
      <w:pPr>
        <w:pStyle w:val="TextBody"/>
        <w:bidi w:val="0"/>
        <w:spacing w:lineRule="auto" w:line="288" w:before="0" w:after="0"/>
        <w:jc w:val="both"/>
        <w:rPr/>
      </w:pPr>
      <w:r>
        <w:rPr>
          <w:rFonts w:ascii="Times New Roman;sans-serif" w:hAnsi="Times New Roman;sans-serif"/>
          <w:b w:val="false"/>
          <w:color w:val="000000"/>
          <w:sz w:val="22"/>
        </w:rPr>
        <w:t>Typed Name:</w:t>
      </w:r>
      <w:r>
        <w:rPr>
          <w:color w:val="000000"/>
          <w:u w:val="single"/>
        </w:rPr>
        <w:t>    </w:t>
      </w:r>
      <w:r>
        <w:rPr>
          <w:rFonts w:ascii="Times New Roman;sans-serif" w:hAnsi="Times New Roman;sans-serif"/>
          <w:b w:val="false"/>
          <w:color w:val="000000"/>
          <w:sz w:val="22"/>
          <w:u w:val="single"/>
        </w:rPr>
        <w:t>Todd Voorhies                </w:t>
      </w:r>
    </w:p>
    <w:p>
      <w:pPr>
        <w:pStyle w:val="TextBody"/>
        <w:bidi w:val="0"/>
        <w:spacing w:lineRule="auto" w:line="288" w:before="0" w:after="600"/>
        <w:jc w:val="both"/>
        <w:rPr/>
      </w:pPr>
      <w:r>
        <w:rPr>
          <w:rFonts w:ascii="Times New Roman;sans-serif" w:hAnsi="Times New Roman;sans-serif"/>
          <w:b w:val="false"/>
          <w:color w:val="000000"/>
          <w:sz w:val="22"/>
        </w:rPr>
        <w:t>Typed Title:</w:t>
      </w:r>
      <w:r>
        <w:rPr>
          <w:color w:val="000000"/>
          <w:u w:val="single"/>
        </w:rPr>
        <w:t>    </w:t>
      </w:r>
      <w:r>
        <w:rPr>
          <w:rFonts w:ascii="Times New Roman;sans-serif" w:hAnsi="Times New Roman;sans-serif"/>
          <w:b w:val="false"/>
          <w:color w:val="000000"/>
          <w:sz w:val="22"/>
          <w:u w:val="single"/>
        </w:rPr>
        <w:t>Sr. Manager, Dealer Credit        </w:t>
      </w:r>
    </w:p>
    <w:p>
      <w:pPr>
        <w:pStyle w:val="TextBody"/>
        <w:bidi w:val="0"/>
        <w:spacing w:before="0" w:after="0"/>
        <w:jc w:val="left"/>
        <w:rPr/>
      </w:pPr>
      <w:r>
        <w:rPr/>
      </w:r>
    </w:p>
    <w:p>
      <w:pPr>
        <w:pStyle w:val="TextBody"/>
        <w:bidi w:val="0"/>
        <w:spacing w:before="0" w:after="240"/>
        <w:ind w:left="0" w:right="0" w:firstLine="72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480175" cy="1205865"/>
                <wp:effectExtent l="0" t="0" r="0" b="0"/>
                <wp:wrapNone/>
                <wp:docPr id="382" name="Frame377"/>
                <a:graphic xmlns:a="http://schemas.openxmlformats.org/drawingml/2006/main">
                  <a:graphicData uri="http://schemas.microsoft.com/office/word/2010/wordprocessingShape">
                    <wps:wsp>
                      <wps:cNvSpPr txBox="1"/>
                      <wps:spPr>
                        <a:xfrm>
                          <a:off x="0" y="0"/>
                          <a:ext cx="6480175" cy="1205865"/>
                        </a:xfrm>
                        <a:prstGeom prst="rect"/>
                        <a:solidFill>
                          <a:srgbClr val="FFFFFF"/>
                        </a:solidFill>
                      </wps:spPr>
                      <wps:txb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Asbury Automotive Group, Inc.</w:t>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FOURTH AMENDED AND RESTATED CREDIT AGREEMENT</w:t>
                            </w:r>
                          </w:p>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w:t>
                            </w:r>
                          </w:p>
                          <w:p>
                            <w:pPr>
                              <w:pStyle w:val="TextBody"/>
                              <w:bidi w:val="0"/>
                              <w:spacing w:before="0" w:after="24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Asbury Automotive Group, Inc.</w:t>
                      </w:r>
                    </w:p>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FOURTH AMENDED AND RESTATED CREDIT AGREEMENT</w:t>
                      </w:r>
                    </w:p>
                    <w:p>
                      <w:pPr>
                        <w:pStyle w:val="TextBody"/>
                        <w:bidi w:val="0"/>
                        <w:spacing w:lineRule="auto" w:line="288" w:before="0" w:after="24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w:t>
                      </w:r>
                    </w:p>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19.1</w:t>
      </w:r>
    </w:p>
    <w:tbl>
      <w:tblPr>
        <w:tblW w:w="7784" w:type="dxa"/>
        <w:jc w:val="left"/>
        <w:tblInd w:w="0" w:type="dxa"/>
        <w:tblLayout w:type="fixed"/>
        <w:tblCellMar>
          <w:top w:w="28" w:type="dxa"/>
          <w:left w:w="28" w:type="dxa"/>
          <w:bottom w:w="28" w:type="dxa"/>
          <w:right w:w="28" w:type="dxa"/>
        </w:tblCellMar>
      </w:tblPr>
      <w:tblGrid>
        <w:gridCol w:w="2492"/>
        <w:gridCol w:w="2192"/>
        <w:gridCol w:w="3100"/>
      </w:tblGrid>
      <w:tr>
        <w:trPr/>
        <w:tc>
          <w:tcPr>
            <w:tcW w:w="2492"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3100" w:type="dxa"/>
            <w:tcBorders/>
            <w:vAlign w:val="center"/>
          </w:tcPr>
          <w:p>
            <w:pPr>
              <w:pStyle w:val="TableContents"/>
              <w:bidi w:val="0"/>
              <w:spacing w:before="0" w:after="283"/>
              <w:jc w:val="left"/>
              <w:rPr>
                <w:sz w:val="4"/>
                <w:szCs w:val="4"/>
              </w:rPr>
            </w:pPr>
            <w:r>
              <w:rPr>
                <w:sz w:val="4"/>
                <w:szCs w:val="4"/>
              </w:rPr>
            </w:r>
          </w:p>
        </w:tc>
      </w:tr>
      <w:tr>
        <w:trPr/>
        <w:tc>
          <w:tcPr>
            <w:tcW w:w="7784" w:type="dxa"/>
            <w:gridSpan w:val="3"/>
            <w:tcBorders>
              <w:top w:val="dotted" w:sz="4" w:space="0" w:color="D91E18"/>
            </w:tcBorders>
            <w:tcMar>
              <w:top w:w="30" w:type="dxa"/>
              <w:left w:w="0" w:type="dxa"/>
              <w:bottom w:w="0" w:type="dxa"/>
              <w:right w:w="0" w:type="dxa"/>
            </w:tcMar>
            <w:vAlign w:val="center"/>
          </w:tcPr>
          <w:p>
            <w:pPr>
              <w:pStyle w:val="TableContents"/>
              <w:bidi w:val="0"/>
              <w:spacing w:lineRule="auto" w:line="288" w:before="0" w:after="0"/>
              <w:jc w:val="center"/>
              <w:rPr>
                <w:rFonts w:ascii="Calibri;sans-serif" w:hAnsi="Calibri;sans-serif"/>
                <w:b w:val="false"/>
                <w:color w:val="D91E18"/>
                <w:sz w:val="52"/>
              </w:rPr>
            </w:pPr>
            <w:r>
              <w:rPr>
                <w:rFonts w:ascii="Calibri;sans-serif" w:hAnsi="Calibri;sans-serif"/>
                <w:b w:val="false"/>
                <w:color w:val="D91E18"/>
                <w:sz w:val="52"/>
              </w:rPr>
              <w:t>ASBURY AUTOMOTIVE GROUP, INC.</w:t>
            </w:r>
          </w:p>
          <w:p>
            <w:pPr>
              <w:pStyle w:val="TableContents"/>
              <w:bidi w:val="0"/>
              <w:spacing w:lineRule="auto" w:line="288" w:before="0" w:after="0"/>
              <w:jc w:val="center"/>
              <w:rPr>
                <w:rFonts w:ascii="Calibri;sans-serif" w:hAnsi="Calibri;sans-serif"/>
                <w:b w:val="false"/>
                <w:color w:val="D91E18"/>
                <w:sz w:val="52"/>
              </w:rPr>
            </w:pPr>
            <w:r>
              <w:rPr>
                <w:rFonts w:ascii="Calibri;sans-serif" w:hAnsi="Calibri;sans-serif"/>
                <w:b w:val="false"/>
                <w:color w:val="D91E18"/>
                <w:sz w:val="52"/>
              </w:rPr>
              <w:t>INSIDER TRADING POLICY</w:t>
            </w:r>
          </w:p>
        </w:tc>
      </w:tr>
      <w:tr>
        <w:trPr/>
        <w:tc>
          <w:tcPr>
            <w:tcW w:w="7784" w:type="dxa"/>
            <w:gridSpan w:val="3"/>
            <w:tcBorders>
              <w:top w:val="dotted" w:sz="4" w:space="0" w:color="D91E18"/>
              <w:bottom w:val="double" w:sz="18" w:space="0" w:color="D91E18"/>
            </w:tcBorders>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D91E18"/>
                <w:sz w:val="32"/>
              </w:rPr>
            </w:pPr>
            <w:r>
              <w:rPr>
                <w:rFonts w:ascii="Calibri;sans-serif" w:hAnsi="Calibri;sans-serif"/>
                <w:b w:val="false"/>
                <w:color w:val="D91E18"/>
                <w:sz w:val="32"/>
              </w:rPr>
              <w:t>PURPOSE</w:t>
            </w:r>
          </w:p>
        </w:tc>
      </w:tr>
    </w:tbl>
    <w:p>
      <w:pPr>
        <w:pStyle w:val="TextBody"/>
        <w:bidi w:val="0"/>
        <w:spacing w:lineRule="auto" w:line="300" w:before="0" w:after="160"/>
        <w:jc w:val="left"/>
        <w:rPr>
          <w:rFonts w:ascii="Calibri;sans-serif" w:hAnsi="Calibri;sans-serif"/>
          <w:b w:val="false"/>
          <w:color w:val="000000"/>
          <w:sz w:val="24"/>
        </w:rPr>
      </w:pPr>
      <w:r>
        <w:rPr>
          <w:rFonts w:ascii="Calibri;sans-serif" w:hAnsi="Calibri;sans-serif"/>
          <w:b w:val="false"/>
          <w:color w:val="000000"/>
          <w:sz w:val="24"/>
        </w:rPr>
        <w:t>Federal and state securities laws make it illegal for a person to trade in a company’s publicly traded securities while in possession of material nonpublic information (defined below in the section entitled, “Definitions Used in this Policy”) relating to that company. This conduct is known as “insider trading.” It is also illegal for a person to disclose material nonpublic information to another, who may use this information to trade. This conduct is known as “tipping.”</w:t>
      </w:r>
    </w:p>
    <w:p>
      <w:pPr>
        <w:pStyle w:val="TextBody"/>
        <w:bidi w:val="0"/>
        <w:spacing w:lineRule="auto" w:line="300" w:before="0" w:after="160"/>
        <w:jc w:val="left"/>
        <w:rPr>
          <w:rFonts w:ascii="Calibri;sans-serif" w:hAnsi="Calibri;sans-serif"/>
          <w:b w:val="false"/>
          <w:color w:val="000000"/>
          <w:sz w:val="24"/>
        </w:rPr>
      </w:pPr>
      <w:r>
        <w:rPr>
          <w:rFonts w:ascii="Calibri;sans-serif" w:hAnsi="Calibri;sans-serif"/>
          <w:b w:val="false"/>
          <w:color w:val="000000"/>
          <w:sz w:val="24"/>
        </w:rPr>
        <w:t>The purpose of this Insider Trading Policy (the “Policy”) is (i) to promote compliance with applicable securities laws by Asbury Automotive Group, Inc., its subsidiaries (“Asbury” or the “Company”) and all directors, officers and employees of Asbury (“Insiders”), and (ii) to preserve the reputation and integrity of Asbury and its Insiders when transacting in “Asbury Securities.”</w:t>
      </w:r>
    </w:p>
    <w:p>
      <w:pPr>
        <w:pStyle w:val="TextBody"/>
        <w:bidi w:val="0"/>
        <w:spacing w:lineRule="auto" w:line="300" w:before="0" w:after="160"/>
        <w:jc w:val="left"/>
        <w:rPr>
          <w:rFonts w:ascii="Calibri;sans-serif" w:hAnsi="Calibri;sans-serif"/>
          <w:b w:val="false"/>
          <w:color w:val="000000"/>
          <w:sz w:val="24"/>
        </w:rPr>
      </w:pPr>
      <w:r>
        <w:rPr>
          <w:rFonts w:ascii="Calibri;sans-serif" w:hAnsi="Calibri;sans-serif"/>
          <w:b w:val="false"/>
          <w:color w:val="000000"/>
          <w:sz w:val="24"/>
        </w:rPr>
        <w:t>The term “Asbury Securities” includes: (i) common stock, stock options, preferred stock, warrants, convertible securities and debentures, (ii) debt securities, (iii) any derivative securities relating to Asbury’s common stock and (iv) other securities Asbury may issue from time to time.</w:t>
      </w:r>
    </w:p>
    <w:p>
      <w:pPr>
        <w:pStyle w:val="TextBody"/>
        <w:bidi w:val="0"/>
        <w:spacing w:lineRule="auto" w:line="300" w:before="0" w:after="160"/>
        <w:jc w:val="left"/>
        <w:rPr>
          <w:rFonts w:ascii="Calibri;sans-serif" w:hAnsi="Calibri;sans-serif"/>
          <w:b w:val="false"/>
          <w:color w:val="000000"/>
          <w:sz w:val="24"/>
        </w:rPr>
      </w:pPr>
      <w:r>
        <w:rPr>
          <w:rFonts w:ascii="Calibri;sans-serif" w:hAnsi="Calibri;sans-serif"/>
          <w:b w:val="false"/>
          <w:color w:val="000000"/>
          <w:sz w:val="24"/>
        </w:rPr>
        <w:t>The Policy should be read in conjunction with Asbury’s Disclosure Policy which prohibits the unauthorized disclosure of material nonpublic information acquired in the work-place or otherwise as a result of an individual’s employment or other relationship with Asbury, as well as the misuse of any material nonpublic information about Asbury or its business in securities trading.</w:t>
      </w:r>
    </w:p>
    <w:tbl>
      <w:tblPr>
        <w:tblW w:w="1006" w:type="dxa"/>
        <w:jc w:val="left"/>
        <w:tblInd w:w="0" w:type="dxa"/>
        <w:tblLayout w:type="fixed"/>
        <w:tblCellMar>
          <w:top w:w="28" w:type="dxa"/>
          <w:left w:w="28" w:type="dxa"/>
          <w:bottom w:w="28" w:type="dxa"/>
          <w:right w:w="28" w:type="dxa"/>
        </w:tblCellMar>
      </w:tblPr>
      <w:tblGrid>
        <w:gridCol w:w="322"/>
        <w:gridCol w:w="283"/>
        <w:gridCol w:w="401"/>
      </w:tblGrid>
      <w:tr>
        <w:trPr/>
        <w:tc>
          <w:tcPr>
            <w:tcW w:w="32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bottom w:val="double" w:sz="18" w:space="0" w:color="D91E18"/>
            </w:tcBorders>
            <w:tcMar>
              <w:top w:w="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D91E18"/>
                <w:sz w:val="32"/>
              </w:rPr>
            </w:pPr>
            <w:r>
              <w:rPr>
                <w:rFonts w:ascii="Calibri;sans-serif" w:hAnsi="Calibri;sans-serif"/>
                <w:b w:val="false"/>
                <w:color w:val="D91E18"/>
                <w:sz w:val="32"/>
              </w:rPr>
              <w:t>SCOPE</w:t>
            </w:r>
          </w:p>
        </w:tc>
      </w:tr>
    </w:tbl>
    <w:p>
      <w:pPr>
        <w:pStyle w:val="TextBody"/>
        <w:bidi w:val="0"/>
        <w:spacing w:lineRule="auto" w:line="300" w:before="0" w:after="160"/>
        <w:jc w:val="left"/>
        <w:rPr>
          <w:rFonts w:ascii="Calibri;sans-serif" w:hAnsi="Calibri;sans-serif"/>
          <w:b w:val="false"/>
          <w:color w:val="000000"/>
          <w:sz w:val="24"/>
        </w:rPr>
      </w:pPr>
      <w:r>
        <w:rPr>
          <w:rFonts w:ascii="Calibri;sans-serif" w:hAnsi="Calibri;sans-serif"/>
          <w:b w:val="false"/>
          <w:color w:val="000000"/>
          <w:sz w:val="24"/>
        </w:rPr>
        <w:t>This Policy applies to all Insiders.</w:t>
      </w:r>
    </w:p>
    <w:tbl>
      <w:tblPr>
        <w:tblW w:w="1066" w:type="dxa"/>
        <w:jc w:val="left"/>
        <w:tblInd w:w="0" w:type="dxa"/>
        <w:tblLayout w:type="fixed"/>
        <w:tblCellMar>
          <w:top w:w="28" w:type="dxa"/>
          <w:left w:w="28" w:type="dxa"/>
          <w:bottom w:w="28" w:type="dxa"/>
          <w:right w:w="28" w:type="dxa"/>
        </w:tblCellMar>
      </w:tblPr>
      <w:tblGrid>
        <w:gridCol w:w="341"/>
        <w:gridCol w:w="300"/>
        <w:gridCol w:w="425"/>
      </w:tblGrid>
      <w:tr>
        <w:trPr/>
        <w:tc>
          <w:tcPr>
            <w:tcW w:w="34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bottom w:val="double" w:sz="18" w:space="0" w:color="D91E18"/>
            </w:tcBorders>
            <w:tcMar>
              <w:top w:w="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D91E18"/>
                <w:sz w:val="32"/>
              </w:rPr>
            </w:pPr>
            <w:r>
              <w:rPr>
                <w:rFonts w:ascii="Calibri;sans-serif" w:hAnsi="Calibri;sans-serif"/>
                <w:b w:val="false"/>
                <w:color w:val="D91E18"/>
                <w:sz w:val="32"/>
              </w:rPr>
              <w:t>POLICY</w:t>
            </w:r>
          </w:p>
        </w:tc>
      </w:tr>
    </w:tbl>
    <w:p>
      <w:pPr>
        <w:pStyle w:val="TextBody"/>
        <w:bidi w:val="0"/>
        <w:spacing w:lineRule="auto" w:line="300" w:before="0" w:after="160"/>
        <w:jc w:val="left"/>
        <w:rPr>
          <w:rFonts w:ascii="Calibri;sans-serif" w:hAnsi="Calibri;sans-serif"/>
          <w:b w:val="false"/>
          <w:i/>
          <w:color w:val="D91E18"/>
          <w:sz w:val="24"/>
        </w:rPr>
      </w:pPr>
      <w:r>
        <w:rPr>
          <w:rFonts w:ascii="Calibri;sans-serif" w:hAnsi="Calibri;sans-serif"/>
          <w:b w:val="false"/>
          <w:i/>
          <w:color w:val="D91E18"/>
          <w:sz w:val="24"/>
        </w:rPr>
        <w:t>General Rules When Trading Asbury Securities</w:t>
      </w:r>
    </w:p>
    <w:p>
      <w:pPr>
        <w:pStyle w:val="TextBody"/>
        <w:bidi w:val="0"/>
        <w:spacing w:lineRule="auto" w:line="300" w:before="0" w:after="160"/>
        <w:ind w:left="0" w:right="0" w:hanging="360"/>
        <w:jc w:val="left"/>
        <w:rPr/>
      </w:pPr>
      <w:r>
        <w:rPr>
          <w:rFonts w:ascii="Calibri;sans-serif" w:hAnsi="Calibri;sans-serif"/>
          <w:b/>
          <w:color w:val="000000"/>
          <w:sz w:val="24"/>
        </w:rPr>
        <w:t>1.Don’t trade while in possession of Asbury’s material nonpublic information.</w:t>
      </w:r>
      <w:r>
        <w:rPr>
          <w:color w:val="000000"/>
        </w:rPr>
        <w:t xml:space="preserve"> </w:t>
      </w:r>
      <w:r>
        <w:rPr>
          <w:rFonts w:ascii="Calibri;sans-serif" w:hAnsi="Calibri;sans-serif"/>
          <w:b w:val="false"/>
          <w:color w:val="000000"/>
          <w:sz w:val="24"/>
        </w:rPr>
        <w:t xml:space="preserve">You </w:t>
      </w:r>
      <w:r>
        <w:rPr>
          <w:rFonts w:ascii="Calibri;sans-serif" w:hAnsi="Calibri;sans-serif"/>
          <w:b/>
          <w:color w:val="000000"/>
          <w:sz w:val="24"/>
          <w:u w:val="single"/>
        </w:rPr>
        <w:t>may not</w:t>
      </w:r>
      <w:r>
        <w:rPr>
          <w:color w:val="000000"/>
        </w:rPr>
        <w:t xml:space="preserve"> </w:t>
      </w:r>
      <w:r>
        <w:rPr>
          <w:rFonts w:ascii="Calibri;sans-serif" w:hAnsi="Calibri;sans-serif"/>
          <w:b w:val="false"/>
          <w:color w:val="000000"/>
          <w:sz w:val="24"/>
        </w:rPr>
        <w:t xml:space="preserve">buy, sell or trade in any Asbury Securities </w:t>
      </w:r>
      <w:r>
        <w:rPr>
          <w:rFonts w:ascii="Calibri;sans-serif" w:hAnsi="Calibri;sans-serif"/>
          <w:b/>
          <w:color w:val="000000"/>
          <w:sz w:val="24"/>
          <w:u w:val="single"/>
        </w:rPr>
        <w:t>at any time</w:t>
      </w:r>
      <w:r>
        <w:rPr>
          <w:color w:val="000000"/>
        </w:rPr>
        <w:t xml:space="preserve"> </w:t>
      </w:r>
      <w:r>
        <w:rPr>
          <w:rFonts w:ascii="Calibri;sans-serif" w:hAnsi="Calibri;sans-serif"/>
          <w:b w:val="false"/>
          <w:color w:val="000000"/>
          <w:sz w:val="24"/>
        </w:rPr>
        <w:t>while you possess material nonpublic information concerning Asbury (even if the Company’s trading window is open). If you are in possession of such information, you must wait to trade until the information has been released to the public for at least one full trading day (a day on which the stock market is open).</w:t>
      </w:r>
    </w:p>
    <w:p>
      <w:pPr>
        <w:pStyle w:val="TextBody"/>
        <w:bidi w:val="0"/>
        <w:spacing w:lineRule="auto" w:line="300" w:before="0" w:after="160"/>
        <w:ind w:left="0" w:right="0" w:hanging="360"/>
        <w:jc w:val="left"/>
        <w:rPr/>
      </w:pPr>
      <w:r>
        <w:rPr>
          <w:rFonts w:ascii="Calibri;sans-serif" w:hAnsi="Calibri;sans-serif"/>
          <w:b/>
          <w:color w:val="000000"/>
          <w:sz w:val="24"/>
        </w:rPr>
        <w:t>2.</w:t>
      </w:r>
      <w:r>
        <w:rPr>
          <w:rFonts w:ascii="Calibri;sans-serif" w:hAnsi="Calibri;sans-serif"/>
          <w:b w:val="false"/>
          <w:color w:val="000000"/>
          <w:sz w:val="24"/>
        </w:rPr>
        <w:t>Do not disclose nonpublic information concerning Asbury to any other person, including family members, or discuss Asbury matters in Internet “chat rooms” or on social networking sites (i.e., Facebook, Twitter, Instagram, TikTok, etc.). Giving such information to others is commonly known as “tipping” and is illegal. Insiders should not make recommendations or express opinions about trading in Asbury Securities directly or through the Internet. Asbury’s Disclosure Policy provides policies restricting disclosure of its confidential information and identifying individuals who are authorized to speak on behalf of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480175" cy="265430"/>
                <wp:effectExtent l="0" t="0" r="0" b="0"/>
                <wp:wrapNone/>
                <wp:docPr id="383" name="Frame378"/>
                <a:graphic xmlns:a="http://schemas.openxmlformats.org/drawingml/2006/main">
                  <a:graphicData uri="http://schemas.microsoft.com/office/word/2010/wordprocessingShape">
                    <wps:wsp>
                      <wps:cNvSpPr txBox="1"/>
                      <wps:spPr>
                        <a:xfrm>
                          <a:off x="0" y="0"/>
                          <a:ext cx="6480175" cy="265430"/>
                        </a:xfrm>
                        <a:prstGeom prst="rect"/>
                        <a:solidFill>
                          <a:srgbClr val="FFFFFF"/>
                        </a:solidFill>
                      </wps:spPr>
                      <wps:txbx>
                        <w:txbxContent>
                          <w:p>
                            <w:pPr>
                              <w:pStyle w:val="TextBody"/>
                              <w:bidi w:val="0"/>
                              <w:spacing w:lineRule="auto" w:line="300" w:before="0" w:after="0"/>
                              <w:jc w:val="right"/>
                              <w:rPr>
                                <w:rFonts w:ascii="Open Sans;sans-serif" w:hAnsi="Open Sans;sans-serif"/>
                                <w:b w:val="false"/>
                                <w:color w:val="000000"/>
                                <w:sz w:val="16"/>
                              </w:rPr>
                            </w:pPr>
                            <w:r>
                              <w:rPr>
                                <w:rFonts w:ascii="Open Sans;sans-serif" w:hAnsi="Open Sans;sans-serif"/>
                                <w:b w:val="false"/>
                                <w:color w:val="000000"/>
                                <w:sz w:val="16"/>
                              </w:rPr>
                              <w:t>Insider Trading Policy</w:t>
                            </w:r>
                            <w:r>
                              <w:br w:type="page"/>
                            </w:r>
                          </w:p>
                          <w:p>
                            <w:pPr>
                              <w:pStyle w:val="TextBody"/>
                              <w:bidi w:val="0"/>
                              <w:spacing w:lineRule="auto" w:line="300" w:before="0" w:after="0"/>
                              <w:jc w:val="right"/>
                              <w:rPr>
                                <w:rFonts w:ascii="Open Sans;sans-serif" w:hAnsi="Open Sans;sans-serif"/>
                                <w:b w:val="false"/>
                                <w:color w:val="000000"/>
                                <w:sz w:val="16"/>
                              </w:rPr>
                            </w:pPr>
                            <w:r>
                              <w:rPr>
                                <w:rFonts w:ascii="Open Sans;sans-serif" w:hAnsi="Open Sans;sans-serif"/>
                                <w:b w:val="false"/>
                                <w:color w:val="000000"/>
                                <w:sz w:val="16"/>
                              </w:rPr>
                              <w:t>Page 1 of 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right"/>
                        <w:rPr>
                          <w:rFonts w:ascii="Open Sans;sans-serif" w:hAnsi="Open Sans;sans-serif"/>
                          <w:b w:val="false"/>
                          <w:color w:val="000000"/>
                          <w:sz w:val="16"/>
                        </w:rPr>
                      </w:pPr>
                      <w:r>
                        <w:rPr>
                          <w:rFonts w:ascii="Open Sans;sans-serif" w:hAnsi="Open Sans;sans-serif"/>
                          <w:b w:val="false"/>
                          <w:color w:val="000000"/>
                          <w:sz w:val="16"/>
                        </w:rPr>
                        <w:t>Insider Trading Policy</w:t>
                      </w:r>
                    </w:p>
                    <w:p>
                      <w:pPr>
                        <w:pStyle w:val="TextBody"/>
                        <w:bidi w:val="0"/>
                        <w:spacing w:lineRule="auto" w:line="300" w:before="0" w:after="0"/>
                        <w:jc w:val="right"/>
                        <w:rPr>
                          <w:rFonts w:ascii="Open Sans;sans-serif" w:hAnsi="Open Sans;sans-serif"/>
                          <w:b w:val="false"/>
                          <w:color w:val="000000"/>
                          <w:sz w:val="16"/>
                        </w:rPr>
                      </w:pPr>
                      <w:r>
                        <w:rPr>
                          <w:rFonts w:ascii="Open Sans;sans-serif" w:hAnsi="Open Sans;sans-serif"/>
                          <w:b w:val="false"/>
                          <w:color w:val="000000"/>
                          <w:sz w:val="16"/>
                        </w:rPr>
                        <w:t>Page 1 of 5</w:t>
                      </w:r>
                    </w:p>
                  </w:txbxContent>
                </v:textbox>
                <w10:wrap type="none"/>
              </v:rect>
            </w:pict>
          </mc:Fallback>
        </mc:AlternateContent>
      </w:r>
    </w:p>
    <w:p>
      <w:pPr>
        <w:pStyle w:val="TextBody"/>
        <w:bidi w:val="0"/>
        <w:spacing w:lineRule="auto" w:line="300" w:before="0" w:after="160"/>
        <w:ind w:left="0" w:right="0" w:hanging="360"/>
        <w:jc w:val="left"/>
        <w:rPr/>
      </w:pPr>
      <w:r>
        <w:rPr>
          <w:rFonts w:ascii="Calibri;sans-serif" w:hAnsi="Calibri;sans-serif"/>
          <w:b/>
          <w:color w:val="000000"/>
          <w:sz w:val="24"/>
        </w:rPr>
        <w:t xml:space="preserve">3.Don’t use nonpublic information to trade in other companies’ stock. </w:t>
      </w:r>
      <w:r>
        <w:rPr>
          <w:rFonts w:ascii="Calibri;sans-serif" w:hAnsi="Calibri;sans-serif"/>
          <w:b w:val="false"/>
          <w:color w:val="000000"/>
          <w:sz w:val="24"/>
        </w:rPr>
        <w:t>Don’t trade in the stock of Asbury’s customers, vehicle manufacturers and other suppliers, vendors or other business partners (collectively, “Business Partners”) when you have material nonpublic information concerning these Business Partners that you obtained in the course of your relationship with Asbury. Asbury’s business with its Business Partners is based on trust and confidentiality. All prohibitions relating to trading of Asbury Securities have equal applicability to trading in stock of Asbury’s Business Partners.</w:t>
      </w:r>
    </w:p>
    <w:p>
      <w:pPr>
        <w:pStyle w:val="TextBody"/>
        <w:bidi w:val="0"/>
        <w:spacing w:lineRule="auto" w:line="300" w:before="0" w:after="160"/>
        <w:ind w:left="0" w:right="0" w:hanging="360"/>
        <w:jc w:val="left"/>
        <w:rPr/>
      </w:pPr>
      <w:r>
        <w:rPr>
          <w:rFonts w:ascii="Calibri;sans-serif" w:hAnsi="Calibri;sans-serif"/>
          <w:b/>
          <w:color w:val="000000"/>
          <w:sz w:val="24"/>
        </w:rPr>
        <w:t>4.Avoid pledging and speculative transactions involving Asbury Securities.</w:t>
      </w:r>
      <w:r>
        <w:rPr>
          <w:color w:val="000000"/>
        </w:rPr>
        <w:t xml:space="preserve"> </w:t>
      </w:r>
      <w:r>
        <w:rPr>
          <w:rFonts w:ascii="Calibri;sans-serif" w:hAnsi="Calibri;sans-serif"/>
          <w:b w:val="false"/>
          <w:color w:val="000000"/>
          <w:sz w:val="24"/>
        </w:rPr>
        <w:t>Asbury strongly discourages Insiders from trading in Asbury Securities on a short-term basis (that is, trading that suggests that you are trying to profit in short-term movements, either increases or decreases, in Asbury’s stock price). Asbury further prohibits Section 16 reporting persons from pledging Asbury Securities or otherwise subjecting Asbury Securities to margin calls or the ability to be sold outside of the owner’s control.</w:t>
      </w:r>
    </w:p>
    <w:p>
      <w:pPr>
        <w:pStyle w:val="TextBody"/>
        <w:bidi w:val="0"/>
        <w:spacing w:lineRule="auto" w:line="300" w:before="0" w:after="160"/>
        <w:ind w:left="0" w:right="0" w:hanging="360"/>
        <w:jc w:val="left"/>
        <w:rPr/>
      </w:pPr>
      <w:r>
        <w:rPr>
          <w:rFonts w:ascii="Calibri;sans-serif" w:hAnsi="Calibri;sans-serif"/>
          <w:b/>
          <w:color w:val="000000"/>
          <w:sz w:val="24"/>
        </w:rPr>
        <w:t xml:space="preserve">5.Short sales involving Asbury Securities are prohibited. </w:t>
      </w:r>
      <w:r>
        <w:rPr>
          <w:rFonts w:ascii="Calibri;sans-serif" w:hAnsi="Calibri;sans-serif"/>
          <w:b w:val="false"/>
          <w:color w:val="000000"/>
          <w:sz w:val="24"/>
        </w:rPr>
        <w:t>Selling Asbury Securities short is prohibited. Selling short is the practice of selling securities that the seller does not own. Any Asbury Securities purchased by an Insider in the open market may be sold by the Insider so long as the Insider actually owns the Asbury Securities being sold, and provided that the transaction complies with this Policy.</w:t>
      </w:r>
    </w:p>
    <w:p>
      <w:pPr>
        <w:pStyle w:val="TextBody"/>
        <w:bidi w:val="0"/>
        <w:spacing w:lineRule="auto" w:line="300" w:before="0" w:after="160"/>
        <w:ind w:left="0" w:right="0" w:hanging="360"/>
        <w:jc w:val="left"/>
        <w:rPr/>
      </w:pPr>
      <w:r>
        <w:rPr>
          <w:rFonts w:ascii="Calibri;sans-serif" w:hAnsi="Calibri;sans-serif"/>
          <w:b/>
          <w:color w:val="000000"/>
          <w:sz w:val="24"/>
        </w:rPr>
        <w:t>6.</w:t>
      </w:r>
      <w:r>
        <w:rPr>
          <w:rFonts w:ascii="Calibri;sans-serif" w:hAnsi="Calibri;sans-serif"/>
          <w:b w:val="false"/>
          <w:color w:val="000000"/>
          <w:sz w:val="24"/>
        </w:rPr>
        <w:t>Puts, calls and derivative transactions involving Asbury Securities are prohibited, and trading in Asbury’s debt securities is discouraged. Insiders are not permitted to purchase or sell derivatives and options of any kind, whether puts or calls, involving Asbury Securities, or engage in hedging activities involving Asbury Securities, such as synthetic trading. A put is a right to sell at a specified price a specific number of shares by a certain date. A call is a right to buy at a specified price a specified number of shares by a certain date. A derivative is a security whose value is based on the performance of an underlying financial asset, index or other investment. A synthetic trade is a position created by combining put and call options. The speculative nature of the market for these financial instruments imposes timing considerations that are inconsistent with careful avoidance, or even the appearance of non-use, of material nonpublic information. In addition, Asbury discourages Insiders from trading in its debt securities.</w:t>
      </w:r>
    </w:p>
    <w:p>
      <w:pPr>
        <w:pStyle w:val="TextBody"/>
        <w:bidi w:val="0"/>
        <w:spacing w:lineRule="auto" w:line="300" w:before="0" w:after="160"/>
        <w:ind w:left="0" w:right="0" w:hanging="360"/>
        <w:jc w:val="left"/>
        <w:rPr/>
      </w:pPr>
      <w:r>
        <w:rPr>
          <w:rFonts w:ascii="Calibri;sans-serif" w:hAnsi="Calibri;sans-serif"/>
          <w:b/>
          <w:color w:val="000000"/>
          <w:sz w:val="24"/>
        </w:rPr>
        <w:t xml:space="preserve">7.Make sure immediate family members and persons controlling family trusts (and similar entities) comply with this Policy. </w:t>
      </w:r>
      <w:r>
        <w:rPr>
          <w:rFonts w:ascii="Calibri;sans-serif" w:hAnsi="Calibri;sans-serif"/>
          <w:b w:val="false"/>
          <w:color w:val="000000"/>
          <w:sz w:val="24"/>
        </w:rPr>
        <w:t>For the purposes of this Policy, these people are called “Related Persons.” Any transactions involving Asbury Securities in which Related Persons engage, or have control, or whose assets are held for the benefit of you or a Related Person, are the same as transactions by you. Insiders are responsible for making sure that such Related Persons do not engage in any transaction that would violate this Policy as if the Insider engaged in the transaction directly. The same rules apply to trading in Asbury Securities by business entities owned or controlled by Insiders.</w:t>
      </w:r>
    </w:p>
    <w:p>
      <w:pPr>
        <w:pStyle w:val="TextBody"/>
        <w:bidi w:val="0"/>
        <w:spacing w:lineRule="auto" w:line="300" w:before="0" w:after="160"/>
        <w:jc w:val="left"/>
        <w:rPr>
          <w:rFonts w:ascii="Calibri;sans-serif" w:hAnsi="Calibri;sans-serif"/>
          <w:b w:val="false"/>
          <w:i/>
          <w:color w:val="D91E18"/>
          <w:sz w:val="24"/>
        </w:rPr>
      </w:pPr>
      <w:r>
        <w:rPr>
          <w:rFonts w:ascii="Calibri;sans-serif" w:hAnsi="Calibri;sans-serif"/>
          <w:b w:val="false"/>
          <w:i/>
          <w:color w:val="D91E18"/>
          <w:sz w:val="24"/>
        </w:rPr>
        <w:t>Additional Obligations for Certain Individuals</w:t>
      </w:r>
    </w:p>
    <w:p>
      <w:pPr>
        <w:pStyle w:val="TextBody"/>
        <w:bidi w:val="0"/>
        <w:spacing w:lineRule="auto" w:line="300" w:before="0" w:after="160"/>
        <w:jc w:val="left"/>
        <w:rPr>
          <w:rFonts w:ascii="Calibri;sans-serif" w:hAnsi="Calibri;sans-serif"/>
          <w:b w:val="false"/>
          <w:color w:val="000000"/>
          <w:sz w:val="24"/>
        </w:rPr>
      </w:pPr>
      <w:r>
        <w:rPr>
          <w:rFonts w:ascii="Calibri;sans-serif" w:hAnsi="Calibri;sans-serif"/>
          <w:b w:val="false"/>
          <w:color w:val="000000"/>
          <w:sz w:val="24"/>
        </w:rPr>
        <w:t>The following Insiders, designated as “Covered Persons” under this Policy, are subject to additional restrictions and may have federal securities law reporting requirements:</w:t>
      </w:r>
    </w:p>
    <w:p>
      <w:pPr>
        <w:pStyle w:val="TextBody"/>
        <w:bidi w:val="0"/>
        <w:spacing w:lineRule="auto" w:line="300" w:before="0" w:after="160"/>
        <w:ind w:left="0" w:right="0" w:hanging="720"/>
        <w:jc w:val="left"/>
        <w:rPr>
          <w:rFonts w:ascii="Calibri;sans-serif" w:hAnsi="Calibri;sans-serif"/>
          <w:b w:val="false"/>
          <w:color w:val="000000"/>
          <w:sz w:val="24"/>
        </w:rPr>
      </w:pPr>
      <w:r>
        <w:rPr>
          <w:rFonts w:ascii="Calibri;sans-serif" w:hAnsi="Calibri;sans-serif"/>
          <w:b w:val="false"/>
          <w:color w:val="000000"/>
          <w:sz w:val="24"/>
        </w:rPr>
        <w:t>(i)members of the Board of Directors of Asbury;</w:t>
      </w:r>
    </w:p>
    <w:p>
      <w:pPr>
        <w:pStyle w:val="TextBody"/>
        <w:bidi w:val="0"/>
        <w:spacing w:lineRule="auto" w:line="300" w:before="0" w:after="160"/>
        <w:ind w:left="0" w:right="0" w:hanging="720"/>
        <w:jc w:val="left"/>
        <w:rPr>
          <w:rFonts w:ascii="Calibri;sans-serif" w:hAnsi="Calibri;sans-serif"/>
          <w:b w:val="false"/>
          <w:color w:val="000000"/>
          <w:sz w:val="24"/>
        </w:rPr>
      </w:pPr>
      <w:r>
        <w:rPr>
          <w:rFonts w:ascii="Calibri;sans-serif" w:hAnsi="Calibri;sans-serif"/>
          <w:b w:val="false"/>
          <w:color w:val="000000"/>
          <w:sz w:val="24"/>
        </w:rPr>
        <w:t>(ii)officers of Asbury;</w:t>
      </w:r>
    </w:p>
    <w:p>
      <w:pPr>
        <w:pStyle w:val="TextBody"/>
        <w:bidi w:val="0"/>
        <w:spacing w:lineRule="auto" w:line="300" w:before="0" w:after="160"/>
        <w:ind w:left="0" w:right="0" w:hanging="720"/>
        <w:jc w:val="left"/>
        <w:rPr>
          <w:rFonts w:ascii="Calibri;sans-serif" w:hAnsi="Calibri;sans-serif"/>
          <w:b w:val="false"/>
          <w:color w:val="000000"/>
          <w:sz w:val="24"/>
        </w:rPr>
      </w:pPr>
      <w:r>
        <w:rPr>
          <w:rFonts w:ascii="Calibri;sans-serif" w:hAnsi="Calibri;sans-serif"/>
          <w:b w:val="false"/>
          <w:color w:val="000000"/>
          <w:sz w:val="24"/>
        </w:rPr>
        <w:t xml:space="preserve">(iii)corporate employees; </w:t>
      </w:r>
    </w:p>
    <w:p>
      <w:pPr>
        <w:pStyle w:val="TextBody"/>
        <w:bidi w:val="0"/>
        <w:spacing w:before="0" w:after="0"/>
        <w:jc w:val="left"/>
        <w:rPr/>
      </w:pPr>
      <w:r>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480175" cy="265430"/>
                <wp:effectExtent l="0" t="0" r="0" b="0"/>
                <wp:wrapNone/>
                <wp:docPr id="384" name="Frame379"/>
                <a:graphic xmlns:a="http://schemas.openxmlformats.org/drawingml/2006/main">
                  <a:graphicData uri="http://schemas.microsoft.com/office/word/2010/wordprocessingShape">
                    <wps:wsp>
                      <wps:cNvSpPr txBox="1"/>
                      <wps:spPr>
                        <a:xfrm>
                          <a:off x="0" y="0"/>
                          <a:ext cx="6480175" cy="265430"/>
                        </a:xfrm>
                        <a:prstGeom prst="rect"/>
                        <a:solidFill>
                          <a:srgbClr val="FFFFFF"/>
                        </a:solidFill>
                      </wps:spPr>
                      <wps:txbx>
                        <w:txbxContent>
                          <w:p>
                            <w:pPr>
                              <w:pStyle w:val="TextBody"/>
                              <w:bidi w:val="0"/>
                              <w:spacing w:lineRule="auto" w:line="300" w:before="0" w:after="0"/>
                              <w:jc w:val="right"/>
                              <w:rPr>
                                <w:rFonts w:ascii="Open Sans;sans-serif" w:hAnsi="Open Sans;sans-serif"/>
                                <w:b w:val="false"/>
                                <w:color w:val="000000"/>
                                <w:sz w:val="16"/>
                              </w:rPr>
                            </w:pPr>
                            <w:r>
                              <w:rPr>
                                <w:rFonts w:ascii="Open Sans;sans-serif" w:hAnsi="Open Sans;sans-serif"/>
                                <w:b w:val="false"/>
                                <w:color w:val="000000"/>
                                <w:sz w:val="16"/>
                              </w:rPr>
                              <w:t>Insider Trading Policy</w:t>
                            </w:r>
                            <w:r>
                              <w:br w:type="page"/>
                            </w:r>
                          </w:p>
                          <w:p>
                            <w:pPr>
                              <w:pStyle w:val="TextBody"/>
                              <w:bidi w:val="0"/>
                              <w:spacing w:lineRule="auto" w:line="300" w:before="0" w:after="0"/>
                              <w:jc w:val="right"/>
                              <w:rPr>
                                <w:rFonts w:ascii="Open Sans;sans-serif" w:hAnsi="Open Sans;sans-serif"/>
                                <w:b w:val="false"/>
                                <w:color w:val="000000"/>
                                <w:sz w:val="16"/>
                              </w:rPr>
                            </w:pPr>
                            <w:r>
                              <w:rPr>
                                <w:rFonts w:ascii="Open Sans;sans-serif" w:hAnsi="Open Sans;sans-serif"/>
                                <w:b w:val="false"/>
                                <w:color w:val="000000"/>
                                <w:sz w:val="16"/>
                              </w:rPr>
                              <w:t>Page 2 of 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right"/>
                        <w:rPr>
                          <w:rFonts w:ascii="Open Sans;sans-serif" w:hAnsi="Open Sans;sans-serif"/>
                          <w:b w:val="false"/>
                          <w:color w:val="000000"/>
                          <w:sz w:val="16"/>
                        </w:rPr>
                      </w:pPr>
                      <w:r>
                        <w:rPr>
                          <w:rFonts w:ascii="Open Sans;sans-serif" w:hAnsi="Open Sans;sans-serif"/>
                          <w:b w:val="false"/>
                          <w:color w:val="000000"/>
                          <w:sz w:val="16"/>
                        </w:rPr>
                        <w:t>Insider Trading Policy</w:t>
                      </w:r>
                    </w:p>
                    <w:p>
                      <w:pPr>
                        <w:pStyle w:val="TextBody"/>
                        <w:bidi w:val="0"/>
                        <w:spacing w:lineRule="auto" w:line="300" w:before="0" w:after="0"/>
                        <w:jc w:val="right"/>
                        <w:rPr>
                          <w:rFonts w:ascii="Open Sans;sans-serif" w:hAnsi="Open Sans;sans-serif"/>
                          <w:b w:val="false"/>
                          <w:color w:val="000000"/>
                          <w:sz w:val="16"/>
                        </w:rPr>
                      </w:pPr>
                      <w:r>
                        <w:rPr>
                          <w:rFonts w:ascii="Open Sans;sans-serif" w:hAnsi="Open Sans;sans-serif"/>
                          <w:b w:val="false"/>
                          <w:color w:val="000000"/>
                          <w:sz w:val="16"/>
                        </w:rPr>
                        <w:t>Page 2 of 5</w:t>
                      </w:r>
                    </w:p>
                  </w:txbxContent>
                </v:textbox>
                <w10:wrap type="none"/>
              </v:rect>
            </w:pict>
          </mc:Fallback>
        </mc:AlternateContent>
      </w:r>
    </w:p>
    <w:p>
      <w:pPr>
        <w:pStyle w:val="TextBody"/>
        <w:bidi w:val="0"/>
        <w:spacing w:lineRule="auto" w:line="300" w:before="0" w:after="160"/>
        <w:ind w:left="0" w:right="0" w:hanging="720"/>
        <w:jc w:val="left"/>
        <w:rPr>
          <w:rFonts w:ascii="Calibri;sans-serif" w:hAnsi="Calibri;sans-serif"/>
          <w:b w:val="false"/>
          <w:color w:val="000000"/>
          <w:sz w:val="24"/>
        </w:rPr>
      </w:pPr>
      <w:r>
        <w:rPr>
          <w:rFonts w:ascii="Calibri;sans-serif" w:hAnsi="Calibri;sans-serif"/>
          <w:b w:val="false"/>
          <w:color w:val="000000"/>
          <w:sz w:val="24"/>
        </w:rPr>
        <w:t xml:space="preserve">(iv)Regional Controllers; </w:t>
      </w:r>
    </w:p>
    <w:p>
      <w:pPr>
        <w:pStyle w:val="TextBody"/>
        <w:bidi w:val="0"/>
        <w:spacing w:lineRule="auto" w:line="300" w:before="0" w:after="160"/>
        <w:ind w:left="0" w:right="0" w:hanging="720"/>
        <w:jc w:val="left"/>
        <w:rPr>
          <w:rFonts w:ascii="Calibri;sans-serif" w:hAnsi="Calibri;sans-serif"/>
          <w:b w:val="false"/>
          <w:color w:val="000000"/>
          <w:sz w:val="24"/>
        </w:rPr>
      </w:pPr>
      <w:r>
        <w:rPr>
          <w:rFonts w:ascii="Calibri;sans-serif" w:hAnsi="Calibri;sans-serif"/>
          <w:b w:val="false"/>
          <w:color w:val="000000"/>
          <w:sz w:val="24"/>
        </w:rPr>
        <w:t xml:space="preserve">(v)General Managers of the Company’s dealerships; </w:t>
      </w:r>
    </w:p>
    <w:p>
      <w:pPr>
        <w:pStyle w:val="TextBody"/>
        <w:bidi w:val="0"/>
        <w:spacing w:lineRule="auto" w:line="300" w:before="0" w:after="160"/>
        <w:ind w:left="0" w:right="0" w:hanging="720"/>
        <w:jc w:val="left"/>
        <w:rPr>
          <w:rFonts w:ascii="Calibri;sans-serif" w:hAnsi="Calibri;sans-serif"/>
          <w:b w:val="false"/>
          <w:color w:val="000000"/>
          <w:sz w:val="24"/>
        </w:rPr>
      </w:pPr>
      <w:r>
        <w:rPr>
          <w:rFonts w:ascii="Calibri;sans-serif" w:hAnsi="Calibri;sans-serif"/>
          <w:b w:val="false"/>
          <w:color w:val="000000"/>
          <w:sz w:val="24"/>
        </w:rPr>
        <w:t>(vi)any other person so designated by Asbury’s Board of Directors, the Chief Executive Officer or the General Counsel from time to time; and</w:t>
      </w:r>
    </w:p>
    <w:p>
      <w:pPr>
        <w:pStyle w:val="TextBody"/>
        <w:bidi w:val="0"/>
        <w:spacing w:lineRule="auto" w:line="300" w:before="0" w:after="160"/>
        <w:ind w:left="0" w:right="0" w:hanging="720"/>
        <w:jc w:val="left"/>
        <w:rPr>
          <w:rFonts w:ascii="Calibri;sans-serif" w:hAnsi="Calibri;sans-serif"/>
          <w:b w:val="false"/>
          <w:color w:val="000000"/>
          <w:sz w:val="24"/>
        </w:rPr>
      </w:pPr>
      <w:r>
        <w:rPr>
          <w:rFonts w:ascii="Calibri;sans-serif" w:hAnsi="Calibri;sans-serif"/>
          <w:b w:val="false"/>
          <w:color w:val="000000"/>
          <w:sz w:val="24"/>
        </w:rPr>
        <w:t>(vii)any member of the immediate family (as defined herein) of any person identified in (i) – (vi) above.</w:t>
      </w:r>
    </w:p>
    <w:p>
      <w:pPr>
        <w:pStyle w:val="TextBody"/>
        <w:bidi w:val="0"/>
        <w:spacing w:lineRule="auto" w:line="300" w:before="0" w:after="160"/>
        <w:jc w:val="left"/>
        <w:rPr>
          <w:rFonts w:ascii="Calibri;sans-serif" w:hAnsi="Calibri;sans-serif"/>
          <w:b w:val="false"/>
          <w:color w:val="000000"/>
          <w:sz w:val="24"/>
        </w:rPr>
      </w:pPr>
      <w:r>
        <w:rPr>
          <w:rFonts w:ascii="Calibri;sans-serif" w:hAnsi="Calibri;sans-serif"/>
          <w:b w:val="false"/>
          <w:color w:val="000000"/>
          <w:sz w:val="24"/>
        </w:rPr>
        <w:t xml:space="preserve">If you are a Covered Person, please review the memorandum provided to you with this Policy entitled, “Additional Insider Trading Policies and Restrictions for Covered Persons.” </w:t>
      </w:r>
    </w:p>
    <w:p>
      <w:pPr>
        <w:pStyle w:val="TextBody"/>
        <w:bidi w:val="0"/>
        <w:spacing w:lineRule="auto" w:line="300" w:before="0" w:after="160"/>
        <w:jc w:val="left"/>
        <w:rPr>
          <w:rFonts w:ascii="Calibri;sans-serif" w:hAnsi="Calibri;sans-serif"/>
          <w:b w:val="false"/>
          <w:i/>
          <w:color w:val="D91E18"/>
          <w:sz w:val="24"/>
        </w:rPr>
      </w:pPr>
      <w:r>
        <w:rPr>
          <w:rFonts w:ascii="Calibri;sans-serif" w:hAnsi="Calibri;sans-serif"/>
          <w:b w:val="false"/>
          <w:i/>
          <w:color w:val="D91E18"/>
          <w:sz w:val="24"/>
        </w:rPr>
        <w:t>Exceptions under the Policy</w:t>
      </w:r>
    </w:p>
    <w:p>
      <w:pPr>
        <w:pStyle w:val="TextBody"/>
        <w:bidi w:val="0"/>
        <w:spacing w:lineRule="auto" w:line="300" w:before="0" w:after="160"/>
        <w:jc w:val="left"/>
        <w:rPr>
          <w:rFonts w:ascii="Calibri;sans-serif" w:hAnsi="Calibri;sans-serif"/>
          <w:b w:val="false"/>
          <w:color w:val="000000"/>
          <w:sz w:val="24"/>
        </w:rPr>
      </w:pPr>
      <w:r>
        <w:rPr>
          <w:rFonts w:ascii="Calibri;sans-serif" w:hAnsi="Calibri;sans-serif"/>
          <w:b w:val="false"/>
          <w:color w:val="000000"/>
          <w:sz w:val="24"/>
        </w:rPr>
        <w:t>Generally, gifts of Asbury Securities to an individual or to a charitable entity are not subject to this Policy. However, any gifts of Asbury Securities should be discussed with the General Counsel or Vice President, Internal Audit, Risk &amp; Compliance if you are uncertain of compliance under this Policy or the federal securities laws. In addition, certain Covered Persons have additional federal securities law reporting requirements upon gifting shares of Asbury Securities, so such Covered Persons should discuss plans for gifts in advance with the General Counsel to ensure compliance with these reporting requirements.</w:t>
      </w:r>
    </w:p>
    <w:p>
      <w:pPr>
        <w:pStyle w:val="TextBody"/>
        <w:bidi w:val="0"/>
        <w:spacing w:lineRule="auto" w:line="300" w:before="0" w:after="160"/>
        <w:jc w:val="left"/>
        <w:rPr>
          <w:rFonts w:ascii="Calibri;sans-serif" w:hAnsi="Calibri;sans-serif"/>
          <w:b w:val="false"/>
          <w:i/>
          <w:color w:val="D91E18"/>
          <w:sz w:val="24"/>
        </w:rPr>
      </w:pPr>
      <w:r>
        <w:rPr>
          <w:rFonts w:ascii="Calibri;sans-serif" w:hAnsi="Calibri;sans-serif"/>
          <w:b w:val="false"/>
          <w:i/>
          <w:color w:val="D91E18"/>
          <w:sz w:val="24"/>
        </w:rPr>
        <w:t>Application of Policy after Employment Terminates</w:t>
      </w:r>
    </w:p>
    <w:p>
      <w:pPr>
        <w:pStyle w:val="TextBody"/>
        <w:bidi w:val="0"/>
        <w:spacing w:lineRule="auto" w:line="300" w:before="0" w:after="160"/>
        <w:jc w:val="left"/>
        <w:rPr>
          <w:rFonts w:ascii="Calibri;sans-serif" w:hAnsi="Calibri;sans-serif"/>
          <w:b w:val="false"/>
          <w:color w:val="000000"/>
          <w:sz w:val="24"/>
        </w:rPr>
      </w:pPr>
      <w:r>
        <w:rPr>
          <w:rFonts w:ascii="Calibri;sans-serif" w:hAnsi="Calibri;sans-serif"/>
          <w:b w:val="false"/>
          <w:color w:val="000000"/>
          <w:sz w:val="24"/>
        </w:rPr>
        <w:t>If your employment terminates at a time when you have or think you may have material nonpublic information about Asbury or its Business Partners, the prohibition on trading on such information continues until such information (i) is the subject of a public announcement of such information by Asbury or its Business Partners, as applicable, or (ii) is no longer material.</w:t>
      </w:r>
    </w:p>
    <w:p>
      <w:pPr>
        <w:pStyle w:val="TextBody"/>
        <w:bidi w:val="0"/>
        <w:spacing w:lineRule="auto" w:line="300" w:before="0" w:after="160"/>
        <w:jc w:val="left"/>
        <w:rPr>
          <w:rFonts w:ascii="Calibri;sans-serif" w:hAnsi="Calibri;sans-serif"/>
          <w:b w:val="false"/>
          <w:i/>
          <w:color w:val="D91E18"/>
          <w:sz w:val="24"/>
        </w:rPr>
      </w:pPr>
      <w:r>
        <w:rPr>
          <w:rFonts w:ascii="Calibri;sans-serif" w:hAnsi="Calibri;sans-serif"/>
          <w:b w:val="false"/>
          <w:i/>
          <w:color w:val="D91E18"/>
          <w:sz w:val="24"/>
        </w:rPr>
        <w:t xml:space="preserve">Potential Criminal and Civil Liability </w:t>
      </w:r>
    </w:p>
    <w:p>
      <w:pPr>
        <w:pStyle w:val="TextBody"/>
        <w:bidi w:val="0"/>
        <w:spacing w:lineRule="auto" w:line="300" w:before="0" w:after="160"/>
        <w:jc w:val="left"/>
        <w:rPr/>
      </w:pPr>
      <w:r>
        <w:rPr>
          <w:rFonts w:ascii="Calibri;sans-serif" w:hAnsi="Calibri;sans-serif"/>
          <w:b w:val="false"/>
          <w:color w:val="000000"/>
          <w:sz w:val="24"/>
        </w:rPr>
        <w:t xml:space="preserve">The penalties for “insider trading” include civil fines of up to three times the profit gained or loss avoided, and criminal fines of up to $5,000,000 and a significant jail term. You can also be liable for improper transactions by “tipping.” Specifically, you may be liable for improper transactions by any person to whom you have inadvertently disclosed nonpublic information. The Securities and Exchange Commission (the “SEC”) has imposed large penalties even when the disclosing person did not actually trade or profit from the trading. As such, please remember that you </w:t>
      </w:r>
      <w:r>
        <w:rPr>
          <w:rFonts w:ascii="Calibri;sans-serif" w:hAnsi="Calibri;sans-serif"/>
          <w:b w:val="false"/>
          <w:color w:val="000000"/>
          <w:sz w:val="24"/>
          <w:u w:val="single"/>
        </w:rPr>
        <w:t>trade at your own risk</w:t>
      </w:r>
      <w:r>
        <w:rPr>
          <w:rFonts w:ascii="Calibri;sans-serif" w:hAnsi="Calibri;sans-serif"/>
          <w:b w:val="false"/>
          <w:color w:val="000000"/>
          <w:sz w:val="24"/>
        </w:rPr>
        <w:t>. While this Policy is intended to assist you in complying with the federal and state rules against insider trading, you must always exercise appropriate judgment in connection with any trade in Asbury Securities.</w:t>
      </w:r>
    </w:p>
    <w:p>
      <w:pPr>
        <w:pStyle w:val="TextBody"/>
        <w:bidi w:val="0"/>
        <w:spacing w:lineRule="auto" w:line="300" w:before="0" w:after="160"/>
        <w:jc w:val="left"/>
        <w:rPr>
          <w:rFonts w:ascii="Calibri;sans-serif" w:hAnsi="Calibri;sans-serif"/>
          <w:b w:val="false"/>
          <w:i/>
          <w:color w:val="D91E18"/>
          <w:sz w:val="24"/>
        </w:rPr>
      </w:pPr>
      <w:r>
        <w:rPr>
          <w:rFonts w:ascii="Calibri;sans-serif" w:hAnsi="Calibri;sans-serif"/>
          <w:b w:val="false"/>
          <w:i/>
          <w:color w:val="D91E18"/>
          <w:sz w:val="24"/>
        </w:rPr>
        <w:t>Twenty-Twenty Hindsight</w:t>
      </w:r>
    </w:p>
    <w:p>
      <w:pPr>
        <w:pStyle w:val="TextBody"/>
        <w:bidi w:val="0"/>
        <w:spacing w:lineRule="auto" w:line="300" w:before="0" w:after="160"/>
        <w:jc w:val="left"/>
        <w:rPr/>
      </w:pPr>
      <w:r>
        <w:rPr>
          <w:rFonts w:ascii="Calibri;sans-serif" w:hAnsi="Calibri;sans-serif"/>
          <w:b w:val="false"/>
          <w:color w:val="000000"/>
          <w:sz w:val="24"/>
        </w:rPr>
        <w:t>Insiders should keep in mind that if their securities transactions ever become the subject of scrutiny, these transactions will be viewed after the fact and in the bright light of hindsight. As a result, before engaging in any transaction in Asbury Securities, Insiders should carefully consider how regulators and others might view the transaction after the fact. Even the appearance of impropriety or governmental inquiries with respect to a transaction could impair investor confidence in Asbury and subject an Insider and/or Asbury to government inquiries or litigation. Consequently, any</w:t>
      </w:r>
      <w:r>
        <w:rPr>
          <w:color w:val="000000"/>
        </w:rPr>
        <w:t xml:space="preserve"> </w:t>
      </w:r>
      <w:r>
        <w:rPr>
          <w:rFonts w:ascii="Calibri;sans-serif" w:hAnsi="Calibri;sans-serif"/>
          <w:b w:val="false"/>
          <w:color w:val="000000"/>
          <w:sz w:val="24"/>
        </w:rPr>
        <w:t>concerns or questions about this Policy should be discussed with Asbury’s General Counsel.</w:t>
      </w:r>
    </w:p>
    <w:p>
      <w:pPr>
        <w:pStyle w:val="TextBody"/>
        <w:bidi w:val="0"/>
        <w:spacing w:before="0" w:after="0"/>
        <w:jc w:val="left"/>
        <w:rPr/>
      </w:pPr>
      <w:r>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480175" cy="265430"/>
                <wp:effectExtent l="0" t="0" r="0" b="0"/>
                <wp:wrapNone/>
                <wp:docPr id="385" name="Frame380"/>
                <a:graphic xmlns:a="http://schemas.openxmlformats.org/drawingml/2006/main">
                  <a:graphicData uri="http://schemas.microsoft.com/office/word/2010/wordprocessingShape">
                    <wps:wsp>
                      <wps:cNvSpPr txBox="1"/>
                      <wps:spPr>
                        <a:xfrm>
                          <a:off x="0" y="0"/>
                          <a:ext cx="6480175" cy="265430"/>
                        </a:xfrm>
                        <a:prstGeom prst="rect"/>
                        <a:solidFill>
                          <a:srgbClr val="FFFFFF"/>
                        </a:solidFill>
                      </wps:spPr>
                      <wps:txbx>
                        <w:txbxContent>
                          <w:p>
                            <w:pPr>
                              <w:pStyle w:val="TextBody"/>
                              <w:bidi w:val="0"/>
                              <w:spacing w:lineRule="auto" w:line="300" w:before="0" w:after="0"/>
                              <w:jc w:val="right"/>
                              <w:rPr>
                                <w:rFonts w:ascii="Open Sans;sans-serif" w:hAnsi="Open Sans;sans-serif"/>
                                <w:b w:val="false"/>
                                <w:color w:val="000000"/>
                                <w:sz w:val="16"/>
                              </w:rPr>
                            </w:pPr>
                            <w:r>
                              <w:rPr>
                                <w:rFonts w:ascii="Open Sans;sans-serif" w:hAnsi="Open Sans;sans-serif"/>
                                <w:b w:val="false"/>
                                <w:color w:val="000000"/>
                                <w:sz w:val="16"/>
                              </w:rPr>
                              <w:t>Insider Trading Policy</w:t>
                            </w:r>
                            <w:r>
                              <w:br w:type="page"/>
                            </w:r>
                          </w:p>
                          <w:p>
                            <w:pPr>
                              <w:pStyle w:val="TextBody"/>
                              <w:bidi w:val="0"/>
                              <w:spacing w:lineRule="auto" w:line="300" w:before="0" w:after="0"/>
                              <w:jc w:val="right"/>
                              <w:rPr>
                                <w:rFonts w:ascii="Open Sans;sans-serif" w:hAnsi="Open Sans;sans-serif"/>
                                <w:b w:val="false"/>
                                <w:color w:val="000000"/>
                                <w:sz w:val="16"/>
                              </w:rPr>
                            </w:pPr>
                            <w:r>
                              <w:rPr>
                                <w:rFonts w:ascii="Open Sans;sans-serif" w:hAnsi="Open Sans;sans-serif"/>
                                <w:b w:val="false"/>
                                <w:color w:val="000000"/>
                                <w:sz w:val="16"/>
                              </w:rPr>
                              <w:t>Page 3 of 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right"/>
                        <w:rPr>
                          <w:rFonts w:ascii="Open Sans;sans-serif" w:hAnsi="Open Sans;sans-serif"/>
                          <w:b w:val="false"/>
                          <w:color w:val="000000"/>
                          <w:sz w:val="16"/>
                        </w:rPr>
                      </w:pPr>
                      <w:r>
                        <w:rPr>
                          <w:rFonts w:ascii="Open Sans;sans-serif" w:hAnsi="Open Sans;sans-serif"/>
                          <w:b w:val="false"/>
                          <w:color w:val="000000"/>
                          <w:sz w:val="16"/>
                        </w:rPr>
                        <w:t>Insider Trading Policy</w:t>
                      </w:r>
                    </w:p>
                    <w:p>
                      <w:pPr>
                        <w:pStyle w:val="TextBody"/>
                        <w:bidi w:val="0"/>
                        <w:spacing w:lineRule="auto" w:line="300" w:before="0" w:after="0"/>
                        <w:jc w:val="right"/>
                        <w:rPr>
                          <w:rFonts w:ascii="Open Sans;sans-serif" w:hAnsi="Open Sans;sans-serif"/>
                          <w:b w:val="false"/>
                          <w:color w:val="000000"/>
                          <w:sz w:val="16"/>
                        </w:rPr>
                      </w:pPr>
                      <w:r>
                        <w:rPr>
                          <w:rFonts w:ascii="Open Sans;sans-serif" w:hAnsi="Open Sans;sans-serif"/>
                          <w:b w:val="false"/>
                          <w:color w:val="000000"/>
                          <w:sz w:val="16"/>
                        </w:rPr>
                        <w:t>Page 3 of 5</w:t>
                      </w:r>
                    </w:p>
                  </w:txbxContent>
                </v:textbox>
                <w10:wrap type="none"/>
              </v:rect>
            </w:pict>
          </mc:Fallback>
        </mc:AlternateContent>
      </w:r>
    </w:p>
    <w:p>
      <w:pPr>
        <w:pStyle w:val="TextBody"/>
        <w:bidi w:val="0"/>
        <w:spacing w:lineRule="auto" w:line="300" w:before="0" w:after="160"/>
        <w:jc w:val="left"/>
        <w:rPr>
          <w:rFonts w:ascii="Calibri;sans-serif" w:hAnsi="Calibri;sans-serif"/>
          <w:b w:val="false"/>
          <w:i/>
          <w:color w:val="D91E18"/>
          <w:sz w:val="24"/>
        </w:rPr>
      </w:pPr>
      <w:r>
        <w:rPr>
          <w:rFonts w:ascii="Calibri;sans-serif" w:hAnsi="Calibri;sans-serif"/>
          <w:b w:val="false"/>
          <w:i/>
          <w:color w:val="D91E18"/>
          <w:sz w:val="24"/>
        </w:rPr>
        <w:t>Definitions Used in this Policy</w:t>
      </w:r>
    </w:p>
    <w:p>
      <w:pPr>
        <w:pStyle w:val="TextBody"/>
        <w:bidi w:val="0"/>
        <w:spacing w:lineRule="auto" w:line="300" w:before="0" w:after="160"/>
        <w:ind w:left="0" w:right="0" w:hanging="360"/>
        <w:jc w:val="left"/>
        <w:rPr/>
      </w:pPr>
      <w:r>
        <w:rPr>
          <w:rFonts w:ascii="Calibri;sans-serif" w:hAnsi="Calibri;sans-serif"/>
          <w:b/>
          <w:color w:val="000000"/>
          <w:sz w:val="24"/>
        </w:rPr>
        <w:t xml:space="preserve">1.Immediate Family Member. </w:t>
      </w:r>
      <w:r>
        <w:rPr>
          <w:rFonts w:ascii="Calibri;sans-serif" w:hAnsi="Calibri;sans-serif"/>
          <w:b w:val="false"/>
          <w:color w:val="000000"/>
          <w:sz w:val="24"/>
        </w:rPr>
        <w:t>The following persons are considered members of your “immediate family”: your spouse, parents, grandparents, children, grandchildren and siblings, including any such relationship that arises through marriage or by adoption. It also includes members of your household, whether or not they are related to you.</w:t>
      </w:r>
    </w:p>
    <w:p>
      <w:pPr>
        <w:pStyle w:val="TextBody"/>
        <w:bidi w:val="0"/>
        <w:spacing w:lineRule="auto" w:line="300" w:before="0" w:after="160"/>
        <w:ind w:left="0" w:right="0" w:hanging="360"/>
        <w:jc w:val="left"/>
        <w:rPr/>
      </w:pPr>
      <w:r>
        <w:rPr>
          <w:rFonts w:ascii="Calibri;sans-serif" w:hAnsi="Calibri;sans-serif"/>
          <w:b/>
          <w:color w:val="000000"/>
          <w:sz w:val="24"/>
        </w:rPr>
        <w:t xml:space="preserve">2.Material Information. </w:t>
      </w:r>
      <w:r>
        <w:rPr>
          <w:rFonts w:ascii="Calibri;sans-serif" w:hAnsi="Calibri;sans-serif"/>
          <w:b w:val="false"/>
          <w:color w:val="000000"/>
          <w:sz w:val="24"/>
        </w:rPr>
        <w:t>It is not possible to define all categories of “material” information, but information should be regarded as material if it is likely that it would be considered important to an investor in making an investment decision regarding a purchase or sale of Asbury Securities. While it may be difficult to determine whether particular information is material or not, there are some categories of information that are particularly sensitive and that should almost always be considered material:</w:t>
      </w:r>
    </w:p>
    <w:p>
      <w:pPr>
        <w:pStyle w:val="TextBody"/>
        <w:bidi w:val="0"/>
        <w:spacing w:lineRule="auto" w:line="300" w:before="0" w:after="160"/>
        <w:ind w:left="0" w:right="0" w:hanging="360"/>
        <w:jc w:val="left"/>
        <w:rPr>
          <w:rFonts w:ascii="Calibri;sans-serif" w:hAnsi="Calibri;sans-serif"/>
          <w:b w:val="false"/>
          <w:color w:val="000000"/>
          <w:sz w:val="24"/>
        </w:rPr>
      </w:pPr>
      <w:r>
        <w:rPr>
          <w:rFonts w:ascii="Calibri;sans-serif" w:hAnsi="Calibri;sans-serif"/>
          <w:b w:val="false"/>
          <w:color w:val="000000"/>
          <w:sz w:val="24"/>
        </w:rPr>
        <w:t>Earnings information (including annual or quarterly financial results or changes in earnings projections);</w:t>
      </w:r>
    </w:p>
    <w:p>
      <w:pPr>
        <w:pStyle w:val="TextBody"/>
        <w:bidi w:val="0"/>
        <w:spacing w:lineRule="auto" w:line="300" w:before="0" w:after="160"/>
        <w:ind w:left="0" w:right="0" w:hanging="360"/>
        <w:jc w:val="left"/>
        <w:rPr>
          <w:rFonts w:ascii="Calibri;sans-serif" w:hAnsi="Calibri;sans-serif"/>
          <w:b w:val="false"/>
          <w:color w:val="000000"/>
          <w:sz w:val="24"/>
        </w:rPr>
      </w:pPr>
      <w:r>
        <w:rPr>
          <w:rFonts w:ascii="Calibri;sans-serif" w:hAnsi="Calibri;sans-serif"/>
          <w:b w:val="false"/>
          <w:color w:val="000000"/>
          <w:sz w:val="24"/>
        </w:rPr>
        <w:t xml:space="preserve">Significant mergers, acquisitions, dispositions, tender offers, joint ventures, or changes in assets; </w:t>
      </w:r>
    </w:p>
    <w:p>
      <w:pPr>
        <w:pStyle w:val="TextBody"/>
        <w:bidi w:val="0"/>
        <w:spacing w:lineRule="auto" w:line="300" w:before="0" w:after="160"/>
        <w:ind w:left="0" w:right="0" w:hanging="360"/>
        <w:jc w:val="left"/>
        <w:rPr>
          <w:rFonts w:ascii="Calibri;sans-serif" w:hAnsi="Calibri;sans-serif"/>
          <w:b w:val="false"/>
          <w:color w:val="000000"/>
          <w:sz w:val="24"/>
        </w:rPr>
      </w:pPr>
      <w:r>
        <w:rPr>
          <w:rFonts w:ascii="Calibri;sans-serif" w:hAnsi="Calibri;sans-serif"/>
          <w:b w:val="false"/>
          <w:color w:val="000000"/>
          <w:sz w:val="24"/>
        </w:rPr>
        <w:t xml:space="preserve">Changes in control or in senior management (senior vice presidents and above) or the board of directors; </w:t>
      </w:r>
    </w:p>
    <w:p>
      <w:pPr>
        <w:pStyle w:val="TextBody"/>
        <w:bidi w:val="0"/>
        <w:spacing w:lineRule="auto" w:line="300" w:before="0" w:after="160"/>
        <w:ind w:left="0" w:right="0" w:hanging="360"/>
        <w:jc w:val="left"/>
        <w:rPr>
          <w:rFonts w:ascii="Calibri;sans-serif" w:hAnsi="Calibri;sans-serif"/>
          <w:b w:val="false"/>
          <w:color w:val="000000"/>
          <w:sz w:val="24"/>
        </w:rPr>
      </w:pPr>
      <w:r>
        <w:rPr>
          <w:rFonts w:ascii="Calibri;sans-serif" w:hAnsi="Calibri;sans-serif"/>
          <w:b w:val="false"/>
          <w:color w:val="000000"/>
          <w:sz w:val="24"/>
        </w:rPr>
        <w:t xml:space="preserve">Change in auditors or auditor notification that Asbury may no longer rely on its audit report; </w:t>
      </w:r>
    </w:p>
    <w:p>
      <w:pPr>
        <w:pStyle w:val="TextBody"/>
        <w:bidi w:val="0"/>
        <w:spacing w:lineRule="auto" w:line="300" w:before="0" w:after="160"/>
        <w:ind w:left="0" w:right="0" w:hanging="360"/>
        <w:jc w:val="left"/>
        <w:rPr>
          <w:rFonts w:ascii="Calibri;sans-serif" w:hAnsi="Calibri;sans-serif"/>
          <w:b w:val="false"/>
          <w:color w:val="000000"/>
          <w:sz w:val="24"/>
        </w:rPr>
      </w:pPr>
      <w:r>
        <w:rPr>
          <w:rFonts w:ascii="Calibri;sans-serif" w:hAnsi="Calibri;sans-serif"/>
          <w:b w:val="false"/>
          <w:color w:val="000000"/>
          <w:sz w:val="24"/>
        </w:rPr>
        <w:t xml:space="preserve">Events regarding Asbury’s securities - e.g., defaults on senior securities, calls of securities for redemption, adoption of repurchase plans, stock splits or significant changes in dividend policy, changes to the rights of public security holders, public or private sales of additional securities; </w:t>
      </w:r>
    </w:p>
    <w:p>
      <w:pPr>
        <w:pStyle w:val="TextBody"/>
        <w:bidi w:val="0"/>
        <w:spacing w:lineRule="auto" w:line="300" w:before="0" w:after="160"/>
        <w:ind w:left="0" w:right="0" w:hanging="360"/>
        <w:jc w:val="left"/>
        <w:rPr>
          <w:rFonts w:ascii="Calibri;sans-serif" w:hAnsi="Calibri;sans-serif"/>
          <w:b w:val="false"/>
          <w:color w:val="000000"/>
          <w:sz w:val="24"/>
        </w:rPr>
      </w:pPr>
      <w:r>
        <w:rPr>
          <w:rFonts w:ascii="Calibri;sans-serif" w:hAnsi="Calibri;sans-serif"/>
          <w:b w:val="false"/>
          <w:color w:val="000000"/>
          <w:sz w:val="24"/>
        </w:rPr>
        <w:t xml:space="preserve">Impending bankruptcies or receiverships; </w:t>
      </w:r>
    </w:p>
    <w:p>
      <w:pPr>
        <w:pStyle w:val="TextBody"/>
        <w:bidi w:val="0"/>
        <w:spacing w:lineRule="auto" w:line="300" w:before="0" w:after="160"/>
        <w:ind w:left="0" w:right="0" w:hanging="360"/>
        <w:jc w:val="left"/>
        <w:rPr>
          <w:rFonts w:ascii="Calibri;sans-serif" w:hAnsi="Calibri;sans-serif"/>
          <w:b w:val="false"/>
          <w:color w:val="000000"/>
          <w:sz w:val="24"/>
        </w:rPr>
      </w:pPr>
      <w:r>
        <w:rPr>
          <w:rFonts w:ascii="Calibri;sans-serif" w:hAnsi="Calibri;sans-serif"/>
          <w:b w:val="false"/>
          <w:color w:val="000000"/>
          <w:sz w:val="24"/>
        </w:rPr>
        <w:t xml:space="preserve">Significant litigation or adverse action by regulatory bodies; </w:t>
      </w:r>
    </w:p>
    <w:p>
      <w:pPr>
        <w:pStyle w:val="TextBody"/>
        <w:bidi w:val="0"/>
        <w:spacing w:lineRule="auto" w:line="300" w:before="0" w:after="160"/>
        <w:ind w:left="0" w:right="0" w:hanging="360"/>
        <w:jc w:val="left"/>
        <w:rPr>
          <w:rFonts w:ascii="Calibri;sans-serif" w:hAnsi="Calibri;sans-serif"/>
          <w:b w:val="false"/>
          <w:color w:val="000000"/>
          <w:sz w:val="24"/>
        </w:rPr>
      </w:pPr>
      <w:r>
        <w:rPr>
          <w:rFonts w:ascii="Calibri;sans-serif" w:hAnsi="Calibri;sans-serif"/>
          <w:b w:val="false"/>
          <w:color w:val="000000"/>
          <w:sz w:val="24"/>
        </w:rPr>
        <w:t>Commencement or resolution of significant litigation; or entry into, amendment of, or termination of material agreements outside the ordinary course of business.</w:t>
      </w:r>
    </w:p>
    <w:p>
      <w:pPr>
        <w:pStyle w:val="TextBody"/>
        <w:bidi w:val="0"/>
        <w:spacing w:lineRule="auto" w:line="300" w:before="0" w:after="160"/>
        <w:jc w:val="left"/>
        <w:rPr>
          <w:rFonts w:ascii="Calibri;sans-serif" w:hAnsi="Calibri;sans-serif"/>
          <w:b w:val="false"/>
          <w:color w:val="000000"/>
          <w:sz w:val="24"/>
        </w:rPr>
      </w:pPr>
      <w:r>
        <w:rPr>
          <w:rFonts w:ascii="Calibri;sans-serif" w:hAnsi="Calibri;sans-serif"/>
          <w:b w:val="false"/>
          <w:color w:val="000000"/>
          <w:sz w:val="24"/>
        </w:rPr>
        <w:t>The above list does not include every type of information that may be regarded as material. Note that any information that could have either a positive or negative impact on the price of a company’s securities may be material.</w:t>
      </w:r>
    </w:p>
    <w:p>
      <w:pPr>
        <w:pStyle w:val="TextBody"/>
        <w:bidi w:val="0"/>
        <w:spacing w:lineRule="auto" w:line="300" w:before="0" w:after="160"/>
        <w:ind w:left="0" w:right="0" w:hanging="360"/>
        <w:jc w:val="left"/>
        <w:rPr/>
      </w:pPr>
      <w:r>
        <w:rPr>
          <w:rFonts w:ascii="Calibri;sans-serif" w:hAnsi="Calibri;sans-serif"/>
          <w:b/>
          <w:color w:val="000000"/>
          <w:sz w:val="24"/>
        </w:rPr>
        <w:t>3.Nonpublic Information.</w:t>
      </w:r>
      <w:r>
        <w:rPr>
          <w:color w:val="000000"/>
        </w:rPr>
        <w:t xml:space="preserve"> </w:t>
      </w:r>
      <w:r>
        <w:rPr>
          <w:rFonts w:ascii="Calibri;sans-serif" w:hAnsi="Calibri;sans-serif"/>
          <w:b w:val="false"/>
          <w:color w:val="000000"/>
          <w:sz w:val="24"/>
        </w:rPr>
        <w:t>Information about Asbury is considered to be “nonpublic” if it is known within the Company but not yet disclosed to the general public. Asbury generally discloses information to the public either via press release or in the regular quarterly or annual reports that it is required to file with the SEC. Information is considered “public” only after it has been publicly available, through press release or otherwise, for at least twenty-four hours.</w:t>
      </w:r>
    </w:p>
    <w:p>
      <w:pPr>
        <w:pStyle w:val="TextBody"/>
        <w:bidi w:val="0"/>
        <w:spacing w:lineRule="auto" w:line="300" w:before="0" w:after="160"/>
        <w:jc w:val="left"/>
        <w:rPr>
          <w:rFonts w:ascii="Calibri;sans-serif" w:hAnsi="Calibri;sans-serif"/>
          <w:b w:val="false"/>
          <w:i/>
          <w:color w:val="D91E18"/>
          <w:sz w:val="24"/>
        </w:rPr>
      </w:pPr>
      <w:r>
        <w:rPr>
          <w:rFonts w:ascii="Calibri;sans-serif" w:hAnsi="Calibri;sans-serif"/>
          <w:b w:val="false"/>
          <w:i/>
          <w:color w:val="D91E18"/>
          <w:sz w:val="24"/>
        </w:rPr>
        <w:t>Implementation</w:t>
      </w:r>
    </w:p>
    <w:p>
      <w:pPr>
        <w:pStyle w:val="TextBody"/>
        <w:bidi w:val="0"/>
        <w:spacing w:lineRule="auto" w:line="300" w:before="0" w:after="160"/>
        <w:ind w:left="0" w:right="0" w:hanging="360"/>
        <w:jc w:val="left"/>
        <w:rPr/>
      </w:pPr>
      <w:r>
        <w:rPr>
          <w:rFonts w:ascii="Calibri;sans-serif" w:hAnsi="Calibri;sans-serif"/>
          <w:b/>
          <w:color w:val="000000"/>
          <w:sz w:val="24"/>
        </w:rPr>
        <w:t>1.Administration.</w:t>
      </w:r>
      <w:r>
        <w:rPr>
          <w:color w:val="000000"/>
        </w:rPr>
        <w:t xml:space="preserve"> </w:t>
      </w:r>
      <w:r>
        <w:rPr>
          <w:rFonts w:ascii="Calibri;sans-serif" w:hAnsi="Calibri;sans-serif"/>
          <w:b w:val="false"/>
          <w:color w:val="000000"/>
          <w:sz w:val="24"/>
        </w:rPr>
        <w:t>The General Counsel is responsible for the implementation and administration of this Policy.</w:t>
      </w:r>
    </w:p>
    <w:p>
      <w:pPr>
        <w:pStyle w:val="TextBody"/>
        <w:bidi w:val="0"/>
        <w:spacing w:lineRule="auto" w:line="300" w:before="0" w:after="160"/>
        <w:ind w:left="0" w:right="0" w:hanging="360"/>
        <w:jc w:val="left"/>
        <w:rPr/>
      </w:pPr>
      <w:r>
        <w:rPr>
          <w:rFonts w:ascii="Calibri;sans-serif" w:hAnsi="Calibri;sans-serif"/>
          <w:b/>
          <w:color w:val="000000"/>
          <w:sz w:val="24"/>
        </w:rPr>
        <w:t>2.Changes.</w:t>
      </w:r>
      <w:r>
        <w:rPr>
          <w:color w:val="000000"/>
        </w:rPr>
        <w:t xml:space="preserve"> </w:t>
      </w:r>
      <w:r>
        <w:rPr>
          <w:rFonts w:ascii="Calibri;sans-serif" w:hAnsi="Calibri;sans-serif"/>
          <w:b w:val="false"/>
          <w:color w:val="000000"/>
          <w:sz w:val="24"/>
        </w:rPr>
        <w:t>The Company may modify or amend this Policy at any time.</w:t>
      </w:r>
    </w:p>
    <w:p>
      <w:pPr>
        <w:pStyle w:val="TextBody"/>
        <w:bidi w:val="0"/>
        <w:spacing w:before="0" w:after="0"/>
        <w:jc w:val="left"/>
        <w:rPr/>
      </w:pPr>
      <w:r>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480175" cy="265430"/>
                <wp:effectExtent l="0" t="0" r="0" b="0"/>
                <wp:wrapNone/>
                <wp:docPr id="386" name="Frame381"/>
                <a:graphic xmlns:a="http://schemas.openxmlformats.org/drawingml/2006/main">
                  <a:graphicData uri="http://schemas.microsoft.com/office/word/2010/wordprocessingShape">
                    <wps:wsp>
                      <wps:cNvSpPr txBox="1"/>
                      <wps:spPr>
                        <a:xfrm>
                          <a:off x="0" y="0"/>
                          <a:ext cx="6480175" cy="265430"/>
                        </a:xfrm>
                        <a:prstGeom prst="rect"/>
                        <a:solidFill>
                          <a:srgbClr val="FFFFFF"/>
                        </a:solidFill>
                      </wps:spPr>
                      <wps:txbx>
                        <w:txbxContent>
                          <w:p>
                            <w:pPr>
                              <w:pStyle w:val="TextBody"/>
                              <w:bidi w:val="0"/>
                              <w:spacing w:lineRule="auto" w:line="300" w:before="0" w:after="0"/>
                              <w:jc w:val="right"/>
                              <w:rPr>
                                <w:rFonts w:ascii="Open Sans;sans-serif" w:hAnsi="Open Sans;sans-serif"/>
                                <w:b w:val="false"/>
                                <w:color w:val="000000"/>
                                <w:sz w:val="16"/>
                              </w:rPr>
                            </w:pPr>
                            <w:r>
                              <w:rPr>
                                <w:rFonts w:ascii="Open Sans;sans-serif" w:hAnsi="Open Sans;sans-serif"/>
                                <w:b w:val="false"/>
                                <w:color w:val="000000"/>
                                <w:sz w:val="16"/>
                              </w:rPr>
                              <w:t>Insider Trading Policy</w:t>
                            </w:r>
                            <w:r>
                              <w:br w:type="page"/>
                            </w:r>
                          </w:p>
                          <w:p>
                            <w:pPr>
                              <w:pStyle w:val="TextBody"/>
                              <w:bidi w:val="0"/>
                              <w:spacing w:lineRule="auto" w:line="300" w:before="0" w:after="0"/>
                              <w:jc w:val="right"/>
                              <w:rPr>
                                <w:rFonts w:ascii="Open Sans;sans-serif" w:hAnsi="Open Sans;sans-serif"/>
                                <w:b w:val="false"/>
                                <w:color w:val="000000"/>
                                <w:sz w:val="16"/>
                              </w:rPr>
                            </w:pPr>
                            <w:r>
                              <w:rPr>
                                <w:rFonts w:ascii="Open Sans;sans-serif" w:hAnsi="Open Sans;sans-serif"/>
                                <w:b w:val="false"/>
                                <w:color w:val="000000"/>
                                <w:sz w:val="16"/>
                              </w:rPr>
                              <w:t>Page 4 of 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right"/>
                        <w:rPr>
                          <w:rFonts w:ascii="Open Sans;sans-serif" w:hAnsi="Open Sans;sans-serif"/>
                          <w:b w:val="false"/>
                          <w:color w:val="000000"/>
                          <w:sz w:val="16"/>
                        </w:rPr>
                      </w:pPr>
                      <w:r>
                        <w:rPr>
                          <w:rFonts w:ascii="Open Sans;sans-serif" w:hAnsi="Open Sans;sans-serif"/>
                          <w:b w:val="false"/>
                          <w:color w:val="000000"/>
                          <w:sz w:val="16"/>
                        </w:rPr>
                        <w:t>Insider Trading Policy</w:t>
                      </w:r>
                    </w:p>
                    <w:p>
                      <w:pPr>
                        <w:pStyle w:val="TextBody"/>
                        <w:bidi w:val="0"/>
                        <w:spacing w:lineRule="auto" w:line="300" w:before="0" w:after="0"/>
                        <w:jc w:val="right"/>
                        <w:rPr>
                          <w:rFonts w:ascii="Open Sans;sans-serif" w:hAnsi="Open Sans;sans-serif"/>
                          <w:b w:val="false"/>
                          <w:color w:val="000000"/>
                          <w:sz w:val="16"/>
                        </w:rPr>
                      </w:pPr>
                      <w:r>
                        <w:rPr>
                          <w:rFonts w:ascii="Open Sans;sans-serif" w:hAnsi="Open Sans;sans-serif"/>
                          <w:b w:val="false"/>
                          <w:color w:val="000000"/>
                          <w:sz w:val="16"/>
                        </w:rPr>
                        <w:t>Page 4 of 5</w:t>
                      </w:r>
                    </w:p>
                  </w:txbxContent>
                </v:textbox>
                <w10:wrap type="none"/>
              </v:rect>
            </w:pict>
          </mc:Fallback>
        </mc:AlternateContent>
      </w:r>
    </w:p>
    <w:p>
      <w:pPr>
        <w:pStyle w:val="TextBody"/>
        <w:bidi w:val="0"/>
        <w:spacing w:lineRule="auto" w:line="300" w:before="0" w:after="160"/>
        <w:ind w:left="0" w:right="0" w:hanging="360"/>
        <w:jc w:val="left"/>
        <w:rPr/>
      </w:pPr>
      <w:r>
        <w:rPr>
          <w:rFonts w:ascii="Calibri;sans-serif" w:hAnsi="Calibri;sans-serif"/>
          <w:b/>
          <w:color w:val="000000"/>
          <w:sz w:val="24"/>
        </w:rPr>
        <w:t xml:space="preserve">3.Violations. </w:t>
      </w:r>
      <w:r>
        <w:rPr>
          <w:rFonts w:ascii="Calibri;sans-serif" w:hAnsi="Calibri;sans-serif"/>
          <w:b w:val="false"/>
          <w:color w:val="000000"/>
          <w:sz w:val="24"/>
        </w:rPr>
        <w:t>Employees who violate this Policy shall be subject to disciplinary action, which may include ineligibility for future participation in Asbury’s equity incentive plans or termination of employment for cause. Any refusal or failure by an employee to cooperate fully with Asbury in any investigation of a possible violation of this Policy, or of federal or state securities laws, may also subject the employee to termination for cause.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480175" cy="265430"/>
                <wp:effectExtent l="0" t="0" r="0" b="0"/>
                <wp:wrapNone/>
                <wp:docPr id="387" name="Frame382"/>
                <a:graphic xmlns:a="http://schemas.openxmlformats.org/drawingml/2006/main">
                  <a:graphicData uri="http://schemas.microsoft.com/office/word/2010/wordprocessingShape">
                    <wps:wsp>
                      <wps:cNvSpPr txBox="1"/>
                      <wps:spPr>
                        <a:xfrm>
                          <a:off x="0" y="0"/>
                          <a:ext cx="6480175" cy="265430"/>
                        </a:xfrm>
                        <a:prstGeom prst="rect"/>
                        <a:solidFill>
                          <a:srgbClr val="FFFFFF"/>
                        </a:solidFill>
                      </wps:spPr>
                      <wps:txbx>
                        <w:txbxContent>
                          <w:p>
                            <w:pPr>
                              <w:pStyle w:val="TextBody"/>
                              <w:bidi w:val="0"/>
                              <w:spacing w:lineRule="auto" w:line="300" w:before="0" w:after="0"/>
                              <w:jc w:val="right"/>
                              <w:rPr>
                                <w:rFonts w:ascii="Open Sans;sans-serif" w:hAnsi="Open Sans;sans-serif"/>
                                <w:b w:val="false"/>
                                <w:color w:val="000000"/>
                                <w:sz w:val="16"/>
                              </w:rPr>
                            </w:pPr>
                            <w:r>
                              <w:rPr>
                                <w:rFonts w:ascii="Open Sans;sans-serif" w:hAnsi="Open Sans;sans-serif"/>
                                <w:b w:val="false"/>
                                <w:color w:val="000000"/>
                                <w:sz w:val="16"/>
                              </w:rPr>
                              <w:t>Insider Trading Policy</w:t>
                            </w:r>
                          </w:p>
                          <w:p>
                            <w:pPr>
                              <w:pStyle w:val="TextBody"/>
                              <w:bidi w:val="0"/>
                              <w:spacing w:lineRule="auto" w:line="300" w:before="0" w:after="0"/>
                              <w:jc w:val="right"/>
                              <w:rPr>
                                <w:rFonts w:ascii="Open Sans;sans-serif" w:hAnsi="Open Sans;sans-serif"/>
                                <w:b w:val="false"/>
                                <w:color w:val="000000"/>
                                <w:sz w:val="16"/>
                              </w:rPr>
                            </w:pPr>
                            <w:r>
                              <w:rPr>
                                <w:rFonts w:ascii="Open Sans;sans-serif" w:hAnsi="Open Sans;sans-serif"/>
                                <w:b w:val="false"/>
                                <w:color w:val="000000"/>
                                <w:sz w:val="16"/>
                              </w:rPr>
                              <w:t>Page 5 of 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9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00" w:before="0" w:after="0"/>
                        <w:jc w:val="right"/>
                        <w:rPr>
                          <w:rFonts w:ascii="Open Sans;sans-serif" w:hAnsi="Open Sans;sans-serif"/>
                          <w:b w:val="false"/>
                          <w:color w:val="000000"/>
                          <w:sz w:val="16"/>
                        </w:rPr>
                      </w:pPr>
                      <w:r>
                        <w:rPr>
                          <w:rFonts w:ascii="Open Sans;sans-serif" w:hAnsi="Open Sans;sans-serif"/>
                          <w:b w:val="false"/>
                          <w:color w:val="000000"/>
                          <w:sz w:val="16"/>
                        </w:rPr>
                        <w:t>Insider Trading Policy</w:t>
                      </w:r>
                    </w:p>
                    <w:p>
                      <w:pPr>
                        <w:pStyle w:val="TextBody"/>
                        <w:bidi w:val="0"/>
                        <w:spacing w:lineRule="auto" w:line="300" w:before="0" w:after="0"/>
                        <w:jc w:val="right"/>
                        <w:rPr>
                          <w:rFonts w:ascii="Open Sans;sans-serif" w:hAnsi="Open Sans;sans-serif"/>
                          <w:b w:val="false"/>
                          <w:color w:val="000000"/>
                          <w:sz w:val="16"/>
                        </w:rPr>
                      </w:pPr>
                      <w:r>
                        <w:rPr>
                          <w:rFonts w:ascii="Open Sans;sans-serif" w:hAnsi="Open Sans;sans-serif"/>
                          <w:b w:val="false"/>
                          <w:color w:val="000000"/>
                          <w:sz w:val="16"/>
                        </w:rPr>
                        <w:t>Page 5 of 5</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w:t>
      </w:r>
    </w:p>
    <w:p>
      <w:pPr>
        <w:pStyle w:val="TextBody"/>
        <w:bidi w:val="0"/>
        <w:spacing w:before="0" w:after="0"/>
        <w:jc w:val="center"/>
        <w:rPr/>
      </w:pPr>
      <w:r>
        <w:rPr/>
      </w:r>
    </w:p>
    <w:tbl>
      <w:tblPr>
        <w:tblW w:w="9250" w:type="dxa"/>
        <w:jc w:val="center"/>
        <w:tblInd w:w="0" w:type="dxa"/>
        <w:tblLayout w:type="fixed"/>
        <w:tblCellMar>
          <w:top w:w="28" w:type="dxa"/>
          <w:left w:w="28" w:type="dxa"/>
          <w:bottom w:w="28" w:type="dxa"/>
          <w:right w:w="28" w:type="dxa"/>
        </w:tblCellMar>
      </w:tblPr>
      <w:tblGrid>
        <w:gridCol w:w="1903"/>
        <w:gridCol w:w="1668"/>
        <w:gridCol w:w="1678"/>
        <w:gridCol w:w="109"/>
        <w:gridCol w:w="109"/>
        <w:gridCol w:w="109"/>
        <w:gridCol w:w="450"/>
        <w:gridCol w:w="450"/>
        <w:gridCol w:w="451"/>
        <w:gridCol w:w="109"/>
        <w:gridCol w:w="109"/>
        <w:gridCol w:w="109"/>
        <w:gridCol w:w="584"/>
        <w:gridCol w:w="584"/>
        <w:gridCol w:w="828"/>
      </w:tblGrid>
      <w:tr>
        <w:trPr/>
        <w:tc>
          <w:tcPr>
            <w:tcW w:w="1903"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Entity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Domestic 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Foreign Qualification</w:t>
            </w:r>
          </w:p>
        </w:tc>
      </w:tr>
      <w:tr>
        <w:trPr/>
        <w:tc>
          <w:tcPr>
            <w:tcW w:w="5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 Motors,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ANL,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Arkansas Automotive Services,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ANT,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MD</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AR Niss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Arlington MB,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TX</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ART,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w:t>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Atlanta AC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Atlanta AU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w:t>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Atlanta BM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Atlanta CHEV,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w:t>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Atlanta Chevrolet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Atlanta Ford,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w:t>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Atlanta Hon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Atlanta Hund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w:t>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Atlanta Inf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Atlanta Infiniti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w:t>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Atlanta Jaguar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Atlanta K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w:t>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Atlanta Lex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Atlanta Nis II,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w:t>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Atlanta Nis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Atlanta Toy 2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w:t>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Atlanta Toy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Atlanta VB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w:t>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Atlanta VL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Aurora Toy,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w:t>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Austin JLR,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TX</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Arkansas Dealership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MS</w:t>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Arkansas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MS</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Atlanta II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w:t>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Atlanta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Brandon,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Central Florida,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Deland,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Fresno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Group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CT, FL, NJ</w:t>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Jacksonville GP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Jacksonville,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Management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 NY</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Mississippi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MS</w:t>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North Carolina Dealership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NC</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North Carolina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NC, NJ, SC, VA</w:t>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North Carolina Management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NC</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480175" cy="175260"/>
                <wp:effectExtent l="0" t="0" r="0" b="0"/>
                <wp:wrapNone/>
                <wp:docPr id="388" name="Frame3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719" w:type="dxa"/>
        <w:jc w:val="center"/>
        <w:tblInd w:w="0" w:type="dxa"/>
        <w:tblLayout w:type="fixed"/>
        <w:tblCellMar>
          <w:top w:w="28" w:type="dxa"/>
          <w:left w:w="28" w:type="dxa"/>
          <w:bottom w:w="28" w:type="dxa"/>
          <w:right w:w="28" w:type="dxa"/>
        </w:tblCellMar>
      </w:tblPr>
      <w:tblGrid>
        <w:gridCol w:w="1918"/>
        <w:gridCol w:w="1686"/>
        <w:gridCol w:w="1691"/>
        <w:gridCol w:w="109"/>
        <w:gridCol w:w="109"/>
        <w:gridCol w:w="109"/>
        <w:gridCol w:w="120"/>
        <w:gridCol w:w="120"/>
        <w:gridCol w:w="121"/>
        <w:gridCol w:w="109"/>
        <w:gridCol w:w="109"/>
        <w:gridCol w:w="109"/>
        <w:gridCol w:w="411"/>
        <w:gridCol w:w="411"/>
        <w:gridCol w:w="587"/>
      </w:tblGrid>
      <w:tr>
        <w:trPr/>
        <w:tc>
          <w:tcPr>
            <w:tcW w:w="1918"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North Carolina Real Estate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NC, NJ, SC, VA</w:t>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Oregon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Southern California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St. Louis II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MO</w:t>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St. Louis,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MO</w:t>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Tampa GP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Tampa,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Texas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TX</w:t>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Texas Real Estate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TX</w:t>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Automotive West,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Baltimore F,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MD</w:t>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Catonsville M,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MD</w:t>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CH Motors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Clarksville CBG,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MD</w:t>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CO CDJR,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w:t>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CO GEN,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w:t>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CO HG,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w:t>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CO Lex,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w:t>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CO SUB,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w:t>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Dallas BEN,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TX</w:t>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Dallas KAR,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Dallas MAS,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Dallas MB,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TX</w:t>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Dallas MCL,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Dallas POR,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TX</w:t>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Dallas RR,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Dallas VOL,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TX</w:t>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Deland Hund,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Deland Imports 2,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DFW JLR,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TX</w:t>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Easton 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MD</w:t>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FCF,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w:t>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Fort Worth MB,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TX</w:t>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Fresno Imports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Ft. Worth Ford,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TX</w:t>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Georgia TOY,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w:t>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Grapevine LEX,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Greeley SUB,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w:t>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IN CBG,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w:t>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IN CDJ,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w:t>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IN CHEV,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w:t>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IN FORD,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w:t>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IN HON,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w:t>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IN TOY,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w:t>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Indy Chev,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w:t>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Jax AC,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Jax Ford,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480175" cy="175260"/>
                <wp:effectExtent l="0" t="0" r="0" b="0"/>
                <wp:wrapNone/>
                <wp:docPr id="389" name="Frame3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508"/>
        <w:gridCol w:w="1309"/>
        <w:gridCol w:w="1318"/>
        <w:gridCol w:w="109"/>
        <w:gridCol w:w="109"/>
        <w:gridCol w:w="109"/>
        <w:gridCol w:w="120"/>
        <w:gridCol w:w="120"/>
        <w:gridCol w:w="121"/>
        <w:gridCol w:w="109"/>
        <w:gridCol w:w="109"/>
        <w:gridCol w:w="109"/>
        <w:gridCol w:w="1476"/>
        <w:gridCol w:w="1474"/>
        <w:gridCol w:w="2105"/>
      </w:tblGrid>
      <w:tr>
        <w:trPr/>
        <w:tc>
          <w:tcPr>
            <w:tcW w:w="1508"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4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Jax Holdings,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4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Jax Hon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4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Jax K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Jax Management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4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Jax VW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Lakewood Chev,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w:t>
            </w:r>
          </w:p>
        </w:tc>
      </w:tr>
      <w:tr>
        <w:trPr/>
        <w:tc>
          <w:tcPr>
            <w:tcW w:w="4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Lakewood Toy,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w:t>
            </w:r>
          </w:p>
        </w:tc>
      </w:tr>
      <w:tr>
        <w:trPr/>
        <w:tc>
          <w:tcPr>
            <w:tcW w:w="4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Littleton JLR,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w:t>
            </w:r>
          </w:p>
        </w:tc>
      </w:tr>
      <w:tr>
        <w:trPr/>
        <w:tc>
          <w:tcPr>
            <w:tcW w:w="4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Littleton Por,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w:t>
            </w:r>
          </w:p>
        </w:tc>
      </w:tr>
      <w:tr>
        <w:trPr/>
        <w:tc>
          <w:tcPr>
            <w:tcW w:w="4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Longmont Hund,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w:t>
            </w:r>
          </w:p>
        </w:tc>
      </w:tr>
      <w:tr>
        <w:trPr/>
        <w:tc>
          <w:tcPr>
            <w:tcW w:w="4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Management Services,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 AZ, FL, GA, IN, MO, MS, NC, NY, OH, PA, SC, TN, TX, VA</w:t>
            </w:r>
          </w:p>
        </w:tc>
      </w:tr>
      <w:tr>
        <w:trPr/>
        <w:tc>
          <w:tcPr>
            <w:tcW w:w="4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Mid-Atlantic,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MD, VA</w:t>
            </w:r>
          </w:p>
        </w:tc>
      </w:tr>
      <w:tr>
        <w:trPr/>
        <w:tc>
          <w:tcPr>
            <w:tcW w:w="4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MS CHEV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MS</w:t>
            </w:r>
          </w:p>
        </w:tc>
      </w:tr>
      <w:tr>
        <w:trPr/>
        <w:tc>
          <w:tcPr>
            <w:tcW w:w="4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MS Gray-Daniels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MS</w:t>
            </w:r>
          </w:p>
        </w:tc>
      </w:tr>
      <w:tr>
        <w:trPr/>
        <w:tc>
          <w:tcPr>
            <w:tcW w:w="4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No Cal Niss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Noblesville CDJR,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w:t>
            </w:r>
          </w:p>
        </w:tc>
      </w:tr>
      <w:tr>
        <w:trPr/>
        <w:tc>
          <w:tcPr>
            <w:tcW w:w="4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OMK,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MD</w:t>
            </w:r>
          </w:p>
        </w:tc>
      </w:tr>
      <w:tr>
        <w:trPr/>
        <w:tc>
          <w:tcPr>
            <w:tcW w:w="4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Plano LEX,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TX</w:t>
            </w:r>
          </w:p>
        </w:tc>
      </w:tr>
      <w:tr>
        <w:trPr/>
        <w:tc>
          <w:tcPr>
            <w:tcW w:w="4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Risk Services,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AL, CT, IN, MO, MT, NE, NH, PA, TN, TX, VT</w:t>
            </w:r>
          </w:p>
        </w:tc>
      </w:tr>
      <w:tr>
        <w:trPr/>
        <w:tc>
          <w:tcPr>
            <w:tcW w:w="4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Sacramento Imports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SC JPV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SC</w:t>
            </w:r>
          </w:p>
        </w:tc>
      </w:tr>
      <w:tr>
        <w:trPr/>
        <w:tc>
          <w:tcPr>
            <w:tcW w:w="4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SC LEX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SC</w:t>
            </w:r>
          </w:p>
        </w:tc>
      </w:tr>
      <w:tr>
        <w:trPr/>
        <w:tc>
          <w:tcPr>
            <w:tcW w:w="4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SC Toy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SC</w:t>
            </w:r>
          </w:p>
        </w:tc>
      </w:tr>
      <w:tr>
        <w:trPr/>
        <w:tc>
          <w:tcPr>
            <w:tcW w:w="4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So Cal DC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So Cal Hon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So Cal Niss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South Carolina Real Estate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SC</w:t>
            </w:r>
          </w:p>
        </w:tc>
      </w:tr>
      <w:tr>
        <w:trPr/>
        <w:tc>
          <w:tcPr>
            <w:tcW w:w="4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St. Louis Cadillac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St. Louis FSKR,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St. Louis Lex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MO</w:t>
            </w:r>
          </w:p>
        </w:tc>
      </w:tr>
      <w:tr>
        <w:trPr/>
        <w:tc>
          <w:tcPr>
            <w:tcW w:w="4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St. Louis LR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MO</w:t>
            </w:r>
          </w:p>
        </w:tc>
      </w:tr>
      <w:tr>
        <w:trPr/>
        <w:tc>
          <w:tcPr>
            <w:tcW w:w="4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St. Louis M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MO</w:t>
            </w:r>
          </w:p>
        </w:tc>
      </w:tr>
      <w:tr>
        <w:trPr/>
        <w:tc>
          <w:tcPr>
            <w:tcW w:w="4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Sterling F,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w:t>
            </w:r>
          </w:p>
        </w:tc>
      </w:tr>
      <w:tr>
        <w:trPr/>
        <w:tc>
          <w:tcPr>
            <w:tcW w:w="4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Tampa Management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4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Texas D FSKR,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Texas H FSKR,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TX Auction,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TX</w:t>
            </w:r>
          </w:p>
        </w:tc>
      </w:tr>
      <w:tr>
        <w:trPr/>
        <w:tc>
          <w:tcPr>
            <w:tcW w:w="4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Tysons CBG,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w:t>
            </w:r>
          </w:p>
        </w:tc>
      </w:tr>
      <w:tr>
        <w:trPr/>
        <w:tc>
          <w:tcPr>
            <w:tcW w:w="4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Tysons CDJR,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w:t>
            </w:r>
          </w:p>
        </w:tc>
      </w:tr>
      <w:tr>
        <w:trPr/>
        <w:tc>
          <w:tcPr>
            <w:tcW w:w="4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Tysons 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w:t>
            </w:r>
          </w:p>
        </w:tc>
      </w:tr>
      <w:tr>
        <w:trPr/>
        <w:tc>
          <w:tcPr>
            <w:tcW w:w="4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Westminster T,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MD</w:t>
            </w:r>
          </w:p>
        </w:tc>
      </w:tr>
      <w:tr>
        <w:trPr/>
        <w:tc>
          <w:tcPr>
            <w:tcW w:w="4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Wilmington L,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WMC,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MD</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480175" cy="175260"/>
                <wp:effectExtent l="0" t="0" r="0" b="0"/>
                <wp:wrapNone/>
                <wp:docPr id="390" name="Frame3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170" w:type="dxa"/>
        <w:jc w:val="center"/>
        <w:tblInd w:w="0" w:type="dxa"/>
        <w:tblLayout w:type="fixed"/>
        <w:tblCellMar>
          <w:top w:w="28" w:type="dxa"/>
          <w:left w:w="28" w:type="dxa"/>
          <w:bottom w:w="28" w:type="dxa"/>
          <w:right w:w="28" w:type="dxa"/>
        </w:tblCellMar>
      </w:tblPr>
      <w:tblGrid>
        <w:gridCol w:w="1094"/>
        <w:gridCol w:w="966"/>
        <w:gridCol w:w="970"/>
        <w:gridCol w:w="109"/>
        <w:gridCol w:w="109"/>
        <w:gridCol w:w="109"/>
        <w:gridCol w:w="124"/>
        <w:gridCol w:w="124"/>
        <w:gridCol w:w="128"/>
        <w:gridCol w:w="109"/>
        <w:gridCol w:w="109"/>
        <w:gridCol w:w="109"/>
        <w:gridCol w:w="324"/>
        <w:gridCol w:w="324"/>
        <w:gridCol w:w="462"/>
      </w:tblGrid>
      <w:tr>
        <w:trPr/>
        <w:tc>
          <w:tcPr>
            <w:tcW w:w="109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WMV,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MD</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Woodbridge BG,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Woodbridge F,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Woodbridge H,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 Woodbridge K,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Asbury-Deland Imports,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Atlanta Real Estate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Avenues Motors,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Bayway Financial Services,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BFP Motors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 &amp; O Properties,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Camco Finance II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NC, SC, VA</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CFP Motors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 Motors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CHO Partnership,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CK Chevrolet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CK Motors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CN Motors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Coggin Automotive 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Coggin Cars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Coggin Chevrolet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Coggin Management,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CP-GMC Motors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Acura/Nissan,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CHH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NC</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CHO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CHV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FDO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NC</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FFO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NC</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FFO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NC</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GAC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NC</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GBM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NC</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GCA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GDO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NC</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GHO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NC</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GNI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NC</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GPG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GVO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NC</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Honda,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Motorcar Company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PBM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NJ</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RIA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RIB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SJC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Crown SNI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SC</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CSA Imports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Escude-NN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MS</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480175" cy="175260"/>
                <wp:effectExtent l="0" t="0" r="0" b="0"/>
                <wp:wrapNone/>
                <wp:docPr id="391" name="Frame3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143"/>
        <w:gridCol w:w="908"/>
        <w:gridCol w:w="914"/>
        <w:gridCol w:w="109"/>
        <w:gridCol w:w="109"/>
        <w:gridCol w:w="109"/>
        <w:gridCol w:w="120"/>
        <w:gridCol w:w="120"/>
        <w:gridCol w:w="121"/>
        <w:gridCol w:w="109"/>
        <w:gridCol w:w="109"/>
        <w:gridCol w:w="109"/>
        <w:gridCol w:w="1811"/>
        <w:gridCol w:w="1806"/>
        <w:gridCol w:w="2608"/>
      </w:tblGrid>
      <w:tr>
        <w:trPr/>
        <w:tc>
          <w:tcPr>
            <w:tcW w:w="1143"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r>
      <w:tr>
        <w:trPr/>
        <w:tc>
          <w:tcPr>
            <w:tcW w:w="2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Escude-NS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MS</w:t>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Escude-T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MS</w:t>
            </w:r>
          </w:p>
        </w:tc>
      </w:tr>
      <w:tr>
        <w:trPr/>
        <w:tc>
          <w:tcPr>
            <w:tcW w:w="2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Florida Automotive Services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HFP Motors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2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JC Dealer Systems,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KP Motors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2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Landcar Administration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AZ, CA, CO, ID, MT, NM, NV, TX, WA</w:t>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Landcar Agency,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AL, AZ, CA, CO, DE, FL, GA, HI, ID, IN, MD, MO, MT, NC, NH, NM, NV, OR, SC, TN, TX, VA, WA, WI, WY</w:t>
            </w:r>
          </w:p>
        </w:tc>
      </w:tr>
      <w:tr>
        <w:trPr/>
        <w:tc>
          <w:tcPr>
            <w:tcW w:w="2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Landcar Casualty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AL, AZ, CA, CO, DE, FL, GA, IN, MD, MO, MT, NC, NH, NV, SC, TN, TX, VA, WI, WY</w:t>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LANDCAR GC,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Landcar Management,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AZ, NM</w:t>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Larry H. Miller Company - Bountiful,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ACD,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ACJ,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AZ</w:t>
            </w:r>
          </w:p>
        </w:tc>
      </w:tr>
      <w:tr>
        <w:trPr/>
        <w:tc>
          <w:tcPr>
            <w:tcW w:w="2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ADR,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AZ</w:t>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ALH,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AMT,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ANI,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w:t>
            </w:r>
          </w:p>
        </w:tc>
      </w:tr>
      <w:tr>
        <w:trPr/>
        <w:tc>
          <w:tcPr>
            <w:tcW w:w="2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Auto GP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Auto Intermediate Holdings 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Auto Intermediate Holdings II,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AVW,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AZ</w:t>
            </w:r>
          </w:p>
        </w:tc>
      </w:tr>
      <w:tr>
        <w:trPr/>
        <w:tc>
          <w:tcPr>
            <w:tcW w:w="2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BCD,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BSU,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BUC,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ID</w:t>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CHV,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Collision CSCO,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w:t>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Collision OCC,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CTO,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w:t>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DCJ,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w:t>
            </w:r>
          </w:p>
        </w:tc>
      </w:tr>
      <w:tr>
        <w:trPr/>
        <w:tc>
          <w:tcPr>
            <w:tcW w:w="2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DDR,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w:t>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DNI,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w:t>
            </w:r>
          </w:p>
        </w:tc>
      </w:tr>
      <w:tr>
        <w:trPr/>
        <w:tc>
          <w:tcPr>
            <w:tcW w:w="2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FLT,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TX</w:t>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HOB,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HON,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HYN,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AZ</w:t>
            </w:r>
          </w:p>
        </w:tc>
      </w:tr>
      <w:tr>
        <w:trPr/>
        <w:tc>
          <w:tcPr>
            <w:tcW w:w="2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LCJ,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LEX,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LFO,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w:t>
            </w:r>
          </w:p>
        </w:tc>
      </w:tr>
      <w:tr>
        <w:trPr/>
        <w:tc>
          <w:tcPr>
            <w:tcW w:w="2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LMD,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AZ</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480175" cy="175260"/>
                <wp:effectExtent l="0" t="0" r="0" b="0"/>
                <wp:wrapNone/>
                <wp:docPr id="392" name="Frame3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258" w:type="dxa"/>
        <w:jc w:val="center"/>
        <w:tblInd w:w="0" w:type="dxa"/>
        <w:tblLayout w:type="fixed"/>
        <w:tblCellMar>
          <w:top w:w="28" w:type="dxa"/>
          <w:left w:w="28" w:type="dxa"/>
          <w:bottom w:w="28" w:type="dxa"/>
          <w:right w:w="28" w:type="dxa"/>
        </w:tblCellMar>
      </w:tblPr>
      <w:tblGrid>
        <w:gridCol w:w="1270"/>
        <w:gridCol w:w="1121"/>
        <w:gridCol w:w="1133"/>
        <w:gridCol w:w="109"/>
        <w:gridCol w:w="109"/>
        <w:gridCol w:w="109"/>
        <w:gridCol w:w="120"/>
        <w:gridCol w:w="120"/>
        <w:gridCol w:w="121"/>
        <w:gridCol w:w="109"/>
        <w:gridCol w:w="109"/>
        <w:gridCol w:w="109"/>
        <w:gridCol w:w="208"/>
        <w:gridCol w:w="208"/>
        <w:gridCol w:w="303"/>
      </w:tblGrid>
      <w:tr>
        <w:trPr/>
        <w:tc>
          <w:tcPr>
            <w:tcW w:w="1270"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MBL,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MFD,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AZ</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MNI,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AZ</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MUR,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NHR,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PCD,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PCH,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Peoria GEN,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AZ</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PFL,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PNX,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AZ</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QCH,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QCJ,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RCD,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SAX,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SCD,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AZ</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SFL,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SFO,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SHO,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SPO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SWH,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TCD,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TCJ,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AZ</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TDR,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AZ</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TSD,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TVW,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AZ</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UCN,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UCO,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LHM UCS,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McDavid Austin-Acra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TX</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McDavid Frisco-Hon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TX</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McDavid Grande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TX</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McDavid Houston-Hon,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TX</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McDavid Houston-Niss,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TX</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McDavid Irving-Hon,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TX</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McDavid Outfitters,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McDavid Plano-Acra,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TX</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Mid-Atlantic Automotive Services,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NC, NJ</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Mississippi Automotive Services,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Missouri Automotive Services,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NP FLM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NP MZD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NP VKW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Osborn/Miller Automotive,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Plano Lincoln-Mercury,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TX</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Precision Computer Services,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Precision Enterprises Tampa,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Precision Infiniti,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480175" cy="175260"/>
                <wp:effectExtent l="0" t="0" r="0" b="0"/>
                <wp:wrapNone/>
                <wp:docPr id="393" name="Frame3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351" w:type="dxa"/>
        <w:jc w:val="center"/>
        <w:tblInd w:w="0" w:type="dxa"/>
        <w:tblLayout w:type="fixed"/>
        <w:tblCellMar>
          <w:top w:w="28" w:type="dxa"/>
          <w:left w:w="28" w:type="dxa"/>
          <w:bottom w:w="28" w:type="dxa"/>
          <w:right w:w="28" w:type="dxa"/>
        </w:tblCellMar>
      </w:tblPr>
      <w:tblGrid>
        <w:gridCol w:w="1413"/>
        <w:gridCol w:w="1239"/>
        <w:gridCol w:w="1248"/>
        <w:gridCol w:w="109"/>
        <w:gridCol w:w="109"/>
        <w:gridCol w:w="109"/>
        <w:gridCol w:w="123"/>
        <w:gridCol w:w="123"/>
        <w:gridCol w:w="130"/>
        <w:gridCol w:w="109"/>
        <w:gridCol w:w="109"/>
        <w:gridCol w:w="109"/>
        <w:gridCol w:w="123"/>
        <w:gridCol w:w="123"/>
        <w:gridCol w:w="175"/>
      </w:tblGrid>
      <w:tr>
        <w:trPr/>
        <w:tc>
          <w:tcPr>
            <w:tcW w:w="141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Precision Motorcars,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Precision Nissan,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Premier NSN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Premier Pon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Prestige Bay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Prestige Toy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 Automotive Brandon FL,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 Automotive Cumming GA,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 Automotive Ft. Myers FL,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 Automotive Group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 Automotive Holiday FL,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 Automotive Jacksonville FL,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 Automotive Kennesaw GA,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GA</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 Automotive Orlando FL,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 Automotive Tampa FL,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Southern Atlantic Automotive Services,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Tampa Hund,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Tampa Kia,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Tampa LM,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Tampa Mit,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 Automotive Services,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Thomason Auto Credit Northwest,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Thomason Dam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Thomason FRD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Thomason Hund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Thomason Pontiac-GMC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WMZ Motors,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WTY Motors,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480175" cy="175260"/>
                <wp:effectExtent l="0" t="0" r="0" b="0"/>
                <wp:wrapNone/>
                <wp:docPr id="394" name="Frame3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consent to the incorporation by reference in the following Registration Statements:</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 Registration Statement (Form S-8 No. 333-231518) of Asbury Automotive Group, Inc.</w:t>
      </w:r>
    </w:p>
    <w:p>
      <w:pPr>
        <w:pStyle w:val="TextBody"/>
        <w:bidi w:val="0"/>
        <w:spacing w:lineRule="auto" w:line="26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2. Registration Statement (Form S-8 No. 333-221146) of Asbury Automotive Group, Inc.</w:t>
      </w:r>
    </w:p>
    <w:p>
      <w:pPr>
        <w:pStyle w:val="TextBody"/>
        <w:bidi w:val="0"/>
        <w:spacing w:lineRule="auto" w:line="26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3. Registration Statement (Form S-8 No. 333-165136) of Asbury Automotive Group, Inc.</w:t>
      </w:r>
    </w:p>
    <w:p>
      <w:pPr>
        <w:pStyle w:val="TextBody"/>
        <w:bidi w:val="0"/>
        <w:spacing w:lineRule="auto" w:line="26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4. Registration Statement (Form S-3 No. 333-123505) of Asbury Automotive Group, Inc.</w:t>
      </w:r>
    </w:p>
    <w:p>
      <w:pPr>
        <w:pStyle w:val="TextBody"/>
        <w:bidi w:val="0"/>
        <w:spacing w:lineRule="auto" w:line="26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5. Registration Statement (Form S-8 No. 333-115402) of Asbury Automotive Group, Inc.</w:t>
      </w:r>
    </w:p>
    <w:p>
      <w:pPr>
        <w:pStyle w:val="TextBody"/>
        <w:bidi w:val="0"/>
        <w:spacing w:lineRule="auto" w:line="26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6. Registration Statement (Form S-3 No. 333-112126) of Asbury Automotive Group, Inc.</w:t>
      </w:r>
    </w:p>
    <w:p>
      <w:pPr>
        <w:pStyle w:val="TextBody"/>
        <w:bidi w:val="0"/>
        <w:spacing w:lineRule="auto" w:line="26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7. Registration Statement (Form S-8 No. 333-105450) of Asbury Automotive Group, Inc.</w:t>
      </w:r>
    </w:p>
    <w:p>
      <w:pPr>
        <w:pStyle w:val="TextBody"/>
        <w:bidi w:val="0"/>
        <w:spacing w:lineRule="auto" w:line="26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8. Registration Statement (Form S-8 No. 333-84646) of Asbury Automotive Group, Inc</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of our reports dated February 26, 2025, with respect to the consolidated financial statements of Asbury Automotive Group, Inc. and the effectiveness of internal control over financial reporting of Asbury Automotive Group, Inc. included in this Annual Report (Form 10-K) of Asbury Automotive Group, Inc. for the year ended December 31, 2024.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 Ernst &amp; Young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Atlanta, Georgia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February 26, 2025 </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480175" cy="175260"/>
                <wp:effectExtent l="0" t="0" r="0" b="0"/>
                <wp:wrapNone/>
                <wp:docPr id="395" name="Frame3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 13a-14(a)/15d-14(a) OF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David W. Hult, certify that: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Annual Report on Form 10-K of Asbury Automotive Group, Inc.;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0"/>
        <w:ind w:left="0" w:right="0" w:hanging="720"/>
        <w:jc w:val="left"/>
        <w:rPr/>
      </w:pPr>
      <w:r>
        <w:rPr/>
      </w:r>
    </w:p>
    <w:tbl>
      <w:tblPr>
        <w:tblW w:w="2412" w:type="dxa"/>
        <w:jc w:val="center"/>
        <w:tblInd w:w="0" w:type="dxa"/>
        <w:tblLayout w:type="fixed"/>
        <w:tblCellMar>
          <w:top w:w="28" w:type="dxa"/>
          <w:left w:w="28" w:type="dxa"/>
          <w:bottom w:w="28" w:type="dxa"/>
          <w:right w:w="28" w:type="dxa"/>
        </w:tblCellMar>
      </w:tblPr>
      <w:tblGrid>
        <w:gridCol w:w="738"/>
        <w:gridCol w:w="648"/>
        <w:gridCol w:w="654"/>
        <w:gridCol w:w="109"/>
        <w:gridCol w:w="109"/>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W. Hult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W. Hult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26,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6480175" cy="175260"/>
                <wp:effectExtent l="0" t="0" r="0" b="0"/>
                <wp:wrapNone/>
                <wp:docPr id="396" name="Frame3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 13a-14(a)/15d-14(a) OF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Michael D. Welch certify that: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Annual Report on Form 10-K of Asbury Automotive Group, Inc.; </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 </w:t>
      </w:r>
    </w:p>
    <w:p>
      <w:pPr>
        <w:pStyle w:val="TextBody"/>
        <w:bidi w:val="0"/>
        <w:spacing w:before="0" w:after="0"/>
        <w:ind w:left="0" w:right="0" w:hanging="144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0"/>
        <w:ind w:left="0" w:right="0" w:hanging="360"/>
        <w:jc w:val="left"/>
        <w:rPr/>
      </w:pPr>
      <w:r>
        <w:rPr/>
      </w:r>
    </w:p>
    <w:tbl>
      <w:tblPr>
        <w:tblW w:w="2351" w:type="dxa"/>
        <w:jc w:val="center"/>
        <w:tblInd w:w="0" w:type="dxa"/>
        <w:tblLayout w:type="fixed"/>
        <w:tblCellMar>
          <w:top w:w="28" w:type="dxa"/>
          <w:left w:w="28" w:type="dxa"/>
          <w:bottom w:w="28" w:type="dxa"/>
          <w:right w:w="28" w:type="dxa"/>
        </w:tblCellMar>
      </w:tblPr>
      <w:tblGrid>
        <w:gridCol w:w="717"/>
        <w:gridCol w:w="628"/>
        <w:gridCol w:w="634"/>
        <w:gridCol w:w="109"/>
        <w:gridCol w:w="109"/>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D. Welch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D. Welch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26,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480175" cy="175260"/>
                <wp:effectExtent l="0" t="0" r="0" b="0"/>
                <wp:wrapNone/>
                <wp:docPr id="397" name="Frame3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In connection with the Annual Report on Form 10-K of Asbury Automotive Group, Inc. (the "Company") for the year ended December 31, 2024, as filed with the Securities and Exchange Commission on the date hereof (the "Report"), I, David W. Hult, Chief Executive Officer of the Company, certify, pursuant to 18 U.S.C. § 1350, as adopted pursuant to § 906 of the Sarbanes-Oxley Act of 2002, that, to the best of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(1)The Report fully complies with the requirements of section 13(a) or 15(d) of the Securities Exchange Act of 1934; and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2412" w:type="dxa"/>
        <w:jc w:val="center"/>
        <w:tblInd w:w="0" w:type="dxa"/>
        <w:tblLayout w:type="fixed"/>
        <w:tblCellMar>
          <w:top w:w="28" w:type="dxa"/>
          <w:left w:w="28" w:type="dxa"/>
          <w:bottom w:w="28" w:type="dxa"/>
          <w:right w:w="28" w:type="dxa"/>
        </w:tblCellMar>
      </w:tblPr>
      <w:tblGrid>
        <w:gridCol w:w="738"/>
        <w:gridCol w:w="648"/>
        <w:gridCol w:w="654"/>
        <w:gridCol w:w="109"/>
        <w:gridCol w:w="109"/>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W. Hult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W. Hult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26,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6480175" cy="175260"/>
                <wp:effectExtent l="0" t="0" r="0" b="0"/>
                <wp:wrapNone/>
                <wp:docPr id="398" name="Frame3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In connection with the Annual Report on Form 10-K of Asbury Automotive Group, Inc. (the "Company") for the year ended December 31, 2024, as filed with the Securities and Exchange Commission on the date hereof (the "Report"), I, Michael D. Welch, Chief Financial Officer of the Company, certify, pursuant to 18 U.S.C. § 1350, as adopted pursuant to § 906 of the Sarbanes-Oxley Act of 2002, that, to the best of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(1)The Report fully complies with the requirements of section 13(a) or 15(d) of the Securities Exchange Act of 1934; and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2351" w:type="dxa"/>
        <w:jc w:val="center"/>
        <w:tblInd w:w="0" w:type="dxa"/>
        <w:tblLayout w:type="fixed"/>
        <w:tblCellMar>
          <w:top w:w="28" w:type="dxa"/>
          <w:left w:w="28" w:type="dxa"/>
          <w:bottom w:w="28" w:type="dxa"/>
          <w:right w:w="28" w:type="dxa"/>
        </w:tblCellMar>
      </w:tblPr>
      <w:tblGrid>
        <w:gridCol w:w="717"/>
        <w:gridCol w:w="628"/>
        <w:gridCol w:w="634"/>
        <w:gridCol w:w="109"/>
        <w:gridCol w:w="109"/>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D. Welch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D. Welch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26,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480175" cy="175260"/>
                <wp:effectExtent l="0" t="0" r="0" b="0"/>
                <wp:wrapNone/>
                <wp:docPr id="399" name="Frame3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Calibri">
    <w:altName w:val="sans-serif"/>
    <w:charset w:val="01"/>
    <w:family w:val="auto"/>
    <w:pitch w:val="default"/>
  </w:font>
  <w:font w:name="Arial">
    <w:altName w:val="sans-serif"/>
    <w:charset w:val="01"/>
    <w:family w:val="auto"/>
    <w:pitch w:val="default"/>
  </w:font>
  <w:font w:name="Open San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0001144980/000114498021000138/ex21-dealershippurchaseagr.htm" TargetMode="External"/><Relationship Id="rId5" Type="http://schemas.openxmlformats.org/officeDocument/2006/relationships/hyperlink" Target="https://www.sec.gov/Archives/edgar/data/0001144980/000114498021000138/ex22-realestatepurchaseagr.htm" TargetMode="External"/><Relationship Id="rId6" Type="http://schemas.openxmlformats.org/officeDocument/2006/relationships/hyperlink" Target="https://www.sec.gov/Archives/edgar/data/0001144980/000114498021000138/ex23-tcapurchaseagreement.htm" TargetMode="External"/><Relationship Id="rId7" Type="http://schemas.openxmlformats.org/officeDocument/2006/relationships/hyperlink" Target="https://www.sec.gov/Archives/edgar/data/1144980/000119312523231116/d494750dex21.htm" TargetMode="External"/><Relationship Id="rId8" Type="http://schemas.openxmlformats.org/officeDocument/2006/relationships/hyperlink" Target="https://www.sec.gov/Archives/edgar/data/1144980/000114498016000196/amendedrestatedcertificate.htm" TargetMode="External"/><Relationship Id="rId9" Type="http://schemas.openxmlformats.org/officeDocument/2006/relationships/hyperlink" Target="https://www.sec.gov/Archives/edgar/data/1144980/000114498014000016/exhibit31.htm" TargetMode="External"/><Relationship Id="rId10" Type="http://schemas.openxmlformats.org/officeDocument/2006/relationships/hyperlink" Target="https://www.sec.gov/Archives/edgar/data/1144980/000119312520042171/d894687dex41.htm" TargetMode="External"/><Relationship Id="rId11" Type="http://schemas.openxmlformats.org/officeDocument/2006/relationships/hyperlink" Target="https://www.sec.gov/Archives/edgar/data/1144980/000114498021000138/ex41-asburyfirstsupplement.htm" TargetMode="External"/><Relationship Id="rId12" Type="http://schemas.openxmlformats.org/officeDocument/2006/relationships/hyperlink" Target="https://www.sec.gov/Archives/edgar/data/1144980/000114498022000079/ex43-secondsupplementalind.htm" TargetMode="External"/><Relationship Id="rId13" Type="http://schemas.openxmlformats.org/officeDocument/2006/relationships/hyperlink" Target="https://www.sec.gov/Archives/edgar/data/1144980/000119312520042171/d894687dex41.htm" TargetMode="External"/><Relationship Id="rId14" Type="http://schemas.openxmlformats.org/officeDocument/2006/relationships/hyperlink" Target="https://www.sec.gov/Archives/edgar/data/1144980/000119312520042171/d894687dex42.htm" TargetMode="External"/><Relationship Id="rId15" Type="http://schemas.openxmlformats.org/officeDocument/2006/relationships/hyperlink" Target="https://www.sec.gov/Archives/edgar/data/1144980/000114498021000138/ex42-asburyfirstsupplement.htm" TargetMode="External"/><Relationship Id="rId16" Type="http://schemas.openxmlformats.org/officeDocument/2006/relationships/hyperlink" Target="https://www.sec.gov/Archives/edgar/data/1144980/000114498022000079/ex47-secondsupplementalind.htm" TargetMode="External"/><Relationship Id="rId17" Type="http://schemas.openxmlformats.org/officeDocument/2006/relationships/hyperlink" Target="https://www.sec.gov/Archives/edgar/data/1144980/000119312520042171/d894687dex42.htm" TargetMode="External"/><Relationship Id="rId18" Type="http://schemas.openxmlformats.org/officeDocument/2006/relationships/hyperlink" Target="https://www.sec.gov/Archives/edgar/data/1144980/000119312520247162/d38921dex43.htm" TargetMode="External"/><Relationship Id="rId19" Type="http://schemas.openxmlformats.org/officeDocument/2006/relationships/hyperlink" Target="https://www.sec.gov/Archives/edgar/data/1144980/000119312520247162/d38921dex44.htm" TargetMode="External"/><Relationship Id="rId20" Type="http://schemas.openxmlformats.org/officeDocument/2006/relationships/hyperlink" Target="https://www.sec.gov/Archives/edgar/data/1144980/000119312521335122/d265912dex41.htm" TargetMode="External"/><Relationship Id="rId21" Type="http://schemas.openxmlformats.org/officeDocument/2006/relationships/hyperlink" Target="https://www.sec.gov/Archives/edgar/data/1144980/000114498022000079/ex412firstsupplementalinde.htm" TargetMode="External"/><Relationship Id="rId22" Type="http://schemas.openxmlformats.org/officeDocument/2006/relationships/hyperlink" Target="https://www.sec.gov/Archives/edgar/data/1144980/000119312521335122/d265912dex41.htm" TargetMode="External"/><Relationship Id="rId23" Type="http://schemas.openxmlformats.org/officeDocument/2006/relationships/hyperlink" Target="https://www.sec.gov/Archives/edgar/data/1144980/000119312521335122/d265912dex42.htm" TargetMode="External"/><Relationship Id="rId24" Type="http://schemas.openxmlformats.org/officeDocument/2006/relationships/hyperlink" Target="https://www.sec.gov/Archives/edgar/data/1144980/000114498022000079/ex415-firstsupplementalind.htm" TargetMode="External"/><Relationship Id="rId25" Type="http://schemas.openxmlformats.org/officeDocument/2006/relationships/hyperlink" Target="https://www.sec.gov/Archives/edgar/data/1144980/000119312521335122/d265912dex42.htm" TargetMode="External"/><Relationship Id="rId26" Type="http://schemas.openxmlformats.org/officeDocument/2006/relationships/hyperlink" Target="https://www.sec.gov/Archives/edgar/data/1144980/000114498021000075/ex49descriptionofsecurities.htm" TargetMode="External"/><Relationship Id="rId27" Type="http://schemas.openxmlformats.org/officeDocument/2006/relationships/hyperlink" Target="https://www.sec.gov/Archives/edgar/data/1144980/000114498012000009/amendedandrestated2002equi.htm" TargetMode="External"/><Relationship Id="rId28" Type="http://schemas.openxmlformats.org/officeDocument/2006/relationships/hyperlink" Target="https://www.sec.gov/Archives/edgar/data/1144980/000119312512119792/d282231ddef14a.htm" TargetMode="External"/><Relationship Id="rId29" Type="http://schemas.openxmlformats.org/officeDocument/2006/relationships/hyperlink" Target="https://www.sec.gov/Archives/edgar/data/1144980/000114498017000006/asburyfirstamendmentto2012.htm" TargetMode="External"/><Relationship Id="rId30" Type="http://schemas.openxmlformats.org/officeDocument/2006/relationships/hyperlink" Target="https://www.sec.gov/Archives/edgar/data/1144980/000119312509097917/dex102.htm" TargetMode="External"/><Relationship Id="rId31" Type="http://schemas.openxmlformats.org/officeDocument/2006/relationships/hyperlink" Target="https://www.sec.gov/Archives/edgar/data/1144980/000114498018000088/ex101amendmentno1.htm" TargetMode="External"/><Relationship Id="rId32" Type="http://schemas.openxmlformats.org/officeDocument/2006/relationships/hyperlink" Target="https://www.sec.gov/Archives/edgar/data/1144980/000119312510099784/dex107.htm" TargetMode="External"/><Relationship Id="rId33" Type="http://schemas.openxmlformats.org/officeDocument/2006/relationships/hyperlink" Target="https://www.sec.gov/Archives/edgar/data/1144980/000114498014000042/exhibit101employmentagreem.htm" TargetMode="External"/><Relationship Id="rId34" Type="http://schemas.openxmlformats.org/officeDocument/2006/relationships/hyperlink" Target="https://www.sec.gov/Archives/edgar/data/1144980/000114498017000119/ex101822.htm" TargetMode="External"/><Relationship Id="rId35" Type="http://schemas.openxmlformats.org/officeDocument/2006/relationships/hyperlink" Target="https://www.sec.gov/Archives/edgar/data/1144980/000114498020000116/ex101dhemploymentagree.htm" TargetMode="External"/><Relationship Id="rId36" Type="http://schemas.openxmlformats.org/officeDocument/2006/relationships/hyperlink" Target="https://www.sec.gov/Archives/edgar/data/1144980/000114498021000111/ex101letterofagreement-wel.htm" TargetMode="External"/><Relationship Id="rId37" Type="http://schemas.openxmlformats.org/officeDocument/2006/relationships/hyperlink" Target="https://www.sec.gov/Archives/edgar/data/1144980/000114498022000142/ex107-severancepayagreemen.htm" TargetMode="External"/><Relationship Id="rId38" Type="http://schemas.openxmlformats.org/officeDocument/2006/relationships/hyperlink" Target="https://www.sec.gov/Archives/edgar/data/1144980/000114498017000063/ex1013milstein.htm" TargetMode="External"/><Relationship Id="rId39" Type="http://schemas.openxmlformats.org/officeDocument/2006/relationships/hyperlink" Target="https://www.sec.gov/Archives/edgar/data/1144980/000114498017000063/ex1012villasana.htm" TargetMode="External"/><Relationship Id="rId40" Type="http://schemas.openxmlformats.org/officeDocument/2006/relationships/hyperlink" Target="https://www.sec.gov/Archives/edgar/data/1144980/000114498024000106/ex101-agreement041924.htm" TargetMode="External"/><Relationship Id="rId41" Type="http://schemas.openxmlformats.org/officeDocument/2006/relationships/hyperlink" Target="https://www.sec.gov/Archives/edgar/data/1144980/000114498019000072/abg2019proxystatement.htm" TargetMode="External"/><Relationship Id="rId42" Type="http://schemas.openxmlformats.org/officeDocument/2006/relationships/hyperlink" Target="https://www.sec.gov/Archives/edgar/data/1144980/000114498021000075/ex1015equityawardagreement.htm" TargetMode="External"/><Relationship Id="rId43" Type="http://schemas.openxmlformats.org/officeDocument/2006/relationships/hyperlink" Target="https://www.sec.gov/Archives/edgar/data/1144980/000114498017000125/exhibit101deferredcompensa.htm" TargetMode="External"/><Relationship Id="rId44" Type="http://schemas.openxmlformats.org/officeDocument/2006/relationships/hyperlink" Target="https://www.sec.gov/Archives/edgar/data/1144980/000119312513383642/d604313dex101.htm" TargetMode="External"/><Relationship Id="rId45" Type="http://schemas.openxmlformats.org/officeDocument/2006/relationships/hyperlink" Target="https://www.sec.gov/Archives/edgar/data/1144980/000114498019000129/ex101.htm" TargetMode="External"/><Relationship Id="rId46" Type="http://schemas.openxmlformats.org/officeDocument/2006/relationships/hyperlink" Target="https://www.sec.gov/Archives/edgar/data/1144980/000114498019000129/ex102.htm" TargetMode="External"/><Relationship Id="rId47" Type="http://schemas.openxmlformats.org/officeDocument/2006/relationships/hyperlink" Target="https://www.sec.gov/Archives/edgar/data/1144980/000114498019000129/ex103.htm" TargetMode="External"/><Relationship Id="rId48" Type="http://schemas.openxmlformats.org/officeDocument/2006/relationships/hyperlink" Target="https://www.sec.gov/Archives/edgar/data/1144980/000114498019000129/ex104.htm" TargetMode="External"/><Relationship Id="rId49" Type="http://schemas.openxmlformats.org/officeDocument/2006/relationships/hyperlink" Target="https://www.sec.gov/Archives/edgar/data/1144980/000114498019000129/ex105.htm" TargetMode="External"/><Relationship Id="rId50" Type="http://schemas.openxmlformats.org/officeDocument/2006/relationships/hyperlink" Target="https://www.sec.gov/Archives/edgar/data/1144980/000114498019000129/ex106.htm" TargetMode="External"/><Relationship Id="rId51" Type="http://schemas.openxmlformats.org/officeDocument/2006/relationships/hyperlink" Target="https://www.sec.gov/Archives/edgar/data/1144980/000114498020000010/ex101firstamendment.htm" TargetMode="External"/><Relationship Id="rId52" Type="http://schemas.openxmlformats.org/officeDocument/2006/relationships/hyperlink" Target="https://www.sec.gov/Archives/edgar/data/1144980/000114498020000159/ex101secondamendmentto.htm" TargetMode="External"/><Relationship Id="rId53" Type="http://schemas.openxmlformats.org/officeDocument/2006/relationships/hyperlink" Target="https://www.sec.gov/Archives/edgar/data/1144980/000114498022000079/ex1028bofa_asburyxannexato.htm" TargetMode="External"/><Relationship Id="rId54" Type="http://schemas.openxmlformats.org/officeDocument/2006/relationships/hyperlink" Target="https://www.sec.gov/Archives/edgar/data/1144980/000114498022000142/exfourthamendmentto2019syn.htm" TargetMode="External"/><Relationship Id="rId55" Type="http://schemas.openxmlformats.org/officeDocument/2006/relationships/hyperlink" Target="https://www.sec.gov/Archives/edgar/data/1144980/000114498022000151/ex101-fifthamendmentto2019.htm" TargetMode="External"/><Relationship Id="rId56" Type="http://schemas.openxmlformats.org/officeDocument/2006/relationships/hyperlink" Target="https://www.sec.gov/Archives/edgar/data/1144980/000119312515032741/d865118dex101.htm" TargetMode="External"/><Relationship Id="rId57" Type="http://schemas.openxmlformats.org/officeDocument/2006/relationships/hyperlink" Target="https://www.sec.gov/Archives/edgar/data/1144980/000119312515032741/d865118dex102.htm" TargetMode="External"/><Relationship Id="rId58" Type="http://schemas.openxmlformats.org/officeDocument/2006/relationships/hyperlink" Target="https://www.sec.gov/Archives/edgar/data/1144980/000114498019000053/ex1033.htm" TargetMode="External"/><Relationship Id="rId59" Type="http://schemas.openxmlformats.org/officeDocument/2006/relationships/hyperlink" Target="https://www.sec.gov/Archives/edgar/data/1144980/000114498019000053/ex1034.htm" TargetMode="External"/><Relationship Id="rId60" Type="http://schemas.openxmlformats.org/officeDocument/2006/relationships/hyperlink" Target="https://www.sec.gov/Archives/edgar/data/1144980/000114498019000053/ex1035.htm" TargetMode="External"/><Relationship Id="rId61" Type="http://schemas.openxmlformats.org/officeDocument/2006/relationships/hyperlink" Target="https://www.sec.gov/Archives/edgar/data/1144980/000114498020000059/ex1041firstamendmentto2018.htm" TargetMode="External"/><Relationship Id="rId62" Type="http://schemas.openxmlformats.org/officeDocument/2006/relationships/hyperlink" Target="https://www.sec.gov/Archives/edgar/data/1144980/000114498022000142/ex-secondamendmentto2018wf.htm" TargetMode="External"/><Relationship Id="rId63" Type="http://schemas.openxmlformats.org/officeDocument/2006/relationships/hyperlink" Target="https://www.sec.gov/Archives/edgar/data/1144980/000114498020000059/ex1042star-arcommitmentlet.htm" TargetMode="External"/><Relationship Id="rId64" Type="http://schemas.openxmlformats.org/officeDocument/2006/relationships/hyperlink" Target="https://www.sec.gov/Archives/edgar/data/1144980/000114498021000107/exhibit101creditagreement.htm" TargetMode="External"/><Relationship Id="rId65" Type="http://schemas.openxmlformats.org/officeDocument/2006/relationships/hyperlink" Target="https://www.sec.gov/Archives/edgar/data/1144980/000114498022000142/ex-secondamendmentto2015wf.htm" TargetMode="External"/><Relationship Id="rId66" Type="http://schemas.openxmlformats.org/officeDocument/2006/relationships/hyperlink" Target="https://www.sec.gov/Archives/edgar/data/1144980/000114498022000142/exthirdamendmentto2018real.htm" TargetMode="External"/><Relationship Id="rId67" Type="http://schemas.openxmlformats.org/officeDocument/2006/relationships/hyperlink" Target="https://www.sec.gov/Archives/edgar/data/1144980/000114498022000142/ex2013realestatecreditagre.htm" TargetMode="External"/><Relationship Id="rId68" Type="http://schemas.openxmlformats.org/officeDocument/2006/relationships/hyperlink" Target="https://www.sec.gov/Archives/edgar/data/1144980/000114498022000142/exsecondamendmentto2021rea.htm" TargetMode="External"/><Relationship Id="rId69" Type="http://schemas.openxmlformats.org/officeDocument/2006/relationships/hyperlink" Target="https://www.sec.gov/Archives/edgar/data/1144980/000114498024000076/ex97recoupmentpolicy.htm" TargetMode="External"/><Relationship Id="rId70" Type="http://schemas.openxmlformats.org/officeDocument/2006/relationships/image" Target="media/image3.jpeg"/><Relationship Id="rId71" Type="http://schemas.openxmlformats.org/officeDocument/2006/relationships/image" Target="media/image4.jpeg"/><Relationship Id="rId72" Type="http://schemas.openxmlformats.org/officeDocument/2006/relationships/image" Target="media/image3.jpeg"/><Relationship Id="rId73" Type="http://schemas.openxmlformats.org/officeDocument/2006/relationships/fontTable" Target="fontTable.xml"/><Relationship Id="rId7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277</Pages>
  <Words>217545</Words>
  <Characters>1173331</Characters>
  <CharactersWithSpaces>1384512</CharactersWithSpaces>
  <Paragraphs>12509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