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847894.xml.htm"/>
      <w:bookmarkStart w:id="1" w:name="kswkform4_17708478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Calloway Dean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ASBURY AUTOMOTIVE GROUP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6655 PEACHTREE DUNWOODY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ASBURY AUTOMOTIVE GROUP INC</w:t>
              </w:r>
            </w:hyperlink>
            <w:r>
              <w:rPr/>
              <w:t xml:space="preserve"> [ </w:t>
            </w:r>
            <w:r>
              <w:rPr>
                <w:rFonts w:ascii="Times;serif" w:hAnsi="Times;serif"/>
                <w:color w:val="0000FF"/>
                <w:sz w:val="24"/>
                <w:shd w:fill="FFFFFF" w:val="clear"/>
              </w:rPr>
              <w:t>ABG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 &amp;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1,776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restricted share units. Each restricted share unit converts into one share of the Issuer's common stock upon vesting. Vesting will occur in three equal annual installments beginning on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/s/Dean Calloway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8945" TargetMode="External"/><Relationship Id="rId5" Type="http://schemas.openxmlformats.org/officeDocument/2006/relationships/hyperlink" Target="http://www.sec.gov/cgi-bin/browse-edgar?action=getcompany&amp;CIK=00011449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604</Words>
  <Characters>3283</Characters>
  <CharactersWithSpaces>3826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