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6"/>
        </w:rPr>
      </w:pPr>
      <w:r>
        <w:rPr>
          <w:rFonts w:ascii="Times New Roman;serif" w:hAnsi="Times New Roman;serif"/>
          <w:b/>
          <w:color w:val="000000"/>
          <w:sz w:val="26"/>
        </w:rPr>
        <w:t xml:space="preserve">CURRENT REPORT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lineRule="auto" w:line="288" w:before="180" w:after="283"/>
        <w:jc w:val="center"/>
        <w:rPr/>
      </w:pPr>
      <w:r>
        <w:rPr>
          <w:rFonts w:ascii="Times New Roman;serif" w:hAnsi="Times New Roman;serif"/>
          <w:b/>
          <w:color w:val="000000"/>
          <w:sz w:val="24"/>
        </w:rPr>
        <w:t>Date of Report (Date of earliest event reported): July 28, 2026</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48"/>
        </w:rPr>
      </w:pPr>
      <w:r>
        <w:rPr>
          <w:rFonts w:ascii="Times New Roman;serif" w:hAnsi="Times New Roman;serif"/>
          <w:b/>
          <w:color w:val="000000"/>
          <w:sz w:val="48"/>
        </w:rPr>
        <w:t xml:space="preserve">Asbury Automotive Group, Inc. </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Delaware </w:t>
      </w:r>
    </w:p>
    <w:p>
      <w:pPr>
        <w:pStyle w:val="TextBody"/>
        <w:bidi w:val="0"/>
        <w:spacing w:lineRule="auto" w:line="288" w:before="0" w:after="0"/>
        <w:jc w:val="center"/>
        <w:rPr/>
      </w:pPr>
      <w:r>
        <w:rPr>
          <w:rFonts w:ascii="Times New Roman;serif" w:hAnsi="Times New Roman;serif"/>
          <w:b/>
          <w:color w:val="000000"/>
          <w:sz w:val="14"/>
        </w:rPr>
        <w:t xml:space="preserve">(State or other jurisdiction of incorporation) </w:t>
      </w:r>
      <w:r>
        <w:rPr>
          <w:color w:val="000000"/>
        </w:rPr>
        <w:t> </w:t>
      </w:r>
    </w:p>
    <w:tbl>
      <w:tblPr>
        <w:tblW w:w="5675" w:type="dxa"/>
        <w:jc w:val="center"/>
        <w:tblInd w:w="0" w:type="dxa"/>
        <w:tblLayout w:type="fixed"/>
        <w:tblCellMar>
          <w:top w:w="28" w:type="dxa"/>
          <w:left w:w="28" w:type="dxa"/>
          <w:bottom w:w="28" w:type="dxa"/>
          <w:right w:w="28" w:type="dxa"/>
        </w:tblCellMar>
      </w:tblPr>
      <w:tblGrid>
        <w:gridCol w:w="531"/>
        <w:gridCol w:w="466"/>
        <w:gridCol w:w="466"/>
        <w:gridCol w:w="466"/>
        <w:gridCol w:w="466"/>
        <w:gridCol w:w="466"/>
        <w:gridCol w:w="109"/>
        <w:gridCol w:w="109"/>
        <w:gridCol w:w="109"/>
        <w:gridCol w:w="704"/>
        <w:gridCol w:w="704"/>
        <w:gridCol w:w="707"/>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001-31262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01-0609375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6655 Peachtree Dunwoody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Atlanta,</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(770) 418-8200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None </w:t>
      </w:r>
    </w:p>
    <w:p>
      <w:pPr>
        <w:pStyle w:val="TextBody"/>
        <w:bidi w:val="0"/>
        <w:spacing w:lineRule="auto" w:line="288" w:before="0" w:after="0"/>
        <w:jc w:val="center"/>
        <w:rPr/>
      </w:pPr>
      <w:r>
        <w:rPr>
          <w:rFonts w:ascii="Times New Roman;serif" w:hAnsi="Times New Roman;serif"/>
          <w:b/>
          <w:color w:val="000000"/>
          <w:sz w:val="14"/>
        </w:rPr>
        <w:t xml:space="preserve">(Former name or former address, if changed since last report)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80" w:after="283"/>
        <w:ind w:left="0" w:right="0" w:firstLine="450"/>
        <w:jc w:val="left"/>
        <w:rPr/>
      </w:pPr>
      <w:r>
        <w:rPr/>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8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314"/>
        <w:gridCol w:w="314"/>
        <w:gridCol w:w="31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80" w:after="283"/>
        <w:ind w:left="0" w:right="0" w:firstLine="450"/>
        <w:jc w:val="left"/>
        <w:rPr/>
      </w:pPr>
      <w:r>
        <w:rPr>
          <w:rFonts w:ascii="Times New Roman;serif" w:hAnsi="Times New Roman;serif"/>
          <w:b w:val="false"/>
          <w:color w:val="000000"/>
          <w:sz w:val="20"/>
        </w:rPr>
        <w:t>Asbury Automotive Group,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issued an earnings release on July 28, 2026, announcing its financial results for the three and six months ended June 30, 2026. A copy of the earnings release is furnished as Exhibit 99.1 to this Current Report.</w:t>
      </w:r>
    </w:p>
    <w:p>
      <w:pPr>
        <w:pStyle w:val="TextBody"/>
        <w:bidi w:val="0"/>
        <w:spacing w:lineRule="auto" w:line="288" w:before="180" w:after="283"/>
        <w:ind w:left="0" w:right="0" w:firstLine="450"/>
        <w:jc w:val="left"/>
        <w:rPr/>
      </w:pPr>
      <w:r>
        <w:rPr>
          <w:rFonts w:ascii="Times New Roman;serif" w:hAnsi="Times New Roman;serif"/>
          <w:b w:val="false"/>
          <w:color w:val="000000"/>
          <w:sz w:val="20"/>
        </w:rPr>
        <w:t>The information furnished in this Current Report on Form 8-K, including Exhibit 99.1, shall not be deemed to be “filed” for purposes of Section 18 of the Securities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lineRule="auto" w:line="288" w:before="260" w:after="24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80" w:after="283"/>
        <w:ind w:left="0" w:right="0" w:firstLine="45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furnished as part of this report.</w:t>
      </w:r>
    </w:p>
    <w:tbl>
      <w:tblPr>
        <w:tblW w:w="8200" w:type="dxa"/>
        <w:jc w:val="center"/>
        <w:tblInd w:w="0" w:type="dxa"/>
        <w:tblLayout w:type="fixed"/>
        <w:tblCellMar>
          <w:top w:w="28" w:type="dxa"/>
          <w:left w:w="28" w:type="dxa"/>
          <w:bottom w:w="28" w:type="dxa"/>
          <w:right w:w="28" w:type="dxa"/>
        </w:tblCellMar>
      </w:tblPr>
      <w:tblGrid>
        <w:gridCol w:w="124"/>
        <w:gridCol w:w="109"/>
        <w:gridCol w:w="109"/>
        <w:gridCol w:w="310"/>
        <w:gridCol w:w="310"/>
        <w:gridCol w:w="311"/>
        <w:gridCol w:w="109"/>
        <w:gridCol w:w="109"/>
        <w:gridCol w:w="109"/>
        <w:gridCol w:w="1927"/>
        <w:gridCol w:w="1927"/>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2026q2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July 28,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7783" w:type="dxa"/>
        <w:jc w:val="center"/>
        <w:tblInd w:w="0" w:type="dxa"/>
        <w:tblLayout w:type="fixed"/>
        <w:tblCellMar>
          <w:top w:w="28" w:type="dxa"/>
          <w:left w:w="28" w:type="dxa"/>
          <w:bottom w:w="28" w:type="dxa"/>
          <w:right w:w="28" w:type="dxa"/>
        </w:tblCellMar>
      </w:tblPr>
      <w:tblGrid>
        <w:gridCol w:w="618"/>
        <w:gridCol w:w="544"/>
        <w:gridCol w:w="547"/>
        <w:gridCol w:w="360"/>
        <w:gridCol w:w="360"/>
        <w:gridCol w:w="360"/>
        <w:gridCol w:w="360"/>
        <w:gridCol w:w="360"/>
        <w:gridCol w:w="360"/>
        <w:gridCol w:w="1136"/>
        <w:gridCol w:w="1136"/>
        <w:gridCol w:w="164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ASBURY AUTOMOTIVE GROUP,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D. Welch</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Michael D. Welch</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99.1 </w:t>
      </w:r>
    </w:p>
    <w:p>
      <w:pPr>
        <w:pStyle w:val="TextBody"/>
        <w:bidi w:val="0"/>
        <w:spacing w:before="0" w:after="0"/>
        <w:jc w:val="left"/>
        <w:rPr/>
      </w:pPr>
      <w:r>
        <w:rPr/>
      </w:r>
    </w:p>
    <w:p>
      <w:pPr>
        <w:pStyle w:val="TextBody"/>
        <w:bidi w:val="0"/>
        <w:spacing w:lineRule="auto" w:line="288" w:before="0" w:after="0"/>
        <w:jc w:val="left"/>
        <w:rPr/>
      </w:pPr>
      <w:r>
        <w:rPr/>
        <w:drawing>
          <wp:inline distT="0" distB="0" distL="0" distR="0">
            <wp:extent cx="3381375" cy="6762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381375" cy="676275"/>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Investors &amp; Reporters May Contact:</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Joe Sorice</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Sr. Manager, Investor Relations</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(770) 418-8211</w: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ir@asburyauto.com</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48" w:before="0" w:after="0"/>
        <w:jc w:val="center"/>
        <w:rPr>
          <w:rFonts w:ascii="Times New Roman;serif" w:hAnsi="Times New Roman;serif"/>
          <w:b/>
          <w:color w:val="000000"/>
          <w:sz w:val="36"/>
        </w:rPr>
      </w:pPr>
      <w:r>
        <w:rPr>
          <w:rFonts w:ascii="Times New Roman;serif" w:hAnsi="Times New Roman;serif"/>
          <w:b/>
          <w:color w:val="000000"/>
          <w:sz w:val="36"/>
        </w:rPr>
        <w:t>Asbury Automotive Group Reports Second Quarter Results</w:t>
      </w:r>
    </w:p>
    <w:p>
      <w:pPr>
        <w:pStyle w:val="TextBody"/>
        <w:bidi w:val="0"/>
        <w:spacing w:lineRule="auto" w:line="360" w:before="0" w:after="60"/>
        <w:ind w:left="0" w:right="0" w:hanging="360"/>
        <w:jc w:val="left"/>
        <w:rPr/>
      </w:pPr>
      <w:r>
        <w:rPr>
          <w:color w:val="000000"/>
        </w:rPr>
        <w:t>•</w:t>
      </w:r>
      <w:r>
        <w:rPr>
          <w:rFonts w:ascii="Times New Roman;serif" w:hAnsi="Times New Roman;serif"/>
          <w:b w:val="false"/>
          <w:i/>
          <w:color w:val="000000"/>
          <w:sz w:val="24"/>
        </w:rPr>
        <w:t>Revenue of $4.4 billion</w:t>
      </w:r>
    </w:p>
    <w:p>
      <w:pPr>
        <w:pStyle w:val="TextBody"/>
        <w:bidi w:val="0"/>
        <w:spacing w:lineRule="auto" w:line="360" w:before="0" w:after="60"/>
        <w:ind w:left="0" w:right="0" w:hanging="360"/>
        <w:jc w:val="left"/>
        <w:rPr/>
      </w:pPr>
      <w:r>
        <w:rPr>
          <w:color w:val="000000"/>
        </w:rPr>
        <w:t>•</w:t>
      </w:r>
      <w:r>
        <w:rPr>
          <w:rFonts w:ascii="Times New Roman;serif" w:hAnsi="Times New Roman;serif"/>
          <w:b w:val="false"/>
          <w:i/>
          <w:color w:val="000000"/>
          <w:sz w:val="24"/>
        </w:rPr>
        <w:t>Gross Profit of $753 million</w:t>
      </w:r>
    </w:p>
    <w:p>
      <w:pPr>
        <w:pStyle w:val="TextBody"/>
        <w:bidi w:val="0"/>
        <w:spacing w:lineRule="auto" w:line="360" w:before="0" w:after="60"/>
        <w:ind w:left="0" w:right="0" w:hanging="360"/>
        <w:jc w:val="left"/>
        <w:rPr/>
      </w:pPr>
      <w:r>
        <w:rPr>
          <w:color w:val="000000"/>
        </w:rPr>
        <w:t>•</w:t>
      </w:r>
      <w:r>
        <w:rPr>
          <w:rFonts w:ascii="Times New Roman;serif" w:hAnsi="Times New Roman;serif"/>
          <w:b w:val="false"/>
          <w:i/>
          <w:color w:val="000000"/>
          <w:sz w:val="24"/>
        </w:rPr>
        <w:t>Used Retail Gross Profit per Unit of $2,002, growth of 16%</w:t>
      </w:r>
    </w:p>
    <w:p>
      <w:pPr>
        <w:pStyle w:val="TextBody"/>
        <w:bidi w:val="0"/>
        <w:spacing w:lineRule="auto" w:line="360" w:before="0" w:after="60"/>
        <w:ind w:left="0" w:right="0" w:hanging="360"/>
        <w:jc w:val="left"/>
        <w:rPr/>
      </w:pPr>
      <w:r>
        <w:rPr>
          <w:color w:val="000000"/>
        </w:rPr>
        <w:t>•</w:t>
      </w:r>
      <w:r>
        <w:rPr>
          <w:rFonts w:ascii="Times New Roman;serif" w:hAnsi="Times New Roman;serif"/>
          <w:b w:val="false"/>
          <w:i/>
          <w:color w:val="000000"/>
          <w:sz w:val="24"/>
        </w:rPr>
        <w:t>EPS of $6.25 per diluted share; adjusted EPS, a non-GAAP measure, of $6.82 per diluted share</w:t>
      </w:r>
    </w:p>
    <w:p>
      <w:pPr>
        <w:pStyle w:val="TextBody"/>
        <w:bidi w:val="0"/>
        <w:spacing w:lineRule="auto" w:line="360" w:before="0" w:after="60"/>
        <w:ind w:left="0" w:right="0" w:hanging="360"/>
        <w:jc w:val="left"/>
        <w:rPr/>
      </w:pPr>
      <w:r>
        <w:rPr>
          <w:color w:val="000000"/>
        </w:rPr>
        <w:t>•</w:t>
      </w:r>
      <w:r>
        <w:rPr>
          <w:rFonts w:ascii="Times New Roman;serif" w:hAnsi="Times New Roman;serif"/>
          <w:b w:val="false"/>
          <w:i/>
          <w:color w:val="000000"/>
          <w:sz w:val="24"/>
        </w:rPr>
        <w:t>Net income of $115 million; adjusted net income, a non-GAAP measure, of $125 million</w:t>
      </w:r>
    </w:p>
    <w:p>
      <w:pPr>
        <w:pStyle w:val="TextBody"/>
        <w:bidi w:val="0"/>
        <w:spacing w:lineRule="auto" w:line="360" w:before="0" w:after="60"/>
        <w:ind w:left="0" w:right="0" w:hanging="360"/>
        <w:jc w:val="left"/>
        <w:rPr/>
      </w:pPr>
      <w:r>
        <w:rPr>
          <w:color w:val="000000"/>
        </w:rPr>
        <w:t>•</w:t>
      </w:r>
      <w:r>
        <w:rPr>
          <w:rFonts w:ascii="Times New Roman;serif" w:hAnsi="Times New Roman;serif"/>
          <w:b w:val="false"/>
          <w:i/>
          <w:color w:val="000000"/>
          <w:sz w:val="24"/>
        </w:rPr>
        <w:t>Repurchased approximately 668,000 shares for $131 million</w:t>
      </w:r>
    </w:p>
    <w:p>
      <w:pPr>
        <w:pStyle w:val="TextBody"/>
        <w:bidi w:val="0"/>
        <w:spacing w:lineRule="auto" w:line="360" w:before="0" w:after="180"/>
        <w:ind w:left="0" w:right="0" w:hanging="360"/>
        <w:jc w:val="left"/>
        <w:rPr/>
      </w:pPr>
      <w:r>
        <w:rPr>
          <w:color w:val="000000"/>
        </w:rPr>
        <w:t>•</w:t>
      </w:r>
      <w:r>
        <w:rPr>
          <w:rFonts w:ascii="Times New Roman;serif" w:hAnsi="Times New Roman;serif"/>
          <w:b w:val="false"/>
          <w:i/>
          <w:color w:val="000000"/>
          <w:sz w:val="24"/>
        </w:rPr>
        <w:t>70% of stores converted to Tekion as of July 28, 2026</w:t>
      </w:r>
    </w:p>
    <w:p>
      <w:pPr>
        <w:pStyle w:val="TextBody"/>
        <w:bidi w:val="0"/>
        <w:spacing w:lineRule="auto" w:line="268" w:before="0" w:after="180"/>
        <w:ind w:left="0" w:right="0" w:firstLine="20"/>
        <w:jc w:val="left"/>
        <w:rPr>
          <w:rFonts w:ascii="Times New Roman;serif" w:hAnsi="Times New Roman;serif"/>
          <w:b w:val="false"/>
          <w:color w:val="000000"/>
          <w:sz w:val="24"/>
        </w:rPr>
      </w:pPr>
      <w:r>
        <w:rPr>
          <w:rFonts w:ascii="Times New Roman;serif" w:hAnsi="Times New Roman;serif"/>
          <w:b w:val="false"/>
          <w:color w:val="000000"/>
          <w:sz w:val="24"/>
        </w:rPr>
        <w:t>ATLANTA, GA. (July 28, 2026) — Asbury Automotive Group, Inc. (NYSE: ABG) (the “Company”), one of the largest automotive retail and service companies in the U.S., reported second quarter 2026 net income of $115 million ($6.25 per diluted share), a decrease of 25% from $153 million ($7.76 per diluted share) in second quarter 2025. The Company reported second quarter 2026 adjusted net income, a non-GAAP measure, of $125 million ($6.82 per diluted share), a decrease of 15% from $146 million ($7.43 per diluted share) in second quarter 2025.</w:t>
      </w:r>
    </w:p>
    <w:p>
      <w:pPr>
        <w:pStyle w:val="TextBody"/>
        <w:bidi w:val="0"/>
        <w:spacing w:lineRule="auto" w:line="288" w:before="0" w:after="180"/>
        <w:ind w:left="0" w:right="0" w:firstLine="20"/>
        <w:jc w:val="left"/>
        <w:rPr>
          <w:color w:val="000000"/>
        </w:rPr>
      </w:pPr>
      <w:r>
        <w:rPr>
          <w:color w:val="000000"/>
        </w:rPr>
        <w:t>“</w:t>
      </w:r>
      <w:r>
        <w:rPr>
          <w:rFonts w:ascii="Times New Roman;serif" w:hAnsi="Times New Roman;serif"/>
          <w:b w:val="false"/>
          <w:color w:val="000000"/>
          <w:sz w:val="24"/>
        </w:rPr>
        <w:t xml:space="preserve">Our second quarter marked a significant milestone in our enterprise technology transformation, as we completed approximately 70% of our Tekion implementation. We remain on schedule to complete the rollout across our operations this fall,” said Dan Clara, Asbury’s President and Chief Executive Officer. </w:t>
      </w:r>
    </w:p>
    <w:p>
      <w:pPr>
        <w:pStyle w:val="TextBody"/>
        <w:bidi w:val="0"/>
        <w:spacing w:lineRule="auto" w:line="288" w:before="0" w:after="180"/>
        <w:ind w:left="0" w:right="0" w:firstLine="20"/>
        <w:jc w:val="left"/>
        <w:rPr>
          <w:color w:val="000000"/>
        </w:rPr>
      </w:pPr>
      <w:r>
        <w:rPr>
          <w:color w:val="000000"/>
        </w:rPr>
        <w:t>“</w:t>
      </w:r>
      <w:r>
        <w:rPr>
          <w:rFonts w:ascii="Times New Roman;serif" w:hAnsi="Times New Roman;serif"/>
          <w:b w:val="false"/>
          <w:color w:val="000000"/>
          <w:sz w:val="24"/>
        </w:rPr>
        <w:t>While a dealership management system (DMS) conversion requires substantial planning and resources, we believe this investment will deliver meaningful long-term value, enhance the guest experience through a more personalized retail journey and equip our teams with modern tools to better serve our customers. We are encouraged by the operating improvements in our converted stores, and we continue to execute against our balanced capital allocation approach, repurchasing $131 million in shares during the quarter.”</w:t>
      </w:r>
    </w:p>
    <w:p>
      <w:pPr>
        <w:pStyle w:val="TextBody"/>
        <w:bidi w:val="0"/>
        <w:spacing w:lineRule="auto" w:line="288" w:before="0" w:after="180"/>
        <w:ind w:left="0" w:right="0" w:firstLine="20"/>
        <w:jc w:val="left"/>
        <w:rPr>
          <w:rFonts w:ascii="Times New Roman;serif" w:hAnsi="Times New Roman;serif"/>
          <w:b w:val="false"/>
          <w:color w:val="000000"/>
          <w:sz w:val="24"/>
        </w:rPr>
      </w:pPr>
      <w:r>
        <w:rPr>
          <w:rFonts w:ascii="Times New Roman;serif" w:hAnsi="Times New Roman;serif"/>
          <w:b w:val="false"/>
          <w:color w:val="000000"/>
          <w:sz w:val="24"/>
        </w:rPr>
        <w:t>The financial measures discussed below include both GAAP and adjusted (non-GAAP) financial measures. Please see “Non-GAAP Financial Disclosure and Reconciliation, Same Store Data and Other Data” and the reconciliations for non-GAAP metrics used herein.</w:t>
      </w:r>
    </w:p>
    <w:p>
      <w:pPr>
        <w:pStyle w:val="TextBody"/>
        <w:bidi w:val="0"/>
        <w:spacing w:lineRule="auto" w:line="288" w:before="0" w:after="180"/>
        <w:ind w:left="0" w:right="0" w:firstLine="20"/>
        <w:jc w:val="left"/>
        <w:rPr>
          <w:rFonts w:ascii="Times New Roman;serif" w:hAnsi="Times New Roman;serif"/>
          <w:b w:val="false"/>
          <w:color w:val="000000"/>
          <w:sz w:val="24"/>
        </w:rPr>
      </w:pPr>
      <w:r>
        <w:rPr>
          <w:rFonts w:ascii="Times New Roman;serif" w:hAnsi="Times New Roman;serif"/>
          <w:b w:val="false"/>
          <w:color w:val="000000"/>
          <w:sz w:val="24"/>
        </w:rPr>
        <w:t>Adjusted net income for second quarter 2026 excludes, net of tax, $4 million ($0.24 per diluted share) related to Tekion implementation expenses, $3 million ($0.17 per diluted share) related to non-cash asset impairments, $2 million ($0.10 per diluted share) of weather-related losses, and $1 million ($0.05 per diluted share) related to duplicative DMS-related expenses.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20"/>
        <w:jc w:val="left"/>
        <w:rPr>
          <w:rFonts w:ascii="Times New Roman;serif" w:hAnsi="Times New Roman;serif"/>
          <w:b w:val="false"/>
          <w:color w:val="000000"/>
          <w:sz w:val="24"/>
        </w:rPr>
      </w:pPr>
      <w:r>
        <w:rPr>
          <w:rFonts w:ascii="Times New Roman;serif" w:hAnsi="Times New Roman;serif"/>
          <w:b w:val="false"/>
          <w:color w:val="000000"/>
          <w:sz w:val="24"/>
        </w:rPr>
        <w:t>Adjusted net income for second quarter 2025 excludes, net of tax, $4 million of cyber insurance recovery proceeds ($0.19 per diluted share), $4 million related to gain on divestitures ($0.23 per diluted share) and $2 million of professional fees related to the acquisition of The Herb Chambers Automotive Group ($0.09 per diluted share).</w:t>
      </w:r>
    </w:p>
    <w:p>
      <w:pPr>
        <w:pStyle w:val="TextBody"/>
        <w:bidi w:val="0"/>
        <w:spacing w:lineRule="auto" w:line="288" w:before="0" w:after="180"/>
        <w:jc w:val="left"/>
        <w:rPr>
          <w:rFonts w:ascii="Times New Roman;serif" w:hAnsi="Times New Roman;serif"/>
          <w:b/>
          <w:color w:val="000000"/>
          <w:sz w:val="24"/>
          <w:u w:val="single"/>
        </w:rPr>
      </w:pPr>
      <w:r>
        <w:rPr>
          <w:rFonts w:ascii="Times New Roman;serif" w:hAnsi="Times New Roman;serif"/>
          <w:b/>
          <w:color w:val="000000"/>
          <w:sz w:val="24"/>
          <w:u w:val="single"/>
        </w:rPr>
        <w:t>Second Quarter 2026 Operational Summary</w:t>
      </w:r>
    </w:p>
    <w:p>
      <w:pPr>
        <w:pStyle w:val="TextBody"/>
        <w:bidi w:val="0"/>
        <w:spacing w:lineRule="auto" w:line="288" w:before="0" w:after="60"/>
        <w:ind w:left="0" w:right="0" w:firstLine="86"/>
        <w:jc w:val="left"/>
        <w:rPr>
          <w:rFonts w:ascii="Times New Roman;serif" w:hAnsi="Times New Roman;serif"/>
          <w:b/>
          <w:color w:val="000000"/>
          <w:sz w:val="24"/>
        </w:rPr>
      </w:pPr>
      <w:r>
        <w:rPr>
          <w:rFonts w:ascii="Times New Roman;serif" w:hAnsi="Times New Roman;serif"/>
          <w:b/>
          <w:color w:val="000000"/>
          <w:sz w:val="24"/>
        </w:rPr>
        <w:t>Total Company: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Revenue of $4.4 billion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Gross profit of $753 million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Gross margin of 17.2%</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New vehicle revenue of $2.3 billion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Used vehicle retail revenue of $1.1 billion; used vehicle retail gross profit of $66 million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Finance and insurance (F&amp;I) per vehicle retailed (PVR) of $2,216</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 xml:space="preserve">Parts and service revenue of $635 million; gross profit of $374 million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Selling, General and Administrative expenses (SG&amp;A) as a percentage of gross profit of 67.2%</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Adjusted SG&amp;A as a percentage of gross profit of 66.0%</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Operating margin of 5.0%</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Adjusted operating margin of 5.3%</w:t>
      </w:r>
    </w:p>
    <w:p>
      <w:pPr>
        <w:pStyle w:val="TextBody"/>
        <w:bidi w:val="0"/>
        <w:spacing w:lineRule="auto" w:line="288" w:before="0" w:after="60"/>
        <w:ind w:left="0" w:right="0" w:firstLine="86"/>
        <w:jc w:val="left"/>
        <w:rPr>
          <w:rFonts w:ascii="Times New Roman;serif" w:hAnsi="Times New Roman;serif"/>
          <w:b/>
          <w:color w:val="000000"/>
          <w:sz w:val="24"/>
        </w:rPr>
      </w:pPr>
      <w:r>
        <w:rPr>
          <w:rFonts w:ascii="Times New Roman;serif" w:hAnsi="Times New Roman;serif"/>
          <w:b/>
          <w:color w:val="000000"/>
          <w:sz w:val="24"/>
        </w:rPr>
        <w:t>Same Store: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Revenue of $3.8 billion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Gross profit of $643 million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Gross margin of 17.1%</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New vehicle revenue of $2.0 billion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Used vehicle retail revenue of $930 million; used vehicle retail gross profit of $56 million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F&amp;I PVR of $2,214</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Parts and service revenue of $551 million; gross profit of $323 million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SG&amp;A as a percentage of gross profit of 66.4%</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Adjusted SG&amp;A as a percentage of gross profit of 65.3%</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Operating margin of 5.2%</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4"/>
        </w:rPr>
        <w:t>Adjusted operating margin of 5.4%</w:t>
      </w:r>
    </w:p>
    <w:p>
      <w:pPr>
        <w:pStyle w:val="TextBody"/>
        <w:bidi w:val="0"/>
        <w:spacing w:lineRule="auto" w:line="28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Liquidity and Leverage</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As of June 30, 2026, the Company had cash, short term investments, and floorplan offset accounts of $154 million (which excludes $26 million of cash at Total Care Auto, Powered by Asbury) and availability under the used vehicle floorplan line and revolver of $812 million for a total of $966 million in liquidity. The Company’s transaction adjusted net leverage ratio was 3.4x at quarter end.</w:t>
      </w:r>
    </w:p>
    <w:p>
      <w:pPr>
        <w:pStyle w:val="TextBody"/>
        <w:bidi w:val="0"/>
        <w:spacing w:lineRule="auto" w:line="28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Share Repurchases</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The Company repurchased approximately 668,000 shares for $131 million during the second quarter 2026. Year-to-date through June 30, 2026, the Company has repurchased approximately 1.35 million shares for $278 million. As of June 30, 2026, the Company had approximately $322 million remaining on its share repurchase authorization.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The shares may be purchased from time to time in the open market, in privately negotiated transactions or in other manners as permitted by federal securities laws and other legal and contractual requirements. The extent to which the Company repurchases its shares, the number of shares and the timing of any repurchase will depend on such factors as Asbury’s stock price, general economic and market conditions, the potential impact on its capital structure, the expected return on competing uses of capital such as strategic dealership acquisitions and capital investments and other considerations. The program does not require the Company to repurchase any specific number of shares, and may be modified, suspended or terminated at any time without further notice.</w:t>
      </w:r>
    </w:p>
    <w:p>
      <w:pPr>
        <w:pStyle w:val="TextBody"/>
        <w:bidi w:val="0"/>
        <w:spacing w:lineRule="auto" w:line="26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Earnings Call</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Additional commentary regarding the second quarter results will be provided during the earnings conference call on Tuesday, July 28, 2026, at 10:00 a.m. ET.</w:t>
      </w:r>
    </w:p>
    <w:p>
      <w:pPr>
        <w:pStyle w:val="TextBody"/>
        <w:bidi w:val="0"/>
        <w:spacing w:lineRule="auto" w:line="288" w:before="0" w:after="180"/>
        <w:jc w:val="left"/>
        <w:rPr/>
      </w:pPr>
      <w:r>
        <w:rPr>
          <w:rFonts w:ascii="Times New Roman;serif" w:hAnsi="Times New Roman;serif"/>
          <w:b w:val="false"/>
          <w:color w:val="000000"/>
          <w:sz w:val="24"/>
        </w:rPr>
        <w:t xml:space="preserve">The conference call will be simulcast live on the internet. The webcast, together with supplemental materials, can be accessed by logging onto </w:t>
      </w:r>
      <w:r>
        <w:rPr>
          <w:rFonts w:ascii="Times New Roman;serif" w:hAnsi="Times New Roman;serif"/>
          <w:b w:val="false"/>
          <w:color w:val="0000ED"/>
          <w:sz w:val="24"/>
          <w:u w:val="single"/>
        </w:rPr>
        <w:t>https://investors.asburyauto.com</w:t>
      </w:r>
      <w:r>
        <w:rPr>
          <w:rFonts w:ascii="Times New Roman;serif" w:hAnsi="Times New Roman;serif"/>
          <w:b w:val="false"/>
          <w:color w:val="000000"/>
          <w:sz w:val="24"/>
        </w:rPr>
        <w:t>. A replay and the accompanying materials will be available on this site for at least 30 days.</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In addition, live audio will be accessible to the public. Participants may enter the conference call five to ten minutes prior to the scheduled start of the call by dialing:</w:t>
      </w:r>
    </w:p>
    <w:tbl>
      <w:tblPr>
        <w:tblW w:w="3314" w:type="dxa"/>
        <w:jc w:val="left"/>
        <w:tblInd w:w="0" w:type="dxa"/>
        <w:tblLayout w:type="fixed"/>
        <w:tblCellMar>
          <w:top w:w="28" w:type="dxa"/>
          <w:left w:w="28" w:type="dxa"/>
          <w:bottom w:w="28" w:type="dxa"/>
          <w:right w:w="28" w:type="dxa"/>
        </w:tblCellMar>
      </w:tblPr>
      <w:tblGrid>
        <w:gridCol w:w="494"/>
        <w:gridCol w:w="434"/>
        <w:gridCol w:w="437"/>
        <w:gridCol w:w="569"/>
        <w:gridCol w:w="569"/>
        <w:gridCol w:w="811"/>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Domestic:</w:t>
            </w:r>
          </w:p>
        </w:tc>
        <w:tc>
          <w:tcPr>
            <w:tcW w:w="194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(877) 407-2988</w:t>
            </w:r>
          </w:p>
        </w:tc>
      </w:tr>
      <w:tr>
        <w:trPr/>
        <w:tc>
          <w:tcPr>
            <w:tcW w:w="13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International:</w:t>
            </w:r>
          </w:p>
        </w:tc>
        <w:tc>
          <w:tcPr>
            <w:tcW w:w="194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+1 (201) 389-0923</w:t>
            </w:r>
          </w:p>
        </w:tc>
      </w:tr>
      <w:tr>
        <w:trPr/>
        <w:tc>
          <w:tcPr>
            <w:tcW w:w="136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Passcode:</w:t>
            </w:r>
          </w:p>
        </w:tc>
        <w:tc>
          <w:tcPr>
            <w:tcW w:w="194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13761533</w:t>
            </w:r>
          </w:p>
        </w:tc>
      </w:tr>
    </w:tbl>
    <w:p>
      <w:pPr>
        <w:pStyle w:val="TextBody"/>
        <w:bidi w:val="0"/>
        <w:spacing w:lineRule="auto" w:line="26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About Asbury Automotive Group, Inc.</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Asbury Automotive Group, Inc. (NYSE: ABG), a Fortune 500 company headquartered in Atlanta, Georgia, is one of the largest automotive retailers in the U.S. In late 2020, Asbury embarked on a multi-year plan to increase revenue and profitability strategically through organic operations, acquisitive growth and innovative technologies, with its guest-centric approach as Asbury’s constant North Star. As of June 30, 2026, Asbury operated 158 new vehicle dealerships, consisting of 202 franchises and representing 34 domestic and foreign brands of vehicles. Asbury also operates Total Care Auto, Powered by Asbury, a leading provider of service contracts and other vehicle protection products, and 37 collision repair centers. Asbury offers an extensive range of automotive products and services, including new and used vehicles; parts and service, which includes vehicle repair and maintenance services, replacement parts and collision repair services; and finance and insurance products, including arranging vehicle financing through third parties and aftermarket products, such as extended service contracts, guaranteed asset protection debt cancellation, and prepaid maintenance. Asbury is recognized as one of America’s Fastest Growing Companies 2024 by the Financial Times, one of the World’s Most Trustworthy Companies for 2024 and 2025 by Newsweek, one of America’s Most Successful Small-Cap Companies by Forbes for 2026, and one of America's Best Companies 2026 by TIME.</w:t>
      </w:r>
    </w:p>
    <w:p>
      <w:pPr>
        <w:pStyle w:val="TextBody"/>
        <w:bidi w:val="0"/>
        <w:spacing w:lineRule="auto" w:line="268" w:before="0" w:after="180"/>
        <w:jc w:val="left"/>
        <w:rPr/>
      </w:pPr>
      <w:r>
        <w:rPr>
          <w:rFonts w:ascii="Times New Roman;serif" w:hAnsi="Times New Roman;serif"/>
          <w:b w:val="false"/>
          <w:color w:val="000000"/>
          <w:sz w:val="24"/>
        </w:rPr>
        <w:t xml:space="preserve">For additional information, visit </w:t>
      </w:r>
      <w:r>
        <w:rPr>
          <w:rFonts w:ascii="Times New Roman;serif" w:hAnsi="Times New Roman;serif"/>
          <w:b w:val="false"/>
          <w:color w:val="0000ED"/>
          <w:sz w:val="24"/>
          <w:u w:val="single"/>
        </w:rPr>
        <w:t>www.asburyauto.com</w:t>
      </w:r>
      <w:r>
        <w:rPr>
          <w:rFonts w:ascii="Times New Roman;serif" w:hAnsi="Times New Roman;serif"/>
          <w:b w:val="false"/>
          <w:color w:val="0000FF"/>
          <w:sz w:val="24"/>
          <w:u w:val="single"/>
        </w:rPr>
        <w:t>.</w:t>
      </w:r>
    </w:p>
    <w:p>
      <w:pPr>
        <w:pStyle w:val="TextBody"/>
        <w:bidi w:val="0"/>
        <w:spacing w:lineRule="auto" w:line="26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Forward-Looking Statements</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This press release contains "forward-looking statements" within the meaning of the Private Securities Litigation Reform Act of 1995. Forward-looking statements are statements other than historical fact, and may include statements relating to goals, plans, objectives, beliefs, expectations and assumptions, forecasts, and projections regarding Asbury's financial position, liquidity, results of operations, cash flows, leverage, market position, the timing and amount of any stock repurchases, optimization of our dealership portfolio,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revenue enhancement strategies, operational improvements, projections regarding the expected benefits of present and new technologies, the ability to implement those technologies, and the ability to transition to new technologies from existing systems, including the transition of Asbury’s dealer management system to Tekion; management’s plans, projections and objectives for future operations, scale and performance, integration plans and expected synergies from acquisitions, capital allocation strategy, and business strategy. These statements are based on management's current expectations and beliefs and involve significant risks and uncertainties that may cause results to differ materially from those set forth in the statements. These risks and uncertainties include, among other things, adverse outcomes with respect to current and future litigation and other proceedings; our inability to realize the benefits expected from recently completed transactions; our inability to promptly and effectively integrate completed transactions and the diversion of management’s attention from ongoing business and regular business responsibilities; our inability to complete future acquisitions or divestitures and the risks resulting therefrom; any supply chain disruptions impacting our industry and business; market factors and changes thereto, including changes related to trade; Asbury's relationships with, and the financial and operational stability of, vehicle manufacturers and other suppliers, including in response to the imposition of tariffs; acts of God and other natural disasters, including hurricanes; acts of war or similar incidents, including the present dispute between the United States and Iran; the shortage of automotive parts and components, which may adversely impact supply from vehicle manufacturers and/or present retail sales challenges; risks associated with Asbury's indebtedness and our ability to comply with applicable covenants in our various financing agreements, or to obtain waivers of these covenants as necessary; risks associated with technology integration and implementation; risks related to competition in the automotive retail and service industries, general economic conditions both nationally and locally; governmental regulations and legislation, including changes in automotive state franchise laws and tariffs; our ability to execute our strategic and operational strategies and initiatives, and our ability to leverage gains from Asbury’s dealership portfolio; our ability to capitalize on opportunities to repurchase Asbury’s debt and equity securities or purchase properties that Asbury currently leases; and our ability to stay within Asbury’s targeted range for capital expenditures. There can be no guarantees that Asbury's plans for future operations will be successfully implemented or that they will prove to be commercially successful.</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These and other risk factors that could cause actual results to differ materially from those expressed or implied in our forward-looking statements are and will be discussed in Asbury's filings with the U.S. Securities and Exchange Commission from time to time, including its most recent annual report on Form 10-K and any subsequently filed quarterly reports on Form 10-Q. These forward-looking statements and such risks, uncertainties and other factors speak only as of the date of this press release. We undertake no obligation to publicly update any forward-looking statement, whether as a result of new information, future events or otherwise.</w:t>
      </w:r>
    </w:p>
    <w:p>
      <w:pPr>
        <w:pStyle w:val="TextBody"/>
        <w:bidi w:val="0"/>
        <w:spacing w:lineRule="auto" w:line="28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Non-GAAP Financial Disclosure and Reconciliation, Same Store Data and Other Data</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In addition to evaluating the financial condition and results of our operations in accordance with GAAP, from time to time management evaluates and analyzes results and any impact on the Company of strategic decisions and actions relating to, among other things, cost reduction, growth, and profitability improvement initiatives, and other events outside of normal or "core" business and operations, by considering certain alternative financial measures not prepared in accordance with GAAP. These measures include "Adjusted income from operations," "Adjusted net income," "Adjusted operating margins," "Adjusted EBITDA," "Adjusted diluted earnings per share ("EPS")," "Adjusted SG&amp;A," "Adjusted operating cash flow," "Transaction adjusted EBITDA" and "Transaction adjusted net leverage ratio." Further, management assesses the organic growth of our revenue and gross profit on a same store basis. We believe that our assessment on a same store basis represents an important indicator of comparative financial performance and provides relevant information to assess our performance at our existing locations.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Non-GAAP measures do not have definitions under GAAP and may be defined differently by and not be comparable to similarly titled measures used by other companies. As a result, any non-GAAP financial measures considered and evaluated by management are reviewed in conjunction with a review of the most directly comparable measures calculated in accordance with GAAP. Management cautions investors not to place undue reliance on such non-GAAP measures, but also to consider them with the most directly comparable GAAP measures. In their evaluation of results from time to time, management excludes items that do not arise directly from core operations or are otherwise of an unusual or non-recurring nature. Because these non-core, unusual or non-recurring charges and gains materially affect Asbury’s financial condition or results in the specific period in which they are recognized, management also evaluates and makes resource allocation and performance evaluation decisions based on the related non-GAAP measures excluding such items. In addition to using such non-GAAP measures to evaluate results in a specific period, management believes that such measures may provide more complete and consistent comparisons of operational performance on a period-over-period historical basis and a better indication of expected future trends. Management discloses these non-GAAP measures, and the related reconciliations, because it believes investors use these metrics in evaluating longer-term period-over-period performance, and to allow investors to better understand and evaluate the information used by management to assess operating performance.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Due to the significant effects that dealership acquisitions and divestitures have on our results of operations, and in order to provide more meaningful comparisons, we present herein "Transaction adjusted EBITDA" and "Transaction adjusted net leverage ratio" (collectively, the "Transaction Adjusted Metrics"), which reflect the effects of the dealership acquisitions and divestitures, if any, as if they had occurred on the first day of the last twelve-month periods being presented. For acquisitions, the pre-acquisition period amount being included in Transaction adjusted EBITDA is determined by pro-rating the forecasted adjusted EBITDA for the year following the acquisition(s). For divestitures, including divestitures due to requirements in connection with an acquisition, the adjusted EBITDA associated with the divestiture(s) is excluded from Transaction adjusted EBITDA. We believe the Transaction Adjusted Metrics provide relevant information to assess our performance at our existing dealership locations for the last twelve-month periods being presented.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 xml:space="preserve">The Transaction Adjusted Metrics do not include any adjustments for other events attributable to the dealership acquisitions or divestitures unless otherwise described. We cannot assure you that such financial information would not be materially different if such information were audited or that our actual results would not differ materially from the Transaction Adjusted Metrics if the dealership acquisitions or divestitures had been completed as of the beginning of the last twelve-month periods being presented. </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Same store amounts consist of information from dealerships for identical months in each comparative period, commencing with the first month we owned the dealership. Additionally, amounts related to divested dealerships are excluded from each comparative period.</w:t>
      </w:r>
    </w:p>
    <w:p>
      <w:pPr>
        <w:pStyle w:val="TextBody"/>
        <w:bidi w:val="0"/>
        <w:spacing w:lineRule="auto" w:line="288" w:before="0" w:after="180"/>
        <w:jc w:val="left"/>
        <w:rPr>
          <w:rFonts w:ascii="Times New Roman;serif" w:hAnsi="Times New Roman;serif"/>
          <w:b w:val="false"/>
          <w:color w:val="000000"/>
          <w:sz w:val="24"/>
        </w:rPr>
      </w:pPr>
      <w:r>
        <w:rPr>
          <w:rFonts w:ascii="Times New Roman;serif" w:hAnsi="Times New Roman;serif"/>
          <w:b w:val="false"/>
          <w:color w:val="000000"/>
          <w:sz w:val="24"/>
        </w:rPr>
        <w:t>Amounts presented herein have been calculated using non-rounded amounts for all periods presented and therefore certain amounts may not compute.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ASBURY AUTOMOTIVE GROUP, INC.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INCOME (In millions, except per share data)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12"/>
        <w:gridCol w:w="597"/>
        <w:gridCol w:w="599"/>
        <w:gridCol w:w="228"/>
        <w:gridCol w:w="828"/>
        <w:gridCol w:w="117"/>
        <w:gridCol w:w="117"/>
        <w:gridCol w:w="117"/>
        <w:gridCol w:w="117"/>
        <w:gridCol w:w="228"/>
        <w:gridCol w:w="828"/>
        <w:gridCol w:w="117"/>
        <w:gridCol w:w="109"/>
        <w:gridCol w:w="109"/>
        <w:gridCol w:w="109"/>
        <w:gridCol w:w="195"/>
        <w:gridCol w:w="195"/>
        <w:gridCol w:w="417"/>
        <w:gridCol w:w="109"/>
        <w:gridCol w:w="109"/>
        <w:gridCol w:w="109"/>
        <w:gridCol w:w="222"/>
        <w:gridCol w:w="809"/>
        <w:gridCol w:w="114"/>
        <w:gridCol w:w="114"/>
        <w:gridCol w:w="114"/>
        <w:gridCol w:w="114"/>
        <w:gridCol w:w="222"/>
        <w:gridCol w:w="809"/>
        <w:gridCol w:w="114"/>
        <w:gridCol w:w="109"/>
        <w:gridCol w:w="109"/>
        <w:gridCol w:w="109"/>
        <w:gridCol w:w="194"/>
        <w:gridCol w:w="196"/>
        <w:gridCol w:w="490"/>
      </w:tblGrid>
      <w:tr>
        <w:trPr/>
        <w:tc>
          <w:tcPr>
            <w:tcW w:w="101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br/>
              <w:t>Change</w:t>
            </w:r>
          </w:p>
        </w:tc>
      </w:tr>
      <w:tr>
        <w:trPr/>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used vehicle</w:t>
            </w:r>
          </w:p>
        </w:tc>
        <w:tc>
          <w:tcPr>
            <w:tcW w:w="10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used vehicle</w:t>
            </w:r>
          </w:p>
        </w:tc>
        <w:tc>
          <w:tcPr>
            <w:tcW w:w="10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COST OF SALES </w:t>
            </w:r>
          </w:p>
        </w:tc>
        <w:tc>
          <w:tcPr>
            <w:tcW w:w="10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0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ASBURY AUTOMOTIVE GROUP,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Disclosures-Consolidated (In millions)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(Unaudited) </w:t>
      </w:r>
    </w:p>
    <w:p>
      <w:pPr>
        <w:pStyle w:val="TextBody"/>
        <w:bidi w:val="0"/>
        <w:spacing w:lineRule="auto" w:line="288" w:before="0" w:after="0"/>
        <w:jc w:val="left"/>
        <w:rPr>
          <w:color w:val="000000"/>
        </w:rPr>
      </w:pPr>
      <w:r>
        <w:rPr>
          <w:color w:val="000000"/>
        </w:rPr>
        <w:t> </w:t>
      </w:r>
    </w:p>
    <w:tbl>
      <w:tblPr>
        <w:tblW w:w="9642" w:type="dxa"/>
        <w:jc w:val="center"/>
        <w:tblInd w:w="0" w:type="dxa"/>
        <w:tblLayout w:type="fixed"/>
        <w:tblCellMar>
          <w:top w:w="28" w:type="dxa"/>
          <w:left w:w="28" w:type="dxa"/>
          <w:bottom w:w="28" w:type="dxa"/>
          <w:right w:w="28" w:type="dxa"/>
        </w:tblCellMar>
      </w:tblPr>
      <w:tblGrid>
        <w:gridCol w:w="1304"/>
        <w:gridCol w:w="1146"/>
        <w:gridCol w:w="1150"/>
        <w:gridCol w:w="247"/>
        <w:gridCol w:w="900"/>
        <w:gridCol w:w="128"/>
        <w:gridCol w:w="109"/>
        <w:gridCol w:w="109"/>
        <w:gridCol w:w="109"/>
        <w:gridCol w:w="335"/>
        <w:gridCol w:w="1217"/>
        <w:gridCol w:w="173"/>
        <w:gridCol w:w="109"/>
        <w:gridCol w:w="109"/>
        <w:gridCol w:w="109"/>
        <w:gridCol w:w="211"/>
        <w:gridCol w:w="691"/>
        <w:gridCol w:w="109"/>
        <w:gridCol w:w="109"/>
        <w:gridCol w:w="109"/>
        <w:gridCol w:w="109"/>
        <w:gridCol w:w="218"/>
        <w:gridCol w:w="218"/>
        <w:gridCol w:w="614"/>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w:t>
              <w:br/>
              <w:t>(Decrease)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BALANCE SHEET DATA</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 (a)</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notes payable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7,380.8 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7,463.9 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(a) Excluding $28.5 million and $96.5 million of inventory classified as assets held for sale as of June 30, 2026 and December 31, 2025, respectively.</w:t>
      </w:r>
    </w:p>
    <w:p>
      <w:pPr>
        <w:pStyle w:val="TextBody"/>
        <w:bidi w:val="0"/>
        <w:spacing w:before="0" w:after="60"/>
        <w:ind w:left="0" w:right="0" w:hanging="270"/>
        <w:jc w:val="left"/>
        <w:rPr/>
      </w:pPr>
      <w:r>
        <w:rPr/>
      </w:r>
    </w:p>
    <w:p>
      <w:pPr>
        <w:pStyle w:val="TextBody"/>
        <w:bidi w:val="0"/>
        <w:spacing w:before="0" w:after="0"/>
        <w:ind w:left="0" w:right="0" w:hanging="270"/>
        <w:jc w:val="left"/>
        <w:rPr/>
      </w:pPr>
      <w:r>
        <w:rPr/>
      </w:r>
    </w:p>
    <w:tbl>
      <w:tblPr>
        <w:tblW w:w="6981" w:type="dxa"/>
        <w:jc w:val="center"/>
        <w:tblInd w:w="0" w:type="dxa"/>
        <w:tblLayout w:type="fixed"/>
        <w:tblCellMar>
          <w:top w:w="28" w:type="dxa"/>
          <w:left w:w="28" w:type="dxa"/>
          <w:bottom w:w="28" w:type="dxa"/>
          <w:right w:w="28" w:type="dxa"/>
        </w:tblCellMar>
      </w:tblPr>
      <w:tblGrid>
        <w:gridCol w:w="725"/>
        <w:gridCol w:w="642"/>
        <w:gridCol w:w="643"/>
        <w:gridCol w:w="424"/>
        <w:gridCol w:w="424"/>
        <w:gridCol w:w="426"/>
        <w:gridCol w:w="109"/>
        <w:gridCol w:w="109"/>
        <w:gridCol w:w="109"/>
        <w:gridCol w:w="574"/>
        <w:gridCol w:w="574"/>
        <w:gridCol w:w="576"/>
        <w:gridCol w:w="109"/>
        <w:gridCol w:w="109"/>
        <w:gridCol w:w="109"/>
        <w:gridCol w:w="384"/>
        <w:gridCol w:w="384"/>
        <w:gridCol w:w="551"/>
      </w:tblGrid>
      <w:tr>
        <w:trPr/>
        <w:tc>
          <w:tcPr>
            <w:tcW w:w="72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Days Supply</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 inventory</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inventory</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Days supply of inventory is calculated based on new and used inventory, in units, at the end of each reporting period and a 30-day historical unit sales.</w:t>
      </w:r>
    </w:p>
    <w:p>
      <w:pPr>
        <w:pStyle w:val="TextBody"/>
        <w:bidi w:val="0"/>
        <w:spacing w:before="260" w:after="283"/>
        <w:jc w:val="left"/>
        <w:rPr/>
      </w:pPr>
      <w:r>
        <w:rPr/>
      </w:r>
    </w:p>
    <w:p>
      <w:pPr>
        <w:pStyle w:val="TextBody"/>
        <w:bidi w:val="0"/>
        <w:spacing w:before="260" w:after="283"/>
        <w:jc w:val="left"/>
        <w:rPr/>
      </w:pPr>
      <w:r>
        <w:rPr/>
      </w:r>
    </w:p>
    <w:p>
      <w:pPr>
        <w:pStyle w:val="TextBody"/>
        <w:bidi w:val="0"/>
        <w:spacing w:before="260" w:after="283"/>
        <w:jc w:val="left"/>
        <w:rPr/>
      </w:pPr>
      <w:r>
        <w:rPr/>
      </w:r>
    </w:p>
    <w:p>
      <w:pPr>
        <w:pStyle w:val="TextBody"/>
        <w:bidi w:val="0"/>
        <w:spacing w:before="260" w:after="283"/>
        <w:jc w:val="left"/>
        <w:rPr/>
      </w:pPr>
      <w:r>
        <w:rPr/>
      </w:r>
    </w:p>
    <w:p>
      <w:pPr>
        <w:pStyle w:val="TextBody"/>
        <w:bidi w:val="0"/>
        <w:spacing w:before="260" w:after="283"/>
        <w:jc w:val="left"/>
        <w:rPr/>
      </w:pPr>
      <w:r>
        <w:rPr/>
      </w:r>
    </w:p>
    <w:p>
      <w:pPr>
        <w:pStyle w:val="TextBody"/>
        <w:bidi w:val="0"/>
        <w:spacing w:before="260" w:after="283"/>
        <w:jc w:val="left"/>
        <w:rPr/>
      </w:pPr>
      <w:r>
        <w:rPr/>
      </w:r>
    </w:p>
    <w:p>
      <w:pPr>
        <w:pStyle w:val="TextBody"/>
        <w:bidi w:val="0"/>
        <w:spacing w:before="260" w:after="283"/>
        <w:jc w:val="left"/>
        <w:rPr/>
      </w:pPr>
      <w:r>
        <w:rPr/>
      </w:r>
    </w:p>
    <w:p>
      <w:pPr>
        <w:pStyle w:val="TextBody"/>
        <w:bidi w:val="0"/>
        <w:spacing w:before="260" w:after="283"/>
        <w:jc w:val="left"/>
        <w:rPr/>
      </w:pPr>
      <w:r>
        <w:rPr/>
      </w:r>
    </w:p>
    <w:p>
      <w:pPr>
        <w:pStyle w:val="TextBody"/>
        <w:bidi w:val="0"/>
        <w:spacing w:before="260" w:after="283"/>
        <w:jc w:val="left"/>
        <w:rPr/>
      </w:pPr>
      <w:r>
        <w:rPr/>
      </w:r>
    </w:p>
    <w:p>
      <w:pPr>
        <w:pStyle w:val="TextBody"/>
        <w:bidi w:val="0"/>
        <w:spacing w:before="2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60" w:after="283"/>
        <w:jc w:val="left"/>
        <w:rPr>
          <w:rFonts w:ascii="Times New Roman;serif" w:hAnsi="Times New Roman;serif"/>
          <w:b w:val="false"/>
          <w:i/>
          <w:color w:val="000000"/>
          <w:sz w:val="20"/>
        </w:rPr>
      </w:pPr>
      <w:r>
        <w:rPr>
          <w:rFonts w:ascii="Times New Roman;serif" w:hAnsi="Times New Roman;serif"/>
          <w:b w:val="false"/>
          <w:i/>
          <w:color w:val="000000"/>
          <w:sz w:val="20"/>
        </w:rPr>
        <w:t>Brand Mix - New Vehicle Revenue by Brand</w:t>
      </w:r>
    </w:p>
    <w:tbl>
      <w:tblPr>
        <w:tblW w:w="5752" w:type="dxa"/>
        <w:jc w:val="center"/>
        <w:tblInd w:w="0" w:type="dxa"/>
        <w:tblLayout w:type="fixed"/>
        <w:tblCellMar>
          <w:top w:w="28" w:type="dxa"/>
          <w:left w:w="28" w:type="dxa"/>
          <w:bottom w:w="28" w:type="dxa"/>
          <w:right w:w="28" w:type="dxa"/>
        </w:tblCellMar>
      </w:tblPr>
      <w:tblGrid>
        <w:gridCol w:w="878"/>
        <w:gridCol w:w="772"/>
        <w:gridCol w:w="779"/>
        <w:gridCol w:w="268"/>
        <w:gridCol w:w="268"/>
        <w:gridCol w:w="668"/>
        <w:gridCol w:w="268"/>
        <w:gridCol w:w="268"/>
        <w:gridCol w:w="268"/>
        <w:gridCol w:w="268"/>
        <w:gridCol w:w="268"/>
        <w:gridCol w:w="779"/>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Luxury</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Lexus</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Mercedes-Benz</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BMW</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Porsche</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Rover</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luxury</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luxury</w:t>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Imports</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Toyota</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Honda</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Hyundai</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Kia</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imports</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imports</w:t>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Domestic</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Ford</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Chrysler, Dodge, Jeep, Ram</w:t>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Chevrolet, Buick, GMC</w:t>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domestic</w:t>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New Vehicle Revenue</w:t>
            </w:r>
          </w:p>
        </w:tc>
        <w:tc>
          <w:tcPr>
            <w:tcW w:w="5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5762" w:type="dxa"/>
        <w:jc w:val="center"/>
        <w:tblInd w:w="0" w:type="dxa"/>
        <w:tblLayout w:type="fixed"/>
        <w:tblCellMar>
          <w:top w:w="28" w:type="dxa"/>
          <w:left w:w="28" w:type="dxa"/>
          <w:bottom w:w="28" w:type="dxa"/>
          <w:right w:w="28" w:type="dxa"/>
        </w:tblCellMar>
      </w:tblPr>
      <w:tblGrid>
        <w:gridCol w:w="824"/>
        <w:gridCol w:w="726"/>
        <w:gridCol w:w="729"/>
        <w:gridCol w:w="323"/>
        <w:gridCol w:w="293"/>
        <w:gridCol w:w="668"/>
        <w:gridCol w:w="268"/>
        <w:gridCol w:w="268"/>
        <w:gridCol w:w="268"/>
        <w:gridCol w:w="323"/>
        <w:gridCol w:w="293"/>
        <w:gridCol w:w="779"/>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Revenue mix</w:t>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Gross profit mix</w:t>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wholesale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ASBURY AUTOMOTIVE GROUP, INC.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HIGHLIGHTS-CONSOLIDATED (In millions) </w:t>
      </w:r>
    </w:p>
    <w:p>
      <w:pPr>
        <w:pStyle w:val="TextBody"/>
        <w:bidi w:val="0"/>
        <w:spacing w:lineRule="auto" w:line="288" w:before="0" w:after="0"/>
        <w:jc w:val="left"/>
        <w:rPr/>
      </w:pPr>
      <w:r>
        <w:rPr>
          <w:rFonts w:ascii="Times New Roman;serif" w:hAnsi="Times New Roman;serif"/>
          <w:b w:val="false"/>
          <w:color w:val="000000"/>
          <w:sz w:val="20"/>
        </w:rPr>
        <w:t>(Unaudited</w:t>
      </w:r>
      <w:r>
        <w:rPr>
          <w:rFonts w:ascii="Times New Roman;serif" w:hAnsi="Times New Roman;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836"/>
        <w:gridCol w:w="519"/>
        <w:gridCol w:w="523"/>
        <w:gridCol w:w="215"/>
        <w:gridCol w:w="781"/>
        <w:gridCol w:w="276"/>
        <w:gridCol w:w="111"/>
        <w:gridCol w:w="111"/>
        <w:gridCol w:w="111"/>
        <w:gridCol w:w="215"/>
        <w:gridCol w:w="781"/>
        <w:gridCol w:w="276"/>
        <w:gridCol w:w="109"/>
        <w:gridCol w:w="109"/>
        <w:gridCol w:w="109"/>
        <w:gridCol w:w="198"/>
        <w:gridCol w:w="198"/>
        <w:gridCol w:w="397"/>
        <w:gridCol w:w="109"/>
        <w:gridCol w:w="109"/>
        <w:gridCol w:w="109"/>
        <w:gridCol w:w="211"/>
        <w:gridCol w:w="766"/>
        <w:gridCol w:w="271"/>
        <w:gridCol w:w="109"/>
        <w:gridCol w:w="109"/>
        <w:gridCol w:w="109"/>
        <w:gridCol w:w="211"/>
        <w:gridCol w:w="766"/>
        <w:gridCol w:w="271"/>
        <w:gridCol w:w="109"/>
        <w:gridCol w:w="109"/>
        <w:gridCol w:w="109"/>
        <w:gridCol w:w="197"/>
        <w:gridCol w:w="197"/>
        <w:gridCol w:w="459"/>
      </w:tblGrid>
      <w:tr>
        <w:trPr/>
        <w:tc>
          <w:tcPr>
            <w:tcW w:w="83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br/>
              <w:t>Change</w:t>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Revenue</w:t>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vehicle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vehicle:</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used vehicle</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1,285.8 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Parts and service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and insurance,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4,373.1 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Gross profit</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vehicle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vehicle:</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used vehicle</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Parts and service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and insurance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profit</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Unit sales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vehicle:</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Luxury</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Import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new vehicle</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44,245 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44,437 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vehicle retail</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to new ratio</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Average selling price</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vehicle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vehicle retail</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Average gross profit per unit</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vehicle:</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Luxury</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Import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new vehicle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vehicle retail</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and insurance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Front end yield (1)</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Gross margin</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new vehicle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bps</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Used vehicle retail</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c1bb1440315944cc95391f873c679b4d_42-1-1"/>
            <w:bookmarkEnd w:id="0"/>
            <w:r>
              <w:rPr>
                <w:rFonts w:ascii="Times New Roman;serif" w:hAnsi="Times New Roman;serif"/>
                <w:b w:val="false"/>
                <w:color w:val="000000"/>
                <w:sz w:val="20"/>
              </w:rPr>
              <w:t>6.1 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bps</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Parts and service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bps</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profit margin</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bps</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Operating expenses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selling, general and administrative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SG&amp;A as a % of gross profit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bps</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SG&amp;A as a % of gross profit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1" w:name="ic1bb1440315944cc95391f873c679b4d_49-11-"/>
            <w:bookmarkEnd w:id="1"/>
            <w:r>
              <w:rPr>
                <w:rFonts w:ascii="Times New Roman;serif" w:hAnsi="Times New Roman;serif"/>
                <w:b w:val="false"/>
                <w:color w:val="000000"/>
                <w:sz w:val="20"/>
              </w:rPr>
              <w:t>345 bps</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as a % of revenue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bps</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as a % of gross profit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bps</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income from operations as a % of revenue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bps</w:t>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income from operations as a % of gross profit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bps</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 Front end yield is calculated as gross profit from new vehicles, used retail vehicles and finance and insurance (net), divided by combined new and used retail unit sales.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ASBURY AUTOMOTIVE GROUP, INC.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SAME STORE OPERATING HIGHLIGHTS-CONSOLIDATED (In millions)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71"/>
        <w:gridCol w:w="450"/>
        <w:gridCol w:w="452"/>
        <w:gridCol w:w="217"/>
        <w:gridCol w:w="790"/>
        <w:gridCol w:w="279"/>
        <w:gridCol w:w="112"/>
        <w:gridCol w:w="112"/>
        <w:gridCol w:w="112"/>
        <w:gridCol w:w="217"/>
        <w:gridCol w:w="790"/>
        <w:gridCol w:w="279"/>
        <w:gridCol w:w="109"/>
        <w:gridCol w:w="109"/>
        <w:gridCol w:w="109"/>
        <w:gridCol w:w="194"/>
        <w:gridCol w:w="194"/>
        <w:gridCol w:w="418"/>
        <w:gridCol w:w="109"/>
        <w:gridCol w:w="109"/>
        <w:gridCol w:w="109"/>
        <w:gridCol w:w="214"/>
        <w:gridCol w:w="777"/>
        <w:gridCol w:w="275"/>
        <w:gridCol w:w="110"/>
        <w:gridCol w:w="110"/>
        <w:gridCol w:w="110"/>
        <w:gridCol w:w="214"/>
        <w:gridCol w:w="777"/>
        <w:gridCol w:w="275"/>
        <w:gridCol w:w="109"/>
        <w:gridCol w:w="109"/>
        <w:gridCol w:w="109"/>
        <w:gridCol w:w="194"/>
        <w:gridCol w:w="194"/>
        <w:gridCol w:w="487"/>
      </w:tblGrid>
      <w:tr>
        <w:trPr/>
        <w:tc>
          <w:tcPr>
            <w:tcW w:w="87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br/>
              <w:t>Change</w:t>
            </w:r>
          </w:p>
        </w:tc>
      </w:tr>
      <w:tr>
        <w:trPr/>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Revenue</w:t>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used vehicle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1,052.5 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2,055.0 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2,318.3 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3,764.8 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4,032.2 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7,238.6 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7,842.5 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Gross profit</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used vehicle</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1,258.9 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Unit sales</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new vehicle</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38,908 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41,597 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73,160 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80,193 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to new ratio</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Average selling price</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Average gross profit per unit</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Luxury</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Front end yield (1)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Gross margin</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vehicle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bps</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 retail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bps</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bps</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 margin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bps</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Operating expenses</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selling, general and administrative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as a % of gross profit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bps</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as a % of gross profit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bps</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 Front end yield is calculated as gross profit from new vehicles, used retail vehicles and finance and insurance (net), divided by combined new and used retail unit sales.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ASBURY AUTOMOTIVE GROUP, INC.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SEGMENT REPORTING (Unaudited)</w:t>
      </w:r>
    </w:p>
    <w:tbl>
      <w:tblPr>
        <w:tblW w:w="10205" w:type="dxa"/>
        <w:jc w:val="left"/>
        <w:tblInd w:w="0" w:type="dxa"/>
        <w:tblLayout w:type="fixed"/>
        <w:tblCellMar>
          <w:top w:w="28" w:type="dxa"/>
          <w:left w:w="28" w:type="dxa"/>
          <w:bottom w:w="28" w:type="dxa"/>
          <w:right w:w="28" w:type="dxa"/>
        </w:tblCellMar>
      </w:tblPr>
      <w:tblGrid>
        <w:gridCol w:w="1106"/>
        <w:gridCol w:w="687"/>
        <w:gridCol w:w="691"/>
        <w:gridCol w:w="211"/>
        <w:gridCol w:w="769"/>
        <w:gridCol w:w="109"/>
        <w:gridCol w:w="109"/>
        <w:gridCol w:w="109"/>
        <w:gridCol w:w="109"/>
        <w:gridCol w:w="211"/>
        <w:gridCol w:w="513"/>
        <w:gridCol w:w="109"/>
        <w:gridCol w:w="109"/>
        <w:gridCol w:w="109"/>
        <w:gridCol w:w="109"/>
        <w:gridCol w:w="211"/>
        <w:gridCol w:w="769"/>
        <w:gridCol w:w="109"/>
        <w:gridCol w:w="109"/>
        <w:gridCol w:w="109"/>
        <w:gridCol w:w="109"/>
        <w:gridCol w:w="211"/>
        <w:gridCol w:w="769"/>
        <w:gridCol w:w="109"/>
        <w:gridCol w:w="109"/>
        <w:gridCol w:w="109"/>
        <w:gridCol w:w="109"/>
        <w:gridCol w:w="211"/>
        <w:gridCol w:w="513"/>
        <w:gridCol w:w="109"/>
        <w:gridCol w:w="109"/>
        <w:gridCol w:w="109"/>
        <w:gridCol w:w="109"/>
        <w:gridCol w:w="211"/>
        <w:gridCol w:w="769"/>
        <w:gridCol w:w="173"/>
      </w:tblGrid>
      <w:tr>
        <w:trPr/>
        <w:tc>
          <w:tcPr>
            <w:tcW w:w="110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 2025</w:t>
            </w:r>
          </w:p>
        </w:tc>
      </w:tr>
      <w:tr>
        <w:trPr/>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F&amp;I</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w:t>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4,447.3 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4,373.1 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operating income</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 eliminations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cost of sales eliminations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Deferral of SG&amp;A expense (related to capitalized contract costs offset by amortization)</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eliminations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*Segment operating income is calculated as GAAP operating income, excluding the effects of asset impairments and including floor plan interest expense.</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50"/>
        <w:gridCol w:w="626"/>
        <w:gridCol w:w="631"/>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56"/>
      </w:tblGrid>
      <w:tr>
        <w:trPr/>
        <w:tc>
          <w:tcPr>
            <w:tcW w:w="105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 2025</w:t>
            </w:r>
          </w:p>
        </w:tc>
      </w:tr>
      <w:tr>
        <w:trPr/>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Dealerships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F&amp;I</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vehicle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Used vehicle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insurance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related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selling, general and administrative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 plan 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operating income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revenue eliminations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cost of sales eliminations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Deferral of SG&amp;A expense (related to capitalized contract costs offset by amortization)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intersegment eliminations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 net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*Segment operating income is calculated as GAAP operating income, excluding the effects of asset impairments and including floor plan interest expense.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ASBURY AUTOMOTIVE GROUP, INC.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Disclosures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(Unaudited) </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reconciliations for our non-GAAP metrics:</w:t>
      </w:r>
    </w:p>
    <w:tbl>
      <w:tblPr>
        <w:tblW w:w="10205" w:type="dxa"/>
        <w:jc w:val="left"/>
        <w:tblInd w:w="0" w:type="dxa"/>
        <w:tblLayout w:type="fixed"/>
        <w:tblCellMar>
          <w:top w:w="28" w:type="dxa"/>
          <w:left w:w="28" w:type="dxa"/>
          <w:bottom w:w="28" w:type="dxa"/>
          <w:right w:w="28" w:type="dxa"/>
        </w:tblCellMar>
      </w:tblPr>
      <w:tblGrid>
        <w:gridCol w:w="1891"/>
        <w:gridCol w:w="1448"/>
        <w:gridCol w:w="1458"/>
        <w:gridCol w:w="234"/>
        <w:gridCol w:w="687"/>
        <w:gridCol w:w="121"/>
        <w:gridCol w:w="109"/>
        <w:gridCol w:w="109"/>
        <w:gridCol w:w="109"/>
        <w:gridCol w:w="234"/>
        <w:gridCol w:w="687"/>
        <w:gridCol w:w="121"/>
        <w:gridCol w:w="109"/>
        <w:gridCol w:w="109"/>
        <w:gridCol w:w="109"/>
        <w:gridCol w:w="214"/>
        <w:gridCol w:w="781"/>
        <w:gridCol w:w="111"/>
        <w:gridCol w:w="109"/>
        <w:gridCol w:w="109"/>
        <w:gridCol w:w="109"/>
        <w:gridCol w:w="229"/>
        <w:gridCol w:w="833"/>
        <w:gridCol w:w="175"/>
      </w:tblGrid>
      <w:tr>
        <w:trPr/>
        <w:tc>
          <w:tcPr>
            <w:tcW w:w="189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Twelve Months Ended</w:t>
            </w:r>
          </w:p>
        </w:tc>
      </w:tr>
      <w:tr>
        <w:trPr/>
        <w:tc>
          <w:tcPr>
            <w:tcW w:w="4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4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Adjusted leverage ratio:</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short term investments, and floor plan offset</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TCA cash</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our used vehicle floor plan facility</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Adjusted long-term net debt</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3,150.7 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 of earnings before interest, taxes, depreciation and amortization ("EBITDA"):</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Swap and other interest expense</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taxes, depreciation and amortization ("EBITDA")</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Non-core items - expense (income):</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dealership divestitures, net</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Weather-related losses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recovery</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associated with acquisition</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Tekion implementation expenses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Duplicative DMS-related expenses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write-off</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non-core items</w:t>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dealership acquisitions and divestitures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adjusted EBITDA</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adjusted net leverage ratio</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379" w:type="dxa"/>
        <w:jc w:val="left"/>
        <w:tblInd w:w="0" w:type="dxa"/>
        <w:tblLayout w:type="fixed"/>
        <w:tblCellMar>
          <w:top w:w="28" w:type="dxa"/>
          <w:left w:w="28" w:type="dxa"/>
          <w:bottom w:w="28" w:type="dxa"/>
          <w:right w:w="28" w:type="dxa"/>
        </w:tblCellMar>
      </w:tblPr>
      <w:tblGrid>
        <w:gridCol w:w="397"/>
        <w:gridCol w:w="349"/>
        <w:gridCol w:w="350"/>
        <w:gridCol w:w="196"/>
        <w:gridCol w:w="556"/>
        <w:gridCol w:w="241"/>
        <w:gridCol w:w="109"/>
        <w:gridCol w:w="109"/>
        <w:gridCol w:w="109"/>
        <w:gridCol w:w="255"/>
        <w:gridCol w:w="608"/>
        <w:gridCol w:w="143"/>
        <w:gridCol w:w="109"/>
        <w:gridCol w:w="109"/>
        <w:gridCol w:w="109"/>
        <w:gridCol w:w="332"/>
        <w:gridCol w:w="789"/>
        <w:gridCol w:w="185"/>
        <w:gridCol w:w="109"/>
        <w:gridCol w:w="109"/>
        <w:gridCol w:w="109"/>
        <w:gridCol w:w="312"/>
        <w:gridCol w:w="744"/>
        <w:gridCol w:w="175"/>
        <w:gridCol w:w="109"/>
        <w:gridCol w:w="109"/>
        <w:gridCol w:w="109"/>
        <w:gridCol w:w="263"/>
        <w:gridCol w:w="626"/>
        <w:gridCol w:w="147"/>
        <w:gridCol w:w="109"/>
        <w:gridCol w:w="109"/>
        <w:gridCol w:w="109"/>
        <w:gridCol w:w="196"/>
        <w:gridCol w:w="406"/>
        <w:gridCol w:w="109"/>
        <w:gridCol w:w="109"/>
        <w:gridCol w:w="109"/>
        <w:gridCol w:w="109"/>
        <w:gridCol w:w="196"/>
        <w:gridCol w:w="556"/>
        <w:gridCol w:w="286"/>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For the Three Months Ended June 30, 2026</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Asset impairments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Weather-related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Tekion implementation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Duplicative DMS-related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Income 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Non-GAAP adjusted</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millions, except per share data)</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Selling, general and administrative (SG&amp;A)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from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 outstanding - diluted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EPS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SG&amp;A as a % of gross profit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from operations as a %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SG&amp;A (Same Store)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SG&amp;A as a % of gross profit (Same Store)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625"/>
        <w:gridCol w:w="549"/>
        <w:gridCol w:w="551"/>
        <w:gridCol w:w="196"/>
        <w:gridCol w:w="556"/>
        <w:gridCol w:w="241"/>
        <w:gridCol w:w="109"/>
        <w:gridCol w:w="109"/>
        <w:gridCol w:w="109"/>
        <w:gridCol w:w="336"/>
        <w:gridCol w:w="826"/>
        <w:gridCol w:w="188"/>
        <w:gridCol w:w="109"/>
        <w:gridCol w:w="109"/>
        <w:gridCol w:w="109"/>
        <w:gridCol w:w="229"/>
        <w:gridCol w:w="607"/>
        <w:gridCol w:w="127"/>
        <w:gridCol w:w="109"/>
        <w:gridCol w:w="109"/>
        <w:gridCol w:w="109"/>
        <w:gridCol w:w="380"/>
        <w:gridCol w:w="905"/>
        <w:gridCol w:w="214"/>
        <w:gridCol w:w="109"/>
        <w:gridCol w:w="109"/>
        <w:gridCol w:w="109"/>
        <w:gridCol w:w="236"/>
        <w:gridCol w:w="489"/>
        <w:gridCol w:w="131"/>
        <w:gridCol w:w="109"/>
        <w:gridCol w:w="109"/>
        <w:gridCol w:w="109"/>
        <w:gridCol w:w="221"/>
        <w:gridCol w:w="629"/>
        <w:gridCol w:w="33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For the Three Months Ended June 30, 2025</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Gain on dealership 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Insurance recovery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Professional fees associated with 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Income 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Non-GAAP adjusted</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millions, except per share data)</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Selling, general and administrative (SG&amp;A)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478.2 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from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 outstanding - diluted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EPS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SG&amp;A as a % of gross profit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63.6 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from operations as a %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SG&amp;A (Same Store)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439.5 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SG&amp;A as a % of gross profit (Same Store)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63.2 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before="18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1877" w:type="dxa"/>
        <w:jc w:val="left"/>
        <w:tblInd w:w="0" w:type="dxa"/>
        <w:tblLayout w:type="fixed"/>
        <w:tblCellMar>
          <w:top w:w="28" w:type="dxa"/>
          <w:left w:w="28" w:type="dxa"/>
          <w:bottom w:w="28" w:type="dxa"/>
          <w:right w:w="28" w:type="dxa"/>
        </w:tblCellMar>
      </w:tblPr>
      <w:tblGrid>
        <w:gridCol w:w="397"/>
        <w:gridCol w:w="349"/>
        <w:gridCol w:w="350"/>
        <w:gridCol w:w="196"/>
        <w:gridCol w:w="691"/>
        <w:gridCol w:w="241"/>
        <w:gridCol w:w="109"/>
        <w:gridCol w:w="109"/>
        <w:gridCol w:w="109"/>
        <w:gridCol w:w="218"/>
        <w:gridCol w:w="636"/>
        <w:gridCol w:w="122"/>
        <w:gridCol w:w="109"/>
        <w:gridCol w:w="109"/>
        <w:gridCol w:w="109"/>
        <w:gridCol w:w="255"/>
        <w:gridCol w:w="608"/>
        <w:gridCol w:w="143"/>
        <w:gridCol w:w="109"/>
        <w:gridCol w:w="109"/>
        <w:gridCol w:w="109"/>
        <w:gridCol w:w="332"/>
        <w:gridCol w:w="789"/>
        <w:gridCol w:w="185"/>
        <w:gridCol w:w="109"/>
        <w:gridCol w:w="109"/>
        <w:gridCol w:w="109"/>
        <w:gridCol w:w="306"/>
        <w:gridCol w:w="753"/>
        <w:gridCol w:w="172"/>
        <w:gridCol w:w="109"/>
        <w:gridCol w:w="109"/>
        <w:gridCol w:w="109"/>
        <w:gridCol w:w="263"/>
        <w:gridCol w:w="626"/>
        <w:gridCol w:w="147"/>
        <w:gridCol w:w="109"/>
        <w:gridCol w:w="109"/>
        <w:gridCol w:w="109"/>
        <w:gridCol w:w="196"/>
        <w:gridCol w:w="466"/>
        <w:gridCol w:w="109"/>
        <w:gridCol w:w="109"/>
        <w:gridCol w:w="109"/>
        <w:gridCol w:w="109"/>
        <w:gridCol w:w="196"/>
        <w:gridCol w:w="556"/>
        <w:gridCol w:w="286"/>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For the Six Months Ended June 30, 2026</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Gain on dealership 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Asset impairments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Weather-related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Tekion implementation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Duplicative DMS-related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Income 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Non-GAAP adjusted</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1"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millions, except per share data)</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Selling, general and administrative (SG&amp;A)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from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 outstanding - diluted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EPS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SG&amp;A as a % of gross profit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from operations as a % of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SG&amp;A (Same Store)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SG&amp;A as a % of gross profit (Same Store)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466"/>
        <w:gridCol w:w="409"/>
        <w:gridCol w:w="411"/>
        <w:gridCol w:w="196"/>
        <w:gridCol w:w="556"/>
        <w:gridCol w:w="241"/>
        <w:gridCol w:w="109"/>
        <w:gridCol w:w="109"/>
        <w:gridCol w:w="109"/>
        <w:gridCol w:w="271"/>
        <w:gridCol w:w="666"/>
        <w:gridCol w:w="151"/>
        <w:gridCol w:w="109"/>
        <w:gridCol w:w="109"/>
        <w:gridCol w:w="109"/>
        <w:gridCol w:w="262"/>
        <w:gridCol w:w="625"/>
        <w:gridCol w:w="147"/>
        <w:gridCol w:w="109"/>
        <w:gridCol w:w="109"/>
        <w:gridCol w:w="109"/>
        <w:gridCol w:w="206"/>
        <w:gridCol w:w="536"/>
        <w:gridCol w:w="114"/>
        <w:gridCol w:w="109"/>
        <w:gridCol w:w="109"/>
        <w:gridCol w:w="109"/>
        <w:gridCol w:w="290"/>
        <w:gridCol w:w="691"/>
        <w:gridCol w:w="164"/>
        <w:gridCol w:w="109"/>
        <w:gridCol w:w="109"/>
        <w:gridCol w:w="109"/>
        <w:gridCol w:w="208"/>
        <w:gridCol w:w="431"/>
        <w:gridCol w:w="115"/>
        <w:gridCol w:w="109"/>
        <w:gridCol w:w="109"/>
        <w:gridCol w:w="109"/>
        <w:gridCol w:w="203"/>
        <w:gridCol w:w="578"/>
        <w:gridCol w:w="306"/>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For the Six Months Ended June 30, 2025</w:t>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Gain on dealership divestitures,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Asset impairments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Insurance recovery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Professional fees associated with 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Income 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Non-GAAP adjusted</w:t>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millions, except per share data)</w:t>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Selling, general and administrative (SG&amp;A)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941.8 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from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496.1 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280.6 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 outstanding - diluted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EPS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SG&amp;A as a % of gross profit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63.8 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from operations as a %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SG&amp;A (Same Store)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864.0 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SG&amp;A as a % of gross profit (Same Store)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63.3 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50"/>
        <w:gridCol w:w="2378"/>
        <w:gridCol w:w="2385"/>
        <w:gridCol w:w="252"/>
        <w:gridCol w:w="738"/>
        <w:gridCol w:w="130"/>
        <w:gridCol w:w="130"/>
        <w:gridCol w:w="130"/>
        <w:gridCol w:w="130"/>
        <w:gridCol w:w="252"/>
        <w:gridCol w:w="738"/>
        <w:gridCol w:w="192"/>
      </w:tblGrid>
      <w:tr>
        <w:trPr/>
        <w:tc>
          <w:tcPr>
            <w:tcW w:w="2750"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7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Adjusted cash flow from operations:</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Floor Plan Notes Payable—Non-Trade, net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Floor Plan Notes Payable—Non-Trade associated with floor plan offset, used vehicle borrowing base changes adjusted for acquisitions and divestitures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Floor Plan Notes Payable—Trade associated with floor plan offset, adjusted for acquisitions and divestitures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cash flow provided by operating activities</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6373</Words>
  <Characters>32607</Characters>
  <CharactersWithSpaces>37764</CharactersWithSpaces>
  <Paragraphs>2480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