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Briesemeister Nathan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ASBURY AUTOMOTIVE GROUP 6655 PEACHTREE DUNWOODY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30328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660"/>
              <w:spacing w:after="0" w:line="185" w:lineRule="exact"/>
              <w:rPr>
                <w:sz w:val="20"/>
                <w:szCs w:val="20"/>
                <w:color w:val="auto"/>
              </w:rPr>
            </w:pPr>
            <w:r>
              <w:rPr>
                <w:rFonts w:ascii="Times New Roman" w:cs="Times New Roman" w:eastAsia="Times New Roman" w:hAnsi="Times New Roman"/>
                <w:sz w:val="17"/>
                <w:szCs w:val="17"/>
                <w:color w:val="0000FF"/>
              </w:rPr>
              <w:t>VP, Controller &amp; CAO</w:t>
            </w: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03/05/2026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right="61"/>
              <w:spacing w:after="0" w:line="320" w:lineRule="exact"/>
              <w:rPr>
                <w:sz w:val="20"/>
                <w:szCs w:val="20"/>
                <w:color w:val="auto"/>
              </w:rPr>
            </w:pPr>
            <w:r>
              <w:rPr>
                <w:rFonts w:ascii="Times New Roman" w:cs="Times New Roman" w:eastAsia="Times New Roman" w:hAnsi="Times New Roman"/>
                <w:sz w:val="34"/>
                <w:szCs w:val="34"/>
                <w:color w:val="0000FF"/>
                <w:vertAlign w:val="subscript"/>
              </w:rPr>
              <w:t>254</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2,049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121"/>
              <w:spacing w:after="0" w:line="320" w:lineRule="exact"/>
              <w:rPr>
                <w:sz w:val="20"/>
                <w:szCs w:val="20"/>
                <w:color w:val="auto"/>
              </w:rPr>
            </w:pPr>
            <w:r>
              <w:rPr>
                <w:rFonts w:ascii="Times New Roman" w:cs="Times New Roman" w:eastAsia="Times New Roman" w:hAnsi="Times New Roman"/>
                <w:sz w:val="34"/>
                <w:szCs w:val="34"/>
                <w:color w:val="0000FF"/>
                <w:vertAlign w:val="subscript"/>
              </w:rPr>
              <w:t>25</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212.48</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2,024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5, 2026. Each performance share unit converts into one share of the Issuer's common stock upon vesting. One-third of the performance share units granted on February 19, 2025 vested upon certification of the objectives having been met, which occurred on March 5, 2026, an additional one-third vests on February 19, 2027 and the remaining one-third vests on February 19, 2028.</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19,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763"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2026-03-09T15:54:03Z</dcterms:created>
  <dcterms:modified xsi:type="dcterms:W3CDTF">2026-03-09T15:54:03Z</dcterms:modified>
</cp:coreProperties>
</file>