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Welch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ASBURY AUTOMOTIVE GROUP 6655 PEACHTREE DUNWOODY ROAD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30328</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ASBURY AUTOMOTIVE GROUP INC </w:t>
              </w:r>
            </w:hyperlink>
            <w:r>
              <w:rPr>
                <w:rFonts w:ascii="Times New Roman" w:cs="Times New Roman" w:eastAsia="Times New Roman" w:hAnsi="Times New Roman"/>
                <w:sz w:val="21"/>
                <w:szCs w:val="21"/>
                <w:color w:val="000000"/>
              </w:rPr>
              <w:t>[</w:t>
            </w:r>
          </w:p>
        </w:tc>
        <w:tc>
          <w:tcPr>
            <w:tcW w:w="21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ABG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80" w:type="dxa"/>
            <w:vAlign w:val="bottom"/>
          </w:tcPr>
          <w:p>
            <w:pPr>
              <w:ind w:left="4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52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ind w:left="400"/>
              <w:spacing w:after="0"/>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20" w:type="dxa"/>
            <w:vAlign w:val="bottom"/>
          </w:tcPr>
          <w:p>
            <w:pPr>
              <w:ind w:left="1020"/>
              <w:spacing w:after="0" w:line="185" w:lineRule="exact"/>
              <w:rPr>
                <w:sz w:val="20"/>
                <w:szCs w:val="20"/>
                <w:color w:val="auto"/>
              </w:rPr>
            </w:pPr>
            <w:r>
              <w:rPr>
                <w:rFonts w:ascii="Times New Roman" w:cs="Times New Roman" w:eastAsia="Times New Roman" w:hAnsi="Times New Roman"/>
                <w:sz w:val="17"/>
                <w:szCs w:val="17"/>
                <w:color w:val="0000FF"/>
              </w:rPr>
              <w:t>SVP &amp; CFO</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03/05/2026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03/05/2026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2,852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16,732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03/05/2026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423</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212.48</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16,309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performance share units upon the Issuer having met certain performance objectives, which objectives were certified as having been met on March 5, 2026. Each performance share unit converts into one share of the Issuer's common stock upon vesting. One-third of the performance share units granted on February 19, 2025 vested upon certification of the objectives having been met, which occurred on March 5, 2026, an additional one-third vests on February 19, 2027 and the remaining one-third vests on February 19, 2028.</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for payment of taxes upon the vesting of performance share units, and the conversion of such units into shares of the Issuer's common stock, granted on February 19,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/s/Dean Calloway, Attorney</w:t>
            </w:r>
          </w:p>
        </w:tc>
        <w:tc>
          <w:tcPr>
            <w:tcW w:w="1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03/09/2026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8454" TargetMode="External"/><Relationship Id="rId14" Type="http://schemas.openxmlformats.org/officeDocument/2006/relationships/hyperlink" Target="http://www.sec.gov/cgi-bin/browse-edgar?action=getcompany&amp;CIK=00011449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2026-03-09T15:54:57Z</dcterms:created>
  <dcterms:modified xsi:type="dcterms:W3CDTF">2026-03-09T15:54:57Z</dcterms:modified>
</cp:coreProperties>
</file>