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b6aa2ca3bafa44b0981a31a355b43715_7">
        <w:r>
          <w:rPr>
            <w:rStyle w:val="InternetLink"/>
          </w:rPr>
          <w:t xml:space="preserve">Table of </w:t>
        </w:r>
      </w:hyperlink>
      <w:hyperlink w:anchor="ib6aa2ca3bafa44b0981a31a355b43715_7">
        <w:r>
          <w:rPr>
            <w:rStyle w:val="InternetLink"/>
          </w:rPr>
          <w:t>Contents</w:t>
        </w:r>
      </w:hyperlink>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720"/>
        <w:jc w:val="center"/>
        <w:rPr>
          <w:rFonts w:ascii="Times New Roman;serif" w:hAnsi="Times New Roman;serif"/>
          <w:b/>
          <w:color w:val="000000"/>
          <w:sz w:val="36"/>
        </w:rPr>
      </w:pPr>
      <w:r>
        <w:rPr>
          <w:rFonts w:ascii="Times New Roman;serif" w:hAnsi="Times New Roman;serif"/>
          <w:b/>
          <w:color w:val="000000"/>
          <w:sz w:val="36"/>
        </w:rPr>
        <w:t xml:space="preserve">UNITED STATES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SECURITIES AND EXCHANGE COMMISSION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Washington, D.C. 20549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erif" w:hAnsi="Times New Roman;serif"/>
          <w:b/>
          <w:color w:val="000000"/>
          <w:sz w:val="36"/>
        </w:rPr>
      </w:pPr>
      <w:r>
        <w:rPr>
          <w:rFonts w:ascii="Times New Roman;serif" w:hAnsi="Times New Roman;serif"/>
          <w:b/>
          <w:color w:val="000000"/>
          <w:sz w:val="36"/>
        </w:rPr>
        <w:t xml:space="preserve">FORM 10-Q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QUARTERLY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quarterly period ended March 31, 2026</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 xml:space="preserve">OR </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TRANSITION REPORT PURSUANT TO SECTION 13 OR 15(d) OF THE SECURITIES EXCHANGE ACT OF 1934</w:t>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transition period from              to</w:t>
      </w:r>
    </w:p>
    <w:p>
      <w:pPr>
        <w:pStyle w:val="TextBody"/>
        <w:bidi w:val="0"/>
        <w:spacing w:lineRule="auto" w:line="288" w:before="0" w:after="0"/>
        <w:jc w:val="center"/>
        <w:rPr/>
      </w:pPr>
      <w:r>
        <w:rPr>
          <w:rFonts w:ascii="Times New Roman;serif" w:hAnsi="Times New Roman;serif"/>
          <w:b/>
          <w:color w:val="000000"/>
          <w:sz w:val="20"/>
        </w:rPr>
        <w:t xml:space="preserve">Commission file number: 001-31262 </w:t>
      </w: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erif" w:hAnsi="Times New Roman;serif"/>
          <w:b/>
          <w:color w:val="000000"/>
          <w:sz w:val="48"/>
        </w:rPr>
      </w:pPr>
      <w:r>
        <w:rPr>
          <w:rFonts w:ascii="Times New Roman;serif" w:hAnsi="Times New Roman;serif"/>
          <w:b/>
          <w:color w:val="000000"/>
          <w:sz w:val="48"/>
        </w:rPr>
        <w:t xml:space="preserve">ASBURY AUTOMOTIVE GROUP,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(Exact name of Registrant as specified in its charter)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5089" w:type="dxa"/>
        <w:jc w:val="center"/>
        <w:tblInd w:w="0" w:type="dxa"/>
        <w:tblLayout w:type="fixed"/>
        <w:tblCellMar>
          <w:top w:w="28" w:type="dxa"/>
          <w:left w:w="28" w:type="dxa"/>
          <w:bottom w:w="28" w:type="dxa"/>
          <w:right w:w="28" w:type="dxa"/>
        </w:tblCellMar>
      </w:tblPr>
      <w:tblGrid>
        <w:gridCol w:w="124"/>
        <w:gridCol w:w="109"/>
        <w:gridCol w:w="109"/>
        <w:gridCol w:w="470"/>
        <w:gridCol w:w="470"/>
        <w:gridCol w:w="470"/>
        <w:gridCol w:w="470"/>
        <w:gridCol w:w="470"/>
        <w:gridCol w:w="499"/>
        <w:gridCol w:w="109"/>
        <w:gridCol w:w="109"/>
        <w:gridCol w:w="109"/>
        <w:gridCol w:w="399"/>
        <w:gridCol w:w="399"/>
        <w:gridCol w:w="40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01-0609375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(I.R.S. Employer</w:t>
              <w:br/>
              <w:t>Identification No.)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6655 Peachtree Dunwoody Road</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color w:val="000000"/>
                <w:sz w:val="20"/>
              </w:rPr>
            </w:pPr>
            <w:r>
              <w:rPr>
                <w:rFonts w:ascii="Times New Roman;serif" w:hAnsi="Times New Roman;serif"/>
                <w:b/>
                <w:color w:val="000000"/>
                <w:sz w:val="20"/>
              </w:rPr>
              <w:t>Atlanta,</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Georgia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30328</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(Zip Code)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(770) 418-8200 </w:t>
      </w:r>
    </w:p>
    <w:p>
      <w:pPr>
        <w:pStyle w:val="TextBody"/>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 xml:space="preserve">(Registrant's telephone number, including area code)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Securities registered pursuant to Section 12(b) of the Act: </w:t>
      </w:r>
    </w:p>
    <w:tbl>
      <w:tblPr>
        <w:tblW w:w="8888" w:type="dxa"/>
        <w:jc w:val="left"/>
        <w:tblInd w:w="0" w:type="dxa"/>
        <w:tblLayout w:type="fixed"/>
        <w:tblCellMar>
          <w:top w:w="28" w:type="dxa"/>
          <w:left w:w="28" w:type="dxa"/>
          <w:bottom w:w="28" w:type="dxa"/>
          <w:right w:w="28" w:type="dxa"/>
        </w:tblCellMar>
      </w:tblPr>
      <w:tblGrid>
        <w:gridCol w:w="1252"/>
        <w:gridCol w:w="1100"/>
        <w:gridCol w:w="1113"/>
        <w:gridCol w:w="109"/>
        <w:gridCol w:w="109"/>
        <w:gridCol w:w="109"/>
        <w:gridCol w:w="314"/>
        <w:gridCol w:w="314"/>
        <w:gridCol w:w="316"/>
        <w:gridCol w:w="109"/>
        <w:gridCol w:w="109"/>
        <w:gridCol w:w="109"/>
        <w:gridCol w:w="1118"/>
        <w:gridCol w:w="1118"/>
        <w:gridCol w:w="1589"/>
      </w:tblGrid>
      <w:tr>
        <w:trPr/>
        <w:tc>
          <w:tcPr>
            <w:tcW w:w="1252"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34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ABG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lineRule="auto" w:line="288" w:before="0" w:after="0"/>
        <w:ind w:left="0" w:right="0" w:firstLine="495"/>
        <w:jc w:val="left"/>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20"/>
        </w:rPr>
        <w:t>x</w:t>
      </w:r>
      <w:r>
        <w:rPr>
          <w:color w:val="000000"/>
        </w:rPr>
        <w:t>    </w:t>
      </w:r>
      <w:r>
        <w:rPr>
          <w:rFonts w:ascii="Times New Roman;serif" w:hAnsi="Times New Roman;serif"/>
          <w:b w:val="false"/>
          <w:color w:val="000000"/>
          <w:sz w:val="20"/>
        </w:rPr>
        <w:t>No  </w:t>
      </w:r>
      <w:r>
        <w:rPr>
          <w:rFonts w:ascii="Wingdings;sans-serif" w:hAnsi="Wingdings;sans-serif"/>
          <w:b w:val="false"/>
          <w:color w:val="000000"/>
          <w:sz w:val="20"/>
        </w:rPr>
        <w:t>o</w:t>
      </w:r>
      <w:r>
        <w:rPr>
          <w:color w:val="000000"/>
        </w:rPr>
        <w:t xml:space="preserve"> </w:t>
      </w:r>
    </w:p>
    <w:p>
      <w:pPr>
        <w:pStyle w:val="TextBody"/>
        <w:bidi w:val="0"/>
        <w:spacing w:lineRule="auto" w:line="288" w:before="100" w:after="283"/>
        <w:ind w:left="0" w:right="0" w:firstLine="495"/>
        <w:jc w:val="left"/>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sans-serif" w:hAnsi="Wingdings;sans-serif"/>
          <w:b w:val="false"/>
          <w:color w:val="000000"/>
          <w:sz w:val="20"/>
        </w:rPr>
        <w:t>x</w:t>
      </w:r>
      <w:r>
        <w:rPr>
          <w:color w:val="000000"/>
        </w:rPr>
        <w:t>    </w:t>
      </w:r>
      <w:r>
        <w:rPr>
          <w:rFonts w:ascii="Times New Roman;serif" w:hAnsi="Times New Roman;serif"/>
          <w:b w:val="false"/>
          <w:color w:val="000000"/>
          <w:sz w:val="20"/>
        </w:rPr>
        <w:t>No  </w:t>
      </w:r>
      <w:r>
        <w:rPr>
          <w:rFonts w:ascii="Wingdings;sans-serif" w:hAnsi="Wingdings;sans-serif"/>
          <w:b w:val="false"/>
          <w:color w:val="000000"/>
          <w:sz w:val="20"/>
        </w:rPr>
        <w:t>o</w:t>
      </w:r>
    </w:p>
    <w:p>
      <w:pPr>
        <w:pStyle w:val="TextBody"/>
        <w:bidi w:val="0"/>
        <w:spacing w:lineRule="auto" w:line="288" w:before="10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466" w:type="dxa"/>
        <w:jc w:val="center"/>
        <w:tblInd w:w="0" w:type="dxa"/>
        <w:tblLayout w:type="fixed"/>
        <w:tblCellMar>
          <w:top w:w="28" w:type="dxa"/>
          <w:left w:w="28" w:type="dxa"/>
          <w:bottom w:w="28" w:type="dxa"/>
          <w:right w:w="28" w:type="dxa"/>
        </w:tblCellMar>
      </w:tblPr>
      <w:tblGrid>
        <w:gridCol w:w="727"/>
        <w:gridCol w:w="639"/>
        <w:gridCol w:w="643"/>
        <w:gridCol w:w="109"/>
        <w:gridCol w:w="109"/>
        <w:gridCol w:w="109"/>
        <w:gridCol w:w="109"/>
        <w:gridCol w:w="109"/>
        <w:gridCol w:w="109"/>
        <w:gridCol w:w="809"/>
        <w:gridCol w:w="809"/>
        <w:gridCol w:w="813"/>
        <w:gridCol w:w="109"/>
        <w:gridCol w:w="109"/>
        <w:gridCol w:w="154"/>
      </w:tblGrid>
      <w:tr>
        <w:trPr/>
        <w:tc>
          <w:tcPr>
            <w:tcW w:w="727"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b6aa2ca3bafa44b0981a31a355b43715_7">
        <w:r>
          <w:rPr>
            <w:rStyle w:val="InternetLink"/>
          </w:rPr>
          <w:t xml:space="preserve">Table of </w:t>
        </w:r>
      </w:hyperlink>
      <w:hyperlink w:anchor="ib6aa2ca3bafa44b0981a31a355b43715_7">
        <w:r>
          <w:rPr>
            <w:rStyle w:val="InternetLink"/>
          </w:rPr>
          <w:t>Contents</w:t>
        </w:r>
      </w:hyperlink>
    </w:p>
    <w:p>
      <w:pPr>
        <w:pStyle w:val="TextBody"/>
        <w:bidi w:val="0"/>
        <w:spacing w:lineRule="auto" w:line="288" w:before="0" w:after="0"/>
        <w:ind w:left="0" w:right="0" w:firstLine="495"/>
        <w:jc w:val="left"/>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p>
      <w:pPr>
        <w:pStyle w:val="TextBody"/>
        <w:bidi w:val="0"/>
        <w:spacing w:lineRule="auto" w:line="288" w:before="100" w:after="283"/>
        <w:ind w:left="0" w:right="0" w:firstLine="495"/>
        <w:jc w:val="left"/>
        <w:rPr/>
      </w:pPr>
      <w:r>
        <w:rPr>
          <w:rFonts w:ascii="Times New Roman;serif" w:hAnsi="Times New Roman;serif"/>
          <w:b w:val="false"/>
          <w:color w:val="000000"/>
          <w:sz w:val="20"/>
        </w:rPr>
        <w:t>Indicate by check mark whether the registrant is a shell company (as defined in Rule 12b-2 of the Exchange Act).    Yes  ☐    No  </w:t>
      </w:r>
      <w:r>
        <w:rPr>
          <w:rFonts w:ascii="Wingdings;sans-serif" w:hAnsi="Wingdings;sans-serif"/>
          <w:b w:val="false"/>
          <w:color w:val="000000"/>
          <w:sz w:val="20"/>
        </w:rPr>
        <w:t>x</w:t>
      </w:r>
      <w:r>
        <w:rPr>
          <w:color w:val="000000"/>
        </w:rPr>
        <w:t xml:space="preserve"> </w:t>
      </w:r>
    </w:p>
    <w:p>
      <w:pPr>
        <w:pStyle w:val="TextBody"/>
        <w:bidi w:val="0"/>
        <w:spacing w:lineRule="auto" w:line="288" w:before="10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Indicate the number of shares outstanding of each of the issuer's classes of common stock, as of the latest practicable date: The number of shares of common stock outstanding as of April 29, 2026 was 18,618,800.</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b6aa2ca3bafa44b0981a31a355b43715_7">
        <w:r>
          <w:rPr>
            <w:rStyle w:val="InternetLink"/>
          </w:rPr>
          <w:t xml:space="preserve">Table of </w:t>
        </w:r>
      </w:hyperlink>
      <w:hyperlink w:anchor="ib6aa2ca3bafa44b0981a31a355b43715_7">
        <w:r>
          <w:rPr>
            <w:rStyle w:val="InternetLink"/>
          </w:rPr>
          <w:t>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ASBURY AUTOMOTIVE GROUP,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TABLE OF CONTENTS</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303"/>
        <w:gridCol w:w="256"/>
        <w:gridCol w:w="237"/>
        <w:gridCol w:w="2775"/>
        <w:gridCol w:w="2743"/>
        <w:gridCol w:w="2752"/>
        <w:gridCol w:w="326"/>
        <w:gridCol w:w="326"/>
        <w:gridCol w:w="487"/>
      </w:tblGrid>
      <w:tr>
        <w:trPr/>
        <w:tc>
          <w:tcPr>
            <w:tcW w:w="30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775" w:type="dxa"/>
            <w:tcBorders/>
            <w:vAlign w:val="center"/>
          </w:tcPr>
          <w:p>
            <w:pPr>
              <w:pStyle w:val="TableContents"/>
              <w:bidi w:val="0"/>
              <w:spacing w:before="0" w:after="283"/>
              <w:jc w:val="left"/>
              <w:rPr>
                <w:sz w:val="4"/>
                <w:szCs w:val="4"/>
              </w:rPr>
            </w:pPr>
            <w:r>
              <w:rPr>
                <w:sz w:val="4"/>
                <w:szCs w:val="4"/>
              </w:rPr>
            </w:r>
          </w:p>
        </w:tc>
        <w:tc>
          <w:tcPr>
            <w:tcW w:w="2743" w:type="dxa"/>
            <w:tcBorders/>
            <w:vAlign w:val="center"/>
          </w:tcPr>
          <w:p>
            <w:pPr>
              <w:pStyle w:val="TableContents"/>
              <w:bidi w:val="0"/>
              <w:spacing w:before="0" w:after="283"/>
              <w:jc w:val="left"/>
              <w:rPr>
                <w:sz w:val="4"/>
                <w:szCs w:val="4"/>
              </w:rPr>
            </w:pPr>
            <w:r>
              <w:rPr>
                <w:sz w:val="4"/>
                <w:szCs w:val="4"/>
              </w:rPr>
            </w:r>
          </w:p>
        </w:tc>
        <w:tc>
          <w:tcPr>
            <w:tcW w:w="2752"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2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3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Page</w:t>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PART I—Financial Information</w:t>
            </w:r>
          </w:p>
        </w:tc>
      </w:tr>
      <w:tr>
        <w:trPr/>
        <w:tc>
          <w:tcPr>
            <w:tcW w:w="7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6aa2ca3bafa44b0981a31a355b43715_13">
              <w:r>
                <w:rPr>
                  <w:rStyle w:val="InternetLink"/>
                  <w:rFonts w:ascii="Times New Roman;serif" w:hAnsi="Times New Roman;serif"/>
                  <w:b w:val="false"/>
                  <w:color w:val="0000FF"/>
                  <w:sz w:val="20"/>
                  <w:u w:val="single"/>
                </w:rPr>
                <w:t>Item 1.</w:t>
              </w:r>
            </w:hyperlink>
          </w:p>
        </w:tc>
        <w:tc>
          <w:tcPr>
            <w:tcW w:w="82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6aa2ca3bafa44b0981a31a355b43715_13">
              <w:r>
                <w:rPr>
                  <w:rStyle w:val="InternetLink"/>
                  <w:rFonts w:ascii="Times New Roman;serif" w:hAnsi="Times New Roman;serif"/>
                  <w:b w:val="false"/>
                  <w:color w:val="0000FF"/>
                  <w:sz w:val="20"/>
                  <w:u w:val="single"/>
                </w:rPr>
                <w:t xml:space="preserve">Condensed Consolidated Financial Statements (unaudited) </w:t>
              </w:r>
            </w:hyperlink>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6aa2ca3bafa44b0981a31a355b43715_16">
              <w:r>
                <w:rPr>
                  <w:rStyle w:val="InternetLink"/>
                  <w:rFonts w:ascii="Times New Roman;serif" w:hAnsi="Times New Roman;serif"/>
                  <w:b w:val="false"/>
                  <w:color w:val="0000FF"/>
                  <w:sz w:val="20"/>
                  <w:u w:val="single"/>
                </w:rPr>
                <w:t>Condensed Consolidated Balance Sheets as of March 31, 2026 and December 31, 2025</w:t>
              </w:r>
            </w:hyperlink>
          </w:p>
        </w:tc>
        <w:tc>
          <w:tcPr>
            <w:tcW w:w="113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6aa2ca3bafa44b0981a31a355b43715_16">
              <w:r>
                <w:rPr>
                  <w:rStyle w:val="InternetLink"/>
                  <w:rFonts w:ascii="Times New Roman;serif" w:hAnsi="Times New Roman;serif"/>
                  <w:b w:val="false"/>
                  <w:color w:val="0000FF"/>
                  <w:sz w:val="20"/>
                  <w:u w:val="single"/>
                </w:rPr>
                <w:t>4</w:t>
              </w:r>
            </w:hyperlink>
          </w:p>
        </w:tc>
      </w:tr>
      <w:tr>
        <w:trPr/>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6aa2ca3bafa44b0981a31a355b43715_19">
              <w:r>
                <w:rPr>
                  <w:rStyle w:val="InternetLink"/>
                  <w:rFonts w:ascii="Times New Roman;serif" w:hAnsi="Times New Roman;serif"/>
                  <w:b w:val="false"/>
                  <w:color w:val="0000FF"/>
                  <w:sz w:val="20"/>
                  <w:u w:val="single"/>
                </w:rPr>
                <w:t>Condensed Consolidated Statements of Income for the Three Months Ended March 31, 2026 and 2025</w:t>
              </w:r>
            </w:hyperlink>
          </w:p>
        </w:tc>
        <w:tc>
          <w:tcPr>
            <w:tcW w:w="113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6aa2ca3bafa44b0981a31a355b43715_19">
              <w:r>
                <w:rPr>
                  <w:rStyle w:val="InternetLink"/>
                  <w:rFonts w:ascii="Times New Roman;serif" w:hAnsi="Times New Roman;serif"/>
                  <w:b w:val="false"/>
                  <w:color w:val="0000FF"/>
                  <w:sz w:val="20"/>
                  <w:u w:val="single"/>
                </w:rPr>
                <w:t>5</w:t>
              </w:r>
            </w:hyperlink>
          </w:p>
        </w:tc>
      </w:tr>
      <w:tr>
        <w:trPr/>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6aa2ca3bafa44b0981a31a355b43715_22">
              <w:r>
                <w:rPr>
                  <w:rStyle w:val="InternetLink"/>
                  <w:rFonts w:ascii="Times New Roman;serif" w:hAnsi="Times New Roman;serif"/>
                  <w:b w:val="false"/>
                  <w:color w:val="0000FF"/>
                  <w:sz w:val="20"/>
                  <w:u w:val="single"/>
                </w:rPr>
                <w:t>Condensed Consolidated Statements of Comprehensive Income for the Three Months Ended March 31, 2026 and 2025</w:t>
              </w:r>
            </w:hyperlink>
          </w:p>
        </w:tc>
        <w:tc>
          <w:tcPr>
            <w:tcW w:w="113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6aa2ca3bafa44b0981a31a355b43715_22">
              <w:r>
                <w:rPr>
                  <w:rStyle w:val="InternetLink"/>
                  <w:rFonts w:ascii="Times New Roman;serif" w:hAnsi="Times New Roman;serif"/>
                  <w:b w:val="false"/>
                  <w:color w:val="0000FF"/>
                  <w:sz w:val="20"/>
                  <w:u w:val="single"/>
                </w:rPr>
                <w:t>6</w:t>
              </w:r>
            </w:hyperlink>
          </w:p>
        </w:tc>
      </w:tr>
      <w:tr>
        <w:trPr/>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6aa2ca3bafa44b0981a31a355b43715_25">
              <w:r>
                <w:rPr>
                  <w:rStyle w:val="InternetLink"/>
                  <w:rFonts w:ascii="Times New Roman;serif" w:hAnsi="Times New Roman;serif"/>
                  <w:b w:val="false"/>
                  <w:color w:val="0000FF"/>
                  <w:sz w:val="20"/>
                  <w:u w:val="single"/>
                </w:rPr>
                <w:t>Condensed Consolidated Statements of Shareholders' Equity for the Three Months Ended March 31, 2026 and 2025</w:t>
              </w:r>
            </w:hyperlink>
          </w:p>
        </w:tc>
        <w:tc>
          <w:tcPr>
            <w:tcW w:w="113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6aa2ca3bafa44b0981a31a355b43715_25">
              <w:r>
                <w:rPr>
                  <w:rStyle w:val="InternetLink"/>
                  <w:rFonts w:ascii="Times New Roman;serif" w:hAnsi="Times New Roman;serif"/>
                  <w:b w:val="false"/>
                  <w:color w:val="0000FF"/>
                  <w:sz w:val="20"/>
                  <w:u w:val="single"/>
                </w:rPr>
                <w:t>7</w:t>
              </w:r>
            </w:hyperlink>
          </w:p>
        </w:tc>
      </w:tr>
      <w:tr>
        <w:trPr/>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6aa2ca3bafa44b0981a31a355b43715_28">
              <w:r>
                <w:rPr>
                  <w:rStyle w:val="InternetLink"/>
                  <w:rFonts w:ascii="Times New Roman;serif" w:hAnsi="Times New Roman;serif"/>
                  <w:b w:val="false"/>
                  <w:color w:val="0000FF"/>
                  <w:sz w:val="20"/>
                  <w:u w:val="single"/>
                </w:rPr>
                <w:t>Condensed Consolidated Statements of Cash Flows for the Three Months Ended March 31, 2026 and 2025</w:t>
              </w:r>
            </w:hyperlink>
          </w:p>
        </w:tc>
        <w:tc>
          <w:tcPr>
            <w:tcW w:w="113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6aa2ca3bafa44b0981a31a355b43715_28">
              <w:r>
                <w:rPr>
                  <w:rStyle w:val="InternetLink"/>
                  <w:rFonts w:ascii="Times New Roman;serif" w:hAnsi="Times New Roman;serif"/>
                  <w:b w:val="false"/>
                  <w:color w:val="0000FF"/>
                  <w:sz w:val="20"/>
                  <w:u w:val="single"/>
                </w:rPr>
                <w:t>8</w:t>
              </w:r>
            </w:hyperlink>
          </w:p>
        </w:tc>
      </w:tr>
      <w:tr>
        <w:trPr/>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6aa2ca3bafa44b0981a31a355b43715_31">
              <w:r>
                <w:rPr>
                  <w:rStyle w:val="InternetLink"/>
                  <w:rFonts w:ascii="Times New Roman;serif" w:hAnsi="Times New Roman;serif"/>
                  <w:b w:val="false"/>
                  <w:color w:val="0000FF"/>
                  <w:sz w:val="20"/>
                  <w:u w:val="single"/>
                </w:rPr>
                <w:t>Notes to Condensed Consolidated Financial Statements</w:t>
              </w:r>
            </w:hyperlink>
          </w:p>
        </w:tc>
        <w:tc>
          <w:tcPr>
            <w:tcW w:w="113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6aa2ca3bafa44b0981a31a355b43715_31">
              <w:r>
                <w:rPr>
                  <w:rStyle w:val="InternetLink"/>
                  <w:rFonts w:ascii="Times New Roman;serif" w:hAnsi="Times New Roman;serif"/>
                  <w:b w:val="false"/>
                  <w:color w:val="0000FF"/>
                  <w:sz w:val="20"/>
                  <w:u w:val="single"/>
                </w:rPr>
                <w:t>9</w:t>
              </w:r>
            </w:hyperlink>
          </w:p>
        </w:tc>
      </w:tr>
      <w:tr>
        <w:trPr/>
        <w:tc>
          <w:tcPr>
            <w:tcW w:w="7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6aa2ca3bafa44b0981a31a355b43715_79">
              <w:r>
                <w:rPr>
                  <w:rStyle w:val="InternetLink"/>
                  <w:rFonts w:ascii="Times New Roman;serif" w:hAnsi="Times New Roman;serif"/>
                  <w:b w:val="false"/>
                  <w:color w:val="0000FF"/>
                  <w:sz w:val="20"/>
                  <w:u w:val="single"/>
                </w:rPr>
                <w:t>Item 2.</w:t>
              </w:r>
            </w:hyperlink>
          </w:p>
        </w:tc>
        <w:tc>
          <w:tcPr>
            <w:tcW w:w="82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6aa2ca3bafa44b0981a31a355b43715_79">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113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6aa2ca3bafa44b0981a31a355b43715_79">
              <w:r>
                <w:rPr>
                  <w:rStyle w:val="InternetLink"/>
                  <w:rFonts w:ascii="Times New Roman;serif" w:hAnsi="Times New Roman;serif"/>
                  <w:b w:val="false"/>
                  <w:color w:val="0000FF"/>
                  <w:sz w:val="20"/>
                  <w:u w:val="single"/>
                </w:rPr>
                <w:t>25</w:t>
              </w:r>
            </w:hyperlink>
          </w:p>
        </w:tc>
      </w:tr>
      <w:tr>
        <w:trPr/>
        <w:tc>
          <w:tcPr>
            <w:tcW w:w="7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6aa2ca3bafa44b0981a31a355b43715_97">
              <w:r>
                <w:rPr>
                  <w:rStyle w:val="InternetLink"/>
                  <w:rFonts w:ascii="Times New Roman;serif" w:hAnsi="Times New Roman;serif"/>
                  <w:b w:val="false"/>
                  <w:color w:val="0000FF"/>
                  <w:sz w:val="20"/>
                  <w:u w:val="single"/>
                </w:rPr>
                <w:t>Item 3.</w:t>
              </w:r>
            </w:hyperlink>
          </w:p>
        </w:tc>
        <w:tc>
          <w:tcPr>
            <w:tcW w:w="82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6aa2ca3bafa44b0981a31a355b43715_97">
              <w:r>
                <w:rPr>
                  <w:rStyle w:val="InternetLink"/>
                  <w:rFonts w:ascii="Times New Roman;serif" w:hAnsi="Times New Roman;serif"/>
                  <w:b w:val="false"/>
                  <w:color w:val="0000FF"/>
                  <w:sz w:val="20"/>
                  <w:u w:val="single"/>
                </w:rPr>
                <w:t>Quantitative and Qualitative Disclosures About Market Risk</w:t>
              </w:r>
            </w:hyperlink>
          </w:p>
        </w:tc>
        <w:tc>
          <w:tcPr>
            <w:tcW w:w="113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6aa2ca3bafa44b0981a31a355b43715_97">
              <w:r>
                <w:rPr>
                  <w:rStyle w:val="InternetLink"/>
                  <w:rFonts w:ascii="Times New Roman;serif" w:hAnsi="Times New Roman;serif"/>
                  <w:b w:val="false"/>
                  <w:color w:val="0000FF"/>
                  <w:sz w:val="20"/>
                  <w:u w:val="single"/>
                </w:rPr>
                <w:t>41</w:t>
              </w:r>
            </w:hyperlink>
          </w:p>
        </w:tc>
      </w:tr>
      <w:tr>
        <w:trPr/>
        <w:tc>
          <w:tcPr>
            <w:tcW w:w="7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6aa2ca3bafa44b0981a31a355b43715_100">
              <w:r>
                <w:rPr>
                  <w:rStyle w:val="InternetLink"/>
                  <w:rFonts w:ascii="Times New Roman;serif" w:hAnsi="Times New Roman;serif"/>
                  <w:b w:val="false"/>
                  <w:color w:val="0000FF"/>
                  <w:sz w:val="20"/>
                  <w:u w:val="single"/>
                </w:rPr>
                <w:t>Item 4.</w:t>
              </w:r>
            </w:hyperlink>
          </w:p>
        </w:tc>
        <w:tc>
          <w:tcPr>
            <w:tcW w:w="82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6aa2ca3bafa44b0981a31a355b43715_100">
              <w:r>
                <w:rPr>
                  <w:rStyle w:val="InternetLink"/>
                  <w:rFonts w:ascii="Times New Roman;serif" w:hAnsi="Times New Roman;serif"/>
                  <w:b w:val="false"/>
                  <w:color w:val="0000FF"/>
                  <w:sz w:val="20"/>
                  <w:u w:val="single"/>
                </w:rPr>
                <w:t>Controls and Procedures</w:t>
              </w:r>
            </w:hyperlink>
          </w:p>
        </w:tc>
        <w:tc>
          <w:tcPr>
            <w:tcW w:w="113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6aa2ca3bafa44b0981a31a355b43715_100">
              <w:r>
                <w:rPr>
                  <w:rStyle w:val="InternetLink"/>
                  <w:rFonts w:ascii="Times New Roman;serif" w:hAnsi="Times New Roman;serif"/>
                  <w:b w:val="false"/>
                  <w:color w:val="0000FF"/>
                  <w:sz w:val="20"/>
                  <w:u w:val="single"/>
                </w:rPr>
                <w:t>41</w:t>
              </w:r>
            </w:hyperlink>
          </w:p>
        </w:tc>
      </w:tr>
      <w:tr>
        <w:trPr/>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PART II—Other Information</w:t>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6aa2ca3bafa44b0981a31a355b43715_106">
              <w:r>
                <w:rPr>
                  <w:rStyle w:val="InternetLink"/>
                  <w:rFonts w:ascii="Times New Roman;serif" w:hAnsi="Times New Roman;serif"/>
                  <w:b w:val="false"/>
                  <w:color w:val="0000FF"/>
                  <w:sz w:val="20"/>
                  <w:u w:val="single"/>
                </w:rPr>
                <w:t>Item 1.</w:t>
              </w:r>
            </w:hyperlink>
          </w:p>
        </w:tc>
        <w:tc>
          <w:tcPr>
            <w:tcW w:w="82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6aa2ca3bafa44b0981a31a355b43715_106">
              <w:r>
                <w:rPr>
                  <w:rStyle w:val="InternetLink"/>
                  <w:rFonts w:ascii="Times New Roman;serif" w:hAnsi="Times New Roman;serif"/>
                  <w:b w:val="false"/>
                  <w:color w:val="0000FF"/>
                  <w:sz w:val="20"/>
                  <w:u w:val="single"/>
                </w:rPr>
                <w:t>Legal Proceedings</w:t>
              </w:r>
            </w:hyperlink>
          </w:p>
        </w:tc>
        <w:tc>
          <w:tcPr>
            <w:tcW w:w="113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6aa2ca3bafa44b0981a31a355b43715_106">
              <w:r>
                <w:rPr>
                  <w:rStyle w:val="InternetLink"/>
                  <w:rFonts w:ascii="Times New Roman;serif" w:hAnsi="Times New Roman;serif"/>
                  <w:b w:val="false"/>
                  <w:color w:val="0000FF"/>
                  <w:sz w:val="20"/>
                  <w:u w:val="single"/>
                </w:rPr>
                <w:t>42</w:t>
              </w:r>
            </w:hyperlink>
          </w:p>
        </w:tc>
      </w:tr>
      <w:tr>
        <w:trPr/>
        <w:tc>
          <w:tcPr>
            <w:tcW w:w="7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6aa2ca3bafa44b0981a31a355b43715_109">
              <w:r>
                <w:rPr>
                  <w:rStyle w:val="InternetLink"/>
                  <w:rFonts w:ascii="Times New Roman;serif" w:hAnsi="Times New Roman;serif"/>
                  <w:b w:val="false"/>
                  <w:color w:val="0000FF"/>
                  <w:sz w:val="20"/>
                  <w:u w:val="single"/>
                </w:rPr>
                <w:t>Item 1A.</w:t>
              </w:r>
            </w:hyperlink>
          </w:p>
        </w:tc>
        <w:tc>
          <w:tcPr>
            <w:tcW w:w="82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6aa2ca3bafa44b0981a31a355b43715_109">
              <w:r>
                <w:rPr>
                  <w:rStyle w:val="InternetLink"/>
                  <w:rFonts w:ascii="Times New Roman;serif" w:hAnsi="Times New Roman;serif"/>
                  <w:b w:val="false"/>
                  <w:color w:val="0000FF"/>
                  <w:sz w:val="20"/>
                  <w:u w:val="single"/>
                </w:rPr>
                <w:t>Risk Factors</w:t>
              </w:r>
            </w:hyperlink>
          </w:p>
        </w:tc>
        <w:tc>
          <w:tcPr>
            <w:tcW w:w="113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6aa2ca3bafa44b0981a31a355b43715_109">
              <w:r>
                <w:rPr>
                  <w:rStyle w:val="InternetLink"/>
                  <w:rFonts w:ascii="Times New Roman;serif" w:hAnsi="Times New Roman;serif"/>
                  <w:b w:val="false"/>
                  <w:color w:val="0000FF"/>
                  <w:sz w:val="20"/>
                  <w:u w:val="single"/>
                </w:rPr>
                <w:t>42</w:t>
              </w:r>
            </w:hyperlink>
          </w:p>
        </w:tc>
      </w:tr>
      <w:tr>
        <w:trPr/>
        <w:tc>
          <w:tcPr>
            <w:tcW w:w="7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6aa2ca3bafa44b0981a31a355b43715_112">
              <w:r>
                <w:rPr>
                  <w:rStyle w:val="InternetLink"/>
                  <w:rFonts w:ascii="Times New Roman;serif" w:hAnsi="Times New Roman;serif"/>
                  <w:b w:val="false"/>
                  <w:color w:val="0000FF"/>
                  <w:sz w:val="20"/>
                  <w:u w:val="single"/>
                </w:rPr>
                <w:t>Item 2.</w:t>
              </w:r>
            </w:hyperlink>
          </w:p>
        </w:tc>
        <w:tc>
          <w:tcPr>
            <w:tcW w:w="82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6aa2ca3bafa44b0981a31a355b43715_112">
              <w:r>
                <w:rPr>
                  <w:rStyle w:val="InternetLink"/>
                  <w:rFonts w:ascii="Times New Roman;serif" w:hAnsi="Times New Roman;serif"/>
                  <w:b w:val="false"/>
                  <w:color w:val="0000FF"/>
                  <w:sz w:val="20"/>
                  <w:u w:val="single"/>
                </w:rPr>
                <w:t>Unregistered Sales of Equity Securities and Use of Proceeds</w:t>
              </w:r>
            </w:hyperlink>
          </w:p>
        </w:tc>
        <w:tc>
          <w:tcPr>
            <w:tcW w:w="113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6aa2ca3bafa44b0981a31a355b43715_112">
              <w:r>
                <w:rPr>
                  <w:rStyle w:val="InternetLink"/>
                  <w:rFonts w:ascii="Times New Roman;serif" w:hAnsi="Times New Roman;serif"/>
                  <w:b w:val="false"/>
                  <w:color w:val="0000FF"/>
                  <w:sz w:val="20"/>
                  <w:u w:val="single"/>
                </w:rPr>
                <w:t>42</w:t>
              </w:r>
            </w:hyperlink>
          </w:p>
        </w:tc>
      </w:tr>
      <w:tr>
        <w:trPr/>
        <w:tc>
          <w:tcPr>
            <w:tcW w:w="7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6aa2ca3bafa44b0981a31a355b43715_115">
              <w:r>
                <w:rPr>
                  <w:rStyle w:val="InternetLink"/>
                  <w:rFonts w:ascii="Times New Roman;serif" w:hAnsi="Times New Roman;serif"/>
                  <w:b w:val="false"/>
                  <w:color w:val="0000FF"/>
                  <w:sz w:val="20"/>
                  <w:u w:val="single"/>
                </w:rPr>
                <w:t>Item 5.</w:t>
              </w:r>
            </w:hyperlink>
          </w:p>
        </w:tc>
        <w:tc>
          <w:tcPr>
            <w:tcW w:w="82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6aa2ca3bafa44b0981a31a355b43715_115">
              <w:r>
                <w:rPr>
                  <w:rStyle w:val="InternetLink"/>
                  <w:rFonts w:ascii="Times New Roman;serif" w:hAnsi="Times New Roman;serif"/>
                  <w:b w:val="false"/>
                  <w:color w:val="0000FF"/>
                  <w:sz w:val="20"/>
                  <w:u w:val="single"/>
                </w:rPr>
                <w:t>Other Information</w:t>
              </w:r>
            </w:hyperlink>
          </w:p>
        </w:tc>
        <w:tc>
          <w:tcPr>
            <w:tcW w:w="113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6aa2ca3bafa44b0981a31a355b43715_115">
              <w:r>
                <w:rPr>
                  <w:rStyle w:val="InternetLink"/>
                  <w:rFonts w:ascii="Times New Roman;serif" w:hAnsi="Times New Roman;serif"/>
                  <w:b w:val="false"/>
                  <w:color w:val="0000FF"/>
                  <w:sz w:val="20"/>
                  <w:u w:val="single"/>
                </w:rPr>
                <w:t>43</w:t>
              </w:r>
            </w:hyperlink>
          </w:p>
        </w:tc>
      </w:tr>
      <w:tr>
        <w:trPr/>
        <w:tc>
          <w:tcPr>
            <w:tcW w:w="7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6aa2ca3bafa44b0981a31a355b43715_118">
              <w:r>
                <w:rPr>
                  <w:rStyle w:val="InternetLink"/>
                  <w:rFonts w:ascii="Times New Roman;serif" w:hAnsi="Times New Roman;serif"/>
                  <w:b w:val="false"/>
                  <w:color w:val="0000FF"/>
                  <w:sz w:val="20"/>
                  <w:u w:val="single"/>
                </w:rPr>
                <w:t>Item 6.</w:t>
              </w:r>
            </w:hyperlink>
          </w:p>
        </w:tc>
        <w:tc>
          <w:tcPr>
            <w:tcW w:w="82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6aa2ca3bafa44b0981a31a355b43715_118">
              <w:r>
                <w:rPr>
                  <w:rStyle w:val="InternetLink"/>
                  <w:rFonts w:ascii="Times New Roman;serif" w:hAnsi="Times New Roman;serif"/>
                  <w:b w:val="false"/>
                  <w:color w:val="0000FF"/>
                  <w:sz w:val="20"/>
                  <w:u w:val="single"/>
                </w:rPr>
                <w:t>Exhibits</w:t>
              </w:r>
            </w:hyperlink>
          </w:p>
        </w:tc>
        <w:tc>
          <w:tcPr>
            <w:tcW w:w="113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6aa2ca3bafa44b0981a31a355b43715_118">
              <w:r>
                <w:rPr>
                  <w:rStyle w:val="InternetLink"/>
                  <w:rFonts w:ascii="Times New Roman;serif" w:hAnsi="Times New Roman;serif"/>
                  <w:b w:val="false"/>
                  <w:color w:val="0000FF"/>
                  <w:sz w:val="20"/>
                  <w:u w:val="single"/>
                </w:rPr>
                <w:t>44</w:t>
              </w:r>
            </w:hyperlink>
          </w:p>
        </w:tc>
      </w:tr>
      <w:tr>
        <w:trPr/>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6aa2ca3bafa44b0981a31a355b43715_121">
              <w:r>
                <w:rPr>
                  <w:rStyle w:val="InternetLink"/>
                  <w:rFonts w:ascii="Times New Roman;serif" w:hAnsi="Times New Roman;serif"/>
                  <w:b w:val="false"/>
                  <w:color w:val="0000FF"/>
                  <w:sz w:val="20"/>
                  <w:u w:val="single"/>
                </w:rPr>
                <w:t>Signatures</w:t>
              </w:r>
            </w:hyperlink>
          </w:p>
        </w:tc>
        <w:tc>
          <w:tcPr>
            <w:tcW w:w="113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6aa2ca3bafa44b0981a31a355b43715_121">
              <w:r>
                <w:rPr>
                  <w:rStyle w:val="InternetLink"/>
                  <w:rFonts w:ascii="Times New Roman;serif" w:hAnsi="Times New Roman;serif"/>
                  <w:b w:val="false"/>
                  <w:color w:val="0000FF"/>
                  <w:sz w:val="20"/>
                  <w:u w:val="single"/>
                </w:rPr>
                <w:t>45</w:t>
              </w:r>
            </w:hyperlink>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b6aa2ca3bafa44b0981a31a355b43715_7">
        <w:r>
          <w:rPr>
            <w:rStyle w:val="InternetLink"/>
          </w:rPr>
          <w:t xml:space="preserve">Table of </w:t>
        </w:r>
      </w:hyperlink>
      <w:hyperlink w:anchor="ib6aa2ca3bafa44b0981a31a355b43715_7">
        <w:r>
          <w:rPr>
            <w:rStyle w:val="InternetLink"/>
          </w:rPr>
          <w:t>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Times New Roman;serif" w:hAnsi="Times New Roman;serif"/>
          <w:b/>
          <w:color w:val="000000"/>
          <w:sz w:val="20"/>
        </w:rPr>
      </w:pPr>
      <w:r>
        <w:rPr>
          <w:rFonts w:ascii="Times New Roman;serif" w:hAnsi="Times New Roman;serif"/>
          <w:b/>
          <w:color w:val="000000"/>
          <w:sz w:val="20"/>
        </w:rPr>
        <w:t>Item 1.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ASBURY AUTOMOTIVE GROUP,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 except par value and share data)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710"/>
        <w:gridCol w:w="2309"/>
        <w:gridCol w:w="2197"/>
        <w:gridCol w:w="219"/>
        <w:gridCol w:w="908"/>
        <w:gridCol w:w="113"/>
        <w:gridCol w:w="109"/>
        <w:gridCol w:w="109"/>
        <w:gridCol w:w="109"/>
        <w:gridCol w:w="241"/>
        <w:gridCol w:w="999"/>
        <w:gridCol w:w="182"/>
      </w:tblGrid>
      <w:tr>
        <w:trPr/>
        <w:tc>
          <w:tcPr>
            <w:tcW w:w="2710" w:type="dxa"/>
            <w:tcBorders/>
            <w:vAlign w:val="center"/>
          </w:tcPr>
          <w:p>
            <w:pPr>
              <w:pStyle w:val="TableContents"/>
              <w:bidi w:val="0"/>
              <w:spacing w:before="0" w:after="283"/>
              <w:jc w:val="left"/>
              <w:rPr>
                <w:sz w:val="4"/>
                <w:szCs w:val="4"/>
              </w:rPr>
            </w:pPr>
            <w:r>
              <w:rPr>
                <w:sz w:val="4"/>
                <w:szCs w:val="4"/>
              </w:rPr>
            </w:r>
          </w:p>
        </w:tc>
        <w:tc>
          <w:tcPr>
            <w:tcW w:w="2309" w:type="dxa"/>
            <w:tcBorders/>
            <w:vAlign w:val="center"/>
          </w:tcPr>
          <w:p>
            <w:pPr>
              <w:pStyle w:val="TableContents"/>
              <w:bidi w:val="0"/>
              <w:spacing w:before="0" w:after="283"/>
              <w:jc w:val="left"/>
              <w:rPr>
                <w:sz w:val="4"/>
                <w:szCs w:val="4"/>
              </w:rPr>
            </w:pPr>
            <w:r>
              <w:rPr>
                <w:sz w:val="4"/>
                <w:szCs w:val="4"/>
              </w:rPr>
            </w:r>
          </w:p>
        </w:tc>
        <w:tc>
          <w:tcPr>
            <w:tcW w:w="219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721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7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ASSETS</w:t>
            </w:r>
          </w:p>
        </w:tc>
        <w:tc>
          <w:tcPr>
            <w:tcW w:w="12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2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Contracts-in-transit, net</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239.2 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294.6 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 net</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2,116.4 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2,135.8 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 held for sale</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268.9 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400.9 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1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3,043.7 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3,380.2 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414.7 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3,110.0 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3,070.4 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240.6 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2,268.4 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2,281.3 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FRANCHISE RIGHTS</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2,097.6 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2,097.6 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6"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2" w:type="dxa"/>
            <w:gridSpan w:val="3"/>
            <w:tcBorders/>
            <w:vAlign w:val="center"/>
          </w:tcPr>
          <w:p>
            <w:pPr>
              <w:pStyle w:val="TableContents"/>
              <w:bidi w:val="0"/>
              <w:spacing w:before="0" w:after="283"/>
              <w:jc w:val="left"/>
              <w:rPr>
                <w:sz w:val="4"/>
                <w:szCs w:val="4"/>
              </w:rPr>
            </w:pPr>
            <w:r>
              <w:rPr>
                <w:sz w:val="4"/>
                <w:szCs w:val="4"/>
              </w:rPr>
            </w:r>
          </w:p>
        </w:tc>
      </w:tr>
      <w:tr>
        <w:trPr/>
        <w:tc>
          <w:tcPr>
            <w:tcW w:w="7216"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2" w:type="dxa"/>
            <w:gridSpan w:val="3"/>
            <w:tcBorders/>
            <w:vAlign w:val="center"/>
          </w:tcPr>
          <w:p>
            <w:pPr>
              <w:pStyle w:val="TableContents"/>
              <w:bidi w:val="0"/>
              <w:spacing w:before="0" w:after="283"/>
              <w:jc w:val="left"/>
              <w:rPr>
                <w:sz w:val="4"/>
                <w:szCs w:val="4"/>
              </w:rPr>
            </w:pPr>
            <w:r>
              <w:rPr>
                <w:sz w:val="4"/>
                <w:szCs w:val="4"/>
              </w:rPr>
            </w:r>
          </w:p>
        </w:tc>
      </w:tr>
      <w:tr>
        <w:trPr/>
        <w:tc>
          <w:tcPr>
            <w:tcW w:w="7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ASSETS</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133.3 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11,302.8 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11,618.2 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LIABILITIES AND SHAREHOLDERS' EQUITY</w:t>
            </w:r>
          </w:p>
        </w:tc>
        <w:tc>
          <w:tcPr>
            <w:tcW w:w="12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2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Floor plan notes payable—trade, net</w:t>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343.1 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Floor plan notes payable—non-trade, net</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1,337.4 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1,683.9 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maturities of long-term debt</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479.2 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maturities of operating leases</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liabilities</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780.3 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revenue—current</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243.6 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 associated with assets held for sale</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1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3,223.1 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3,559.5 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3,069.5 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3,092.8 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LEASE LIABILITY</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221.6 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584.6 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210.6 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(Note 13)</w:t>
            </w:r>
          </w:p>
        </w:tc>
        <w:tc>
          <w:tcPr>
            <w:tcW w:w="12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SHAREHOLDERS' EQUITY:</w:t>
            </w:r>
          </w:p>
        </w:tc>
        <w:tc>
          <w:tcPr>
            <w:tcW w:w="12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Preferred stock, $.01 par value; 10,000,000 shares authorized; none issued </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or outstanding</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$.01 par value; 90,000,000 shares authorized; 40,764,588 and 41,338,419 shares issued, including shares held in treasury, respectively</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1,330.5 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1,327.6 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3,665.2 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3,616.2 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Treasury stock, at cost; 22,147,110 and 22,109,690 shares, respectively</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(1,102.6)</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(1,092.8)</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shareholders' equity</w:t>
            </w:r>
          </w:p>
        </w:tc>
        <w:tc>
          <w:tcPr>
            <w:tcW w:w="11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3,932.1 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3,891.9 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shareholders' equity</w:t>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11,302.8 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11,618.2 </w:t>
            </w:r>
          </w:p>
        </w:tc>
        <w:tc>
          <w:tcPr>
            <w:tcW w:w="1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center"/>
        <w:rPr/>
      </w:pPr>
      <w:r>
        <w:rPr/>
      </w:r>
    </w:p>
    <w:p>
      <w:pPr>
        <w:pStyle w:val="TextBody"/>
        <w:bidi w:val="0"/>
        <w:spacing w:lineRule="auto" w:line="288" w:before="0" w:after="0"/>
        <w:ind w:left="0" w:right="0" w:hanging="36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222885"/>
                <wp:effectExtent l="0" t="0" r="0" b="0"/>
                <wp:wrapNone/>
                <wp:docPr id="4" name="Frame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b6aa2ca3bafa44b0981a31a355b43715_7">
        <w:r>
          <w:rPr>
            <w:rStyle w:val="InternetLink"/>
          </w:rPr>
          <w:t xml:space="preserve">Table of </w:t>
        </w:r>
      </w:hyperlink>
      <w:hyperlink w:anchor="ib6aa2ca3bafa44b0981a31a355b43715_7">
        <w:r>
          <w:rPr>
            <w:rStyle w:val="InternetLink"/>
          </w:rPr>
          <w:t>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ASBURY AUTOMOTIVE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INCOME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 except per share data)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7976" w:type="dxa"/>
        <w:jc w:val="left"/>
        <w:tblInd w:w="0" w:type="dxa"/>
        <w:tblLayout w:type="fixed"/>
        <w:tblCellMar>
          <w:top w:w="28" w:type="dxa"/>
          <w:left w:w="28" w:type="dxa"/>
          <w:bottom w:w="28" w:type="dxa"/>
          <w:right w:w="28" w:type="dxa"/>
        </w:tblCellMar>
      </w:tblPr>
      <w:tblGrid>
        <w:gridCol w:w="1567"/>
        <w:gridCol w:w="1371"/>
        <w:gridCol w:w="1381"/>
        <w:gridCol w:w="268"/>
        <w:gridCol w:w="975"/>
        <w:gridCol w:w="138"/>
        <w:gridCol w:w="138"/>
        <w:gridCol w:w="138"/>
        <w:gridCol w:w="138"/>
        <w:gridCol w:w="268"/>
        <w:gridCol w:w="975"/>
        <w:gridCol w:w="138"/>
        <w:gridCol w:w="109"/>
        <w:gridCol w:w="109"/>
        <w:gridCol w:w="109"/>
        <w:gridCol w:w="154"/>
      </w:tblGrid>
      <w:tr>
        <w:trPr/>
        <w:tc>
          <w:tcPr>
            <w:tcW w:w="1567"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3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vehicle</w:t>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2,100.8 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2,138.1 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Used vehicle</w:t>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1,206.3 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1,235.8 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Parts and service</w:t>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626.8 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587.6 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and insurance, net</w:t>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179.0 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187.0 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12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4,113.0 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4,148.5 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1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vehicle</w:t>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1,972.3 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1,995.0 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Used vehicle</w:t>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1,140.0 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1,171.3 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Parts and service</w:t>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261.7 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244.9 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and insurance</w:t>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 OF SALES</w:t>
            </w:r>
          </w:p>
        </w:tc>
        <w:tc>
          <w:tcPr>
            <w:tcW w:w="12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3,386.1 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3,424.3 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2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726.9 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724.2 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510.4 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456.4 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 impairments</w:t>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12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193.9 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234.3 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(INCOME) EXPENSES:</w:t>
            </w:r>
          </w:p>
        </w:tc>
        <w:tc>
          <w:tcPr>
            <w:tcW w:w="1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Floor plan interest expense</w:t>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interest expense, net</w:t>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dealership divestitures, net</w:t>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(125.8)</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other (income) expenses, net</w:t>
            </w:r>
          </w:p>
        </w:tc>
        <w:tc>
          <w:tcPr>
            <w:tcW w:w="12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2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250.6 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175.4 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62.8 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187.8 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132.1 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SHARE:</w:t>
            </w:r>
          </w:p>
        </w:tc>
        <w:tc>
          <w:tcPr>
            <w:tcW w:w="13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9.90 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3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9.87 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OUTSTANDING:</w:t>
            </w:r>
          </w:p>
        </w:tc>
        <w:tc>
          <w:tcPr>
            <w:tcW w:w="13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 share units</w:t>
            </w:r>
          </w:p>
        </w:tc>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38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center"/>
        <w:rPr/>
      </w:pPr>
      <w:r>
        <w:rPr/>
      </w:r>
    </w:p>
    <w:p>
      <w:pPr>
        <w:pStyle w:val="TextBody"/>
        <w:bidi w:val="0"/>
        <w:spacing w:before="0" w:after="0"/>
        <w:ind w:left="0" w:right="0" w:hanging="360"/>
        <w:jc w:val="center"/>
        <w:rPr/>
      </w:pPr>
      <w:r>
        <w:rPr/>
      </w:r>
    </w:p>
    <w:p>
      <w:pPr>
        <w:pStyle w:val="TextBody"/>
        <w:bidi w:val="0"/>
        <w:spacing w:before="0" w:after="160"/>
        <w:ind w:left="0" w:right="0" w:hanging="360"/>
        <w:jc w:val="center"/>
        <w:rPr/>
      </w:pPr>
      <w:r>
        <w:rPr/>
      </w:r>
    </w:p>
    <w:p>
      <w:pPr>
        <w:pStyle w:val="TextBody"/>
        <w:bidi w:val="0"/>
        <w:spacing w:before="0" w:after="160"/>
        <w:ind w:left="0" w:right="0" w:hanging="360"/>
        <w:jc w:val="center"/>
        <w:rPr/>
      </w:pPr>
      <w:r>
        <w:rPr/>
      </w:r>
    </w:p>
    <w:p>
      <w:pPr>
        <w:pStyle w:val="TextBody"/>
        <w:bidi w:val="0"/>
        <w:spacing w:before="0" w:after="0"/>
        <w:ind w:left="0" w:right="0" w:hanging="360"/>
        <w:jc w:val="center"/>
        <w:rPr/>
      </w:pPr>
      <w:r>
        <w:rPr/>
      </w:r>
    </w:p>
    <w:p>
      <w:pPr>
        <w:pStyle w:val="TextBody"/>
        <w:bidi w:val="0"/>
        <w:spacing w:lineRule="auto" w:line="288" w:before="0" w:after="0"/>
        <w:ind w:left="0" w:right="0" w:hanging="360"/>
        <w:jc w:val="center"/>
        <w:rPr>
          <w:color w:val="000000"/>
        </w:rPr>
      </w:pPr>
      <w:r>
        <w:rPr>
          <w:color w:val="000000"/>
        </w:rPr>
        <w:t> </w:t>
      </w:r>
    </w:p>
    <w:p>
      <w:pPr>
        <w:pStyle w:val="TextBody"/>
        <w:bidi w:val="0"/>
        <w:spacing w:lineRule="auto" w:line="288" w:before="0" w:after="0"/>
        <w:ind w:left="0" w:right="0" w:hanging="36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222885"/>
                <wp:effectExtent l="0" t="0" r="0" b="0"/>
                <wp:wrapNone/>
                <wp:docPr id="5" name="Frame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b6aa2ca3bafa44b0981a31a355b43715_7">
        <w:r>
          <w:rPr>
            <w:rStyle w:val="InternetLink"/>
          </w:rPr>
          <w:t xml:space="preserve">Table of </w:t>
        </w:r>
      </w:hyperlink>
      <w:hyperlink w:anchor="ib6aa2ca3bafa44b0981a31a355b43715_7">
        <w:r>
          <w:rPr>
            <w:rStyle w:val="InternetLink"/>
          </w:rPr>
          <w:t>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ASBURY AUTOMOTIVE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COMPREHENSIVE INCOME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9640" w:type="dxa"/>
        <w:jc w:val="center"/>
        <w:tblInd w:w="0" w:type="dxa"/>
        <w:tblLayout w:type="fixed"/>
        <w:tblCellMar>
          <w:top w:w="28" w:type="dxa"/>
          <w:left w:w="28" w:type="dxa"/>
          <w:bottom w:w="28" w:type="dxa"/>
          <w:right w:w="28" w:type="dxa"/>
        </w:tblCellMar>
      </w:tblPr>
      <w:tblGrid>
        <w:gridCol w:w="2324"/>
        <w:gridCol w:w="2039"/>
        <w:gridCol w:w="2056"/>
        <w:gridCol w:w="303"/>
        <w:gridCol w:w="885"/>
        <w:gridCol w:w="156"/>
        <w:gridCol w:w="156"/>
        <w:gridCol w:w="156"/>
        <w:gridCol w:w="156"/>
        <w:gridCol w:w="303"/>
        <w:gridCol w:w="885"/>
        <w:gridCol w:w="221"/>
      </w:tblGrid>
      <w:tr>
        <w:trPr/>
        <w:tc>
          <w:tcPr>
            <w:tcW w:w="2324" w:type="dxa"/>
            <w:tcBorders/>
            <w:vAlign w:val="center"/>
          </w:tcPr>
          <w:p>
            <w:pPr>
              <w:pStyle w:val="TableContents"/>
              <w:bidi w:val="0"/>
              <w:spacing w:before="0" w:after="283"/>
              <w:jc w:val="left"/>
              <w:rPr>
                <w:sz w:val="4"/>
                <w:szCs w:val="4"/>
              </w:rPr>
            </w:pPr>
            <w:r>
              <w:rPr>
                <w:sz w:val="4"/>
                <w:szCs w:val="4"/>
              </w:rPr>
            </w:r>
          </w:p>
        </w:tc>
        <w:tc>
          <w:tcPr>
            <w:tcW w:w="2039" w:type="dxa"/>
            <w:tcBorders/>
            <w:vAlign w:val="center"/>
          </w:tcPr>
          <w:p>
            <w:pPr>
              <w:pStyle w:val="TableContents"/>
              <w:bidi w:val="0"/>
              <w:spacing w:before="0" w:after="283"/>
              <w:jc w:val="left"/>
              <w:rPr>
                <w:sz w:val="4"/>
                <w:szCs w:val="4"/>
              </w:rPr>
            </w:pPr>
            <w:r>
              <w:rPr>
                <w:sz w:val="4"/>
                <w:szCs w:val="4"/>
              </w:rPr>
            </w:r>
          </w:p>
        </w:tc>
        <w:tc>
          <w:tcPr>
            <w:tcW w:w="205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Three Months Ended March 31,</w:t>
            </w:r>
          </w:p>
        </w:tc>
      </w:tr>
      <w:tr>
        <w:trPr/>
        <w:tc>
          <w:tcPr>
            <w:tcW w:w="6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132.1 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 net of tax:</w:t>
            </w:r>
          </w:p>
        </w:tc>
        <w:tc>
          <w:tcPr>
            <w:tcW w:w="13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cash flow swaps</w:t>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9"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benefit associated with cash flow swaps</w:t>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(losses) gains on available-for-sale debt securities</w:t>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 (expense) associated with available-for-sale debt securities</w:t>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w:t>
            </w:r>
          </w:p>
        </w:tc>
        <w:tc>
          <w:tcPr>
            <w:tcW w:w="3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185.8 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124.9 </w:t>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16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222885"/>
                <wp:effectExtent l="0" t="0" r="0" b="0"/>
                <wp:wrapNone/>
                <wp:docPr id="6" name="Frame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b6aa2ca3bafa44b0981a31a355b43715_7">
        <w:r>
          <w:rPr>
            <w:rStyle w:val="InternetLink"/>
          </w:rPr>
          <w:t xml:space="preserve">Table of </w:t>
        </w:r>
      </w:hyperlink>
      <w:hyperlink w:anchor="ib6aa2ca3bafa44b0981a31a355b43715_7">
        <w:r>
          <w:rPr>
            <w:rStyle w:val="InternetLink"/>
          </w:rPr>
          <w:t>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ASBURY AUTOMOTIVE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SHAREHOLDERS'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millions)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(Unaudited) </w:t>
      </w:r>
    </w:p>
    <w:tbl>
      <w:tblPr>
        <w:tblW w:w="11890" w:type="dxa"/>
        <w:jc w:val="center"/>
        <w:tblInd w:w="0" w:type="dxa"/>
        <w:tblLayout w:type="fixed"/>
        <w:tblCellMar>
          <w:top w:w="28" w:type="dxa"/>
          <w:left w:w="28" w:type="dxa"/>
          <w:bottom w:w="28" w:type="dxa"/>
          <w:right w:w="28" w:type="dxa"/>
        </w:tblCellMar>
      </w:tblPr>
      <w:tblGrid>
        <w:gridCol w:w="809"/>
        <w:gridCol w:w="272"/>
        <w:gridCol w:w="255"/>
        <w:gridCol w:w="480"/>
        <w:gridCol w:w="481"/>
        <w:gridCol w:w="196"/>
        <w:gridCol w:w="109"/>
        <w:gridCol w:w="109"/>
        <w:gridCol w:w="109"/>
        <w:gridCol w:w="198"/>
        <w:gridCol w:w="381"/>
        <w:gridCol w:w="112"/>
        <w:gridCol w:w="109"/>
        <w:gridCol w:w="109"/>
        <w:gridCol w:w="109"/>
        <w:gridCol w:w="196"/>
        <w:gridCol w:w="691"/>
        <w:gridCol w:w="109"/>
        <w:gridCol w:w="109"/>
        <w:gridCol w:w="109"/>
        <w:gridCol w:w="109"/>
        <w:gridCol w:w="196"/>
        <w:gridCol w:w="691"/>
        <w:gridCol w:w="109"/>
        <w:gridCol w:w="109"/>
        <w:gridCol w:w="109"/>
        <w:gridCol w:w="109"/>
        <w:gridCol w:w="480"/>
        <w:gridCol w:w="481"/>
        <w:gridCol w:w="196"/>
        <w:gridCol w:w="109"/>
        <w:gridCol w:w="109"/>
        <w:gridCol w:w="109"/>
        <w:gridCol w:w="196"/>
        <w:gridCol w:w="706"/>
        <w:gridCol w:w="109"/>
        <w:gridCol w:w="109"/>
        <w:gridCol w:w="109"/>
        <w:gridCol w:w="109"/>
        <w:gridCol w:w="309"/>
        <w:gridCol w:w="734"/>
        <w:gridCol w:w="173"/>
        <w:gridCol w:w="109"/>
        <w:gridCol w:w="109"/>
        <w:gridCol w:w="109"/>
        <w:gridCol w:w="196"/>
        <w:gridCol w:w="691"/>
        <w:gridCol w:w="154"/>
      </w:tblGrid>
      <w:tr>
        <w:trPr/>
        <w:tc>
          <w:tcPr>
            <w:tcW w:w="8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Other</w:t>
              <w:br/>
              <w:t>Comprehensive</w:t>
              <w:b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Balances, December 31, 2025</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41,338,419 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3,616.2 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22,109,690 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(1,092.8)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40.6 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3,891.9 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Comprehensive Income:</w:t>
            </w:r>
          </w:p>
        </w:tc>
        <w:tc>
          <w:tcPr>
            <w:tcW w:w="115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Change in fair value of cash flow swaps, net of reclassification adjustment and $0.4 million tax expense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Unrealized loss on changes in fair value of debt securities, net of reclassification adjustment and $1.0 million tax benefit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Comprehensive income</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185.8 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net of forfeitures, in connection with share-based payment arrangements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104,412 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 repurchases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678,243 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 of common stock associated with net share settlement of employee share-based awards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37,420 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Retirement of common stock</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(678,243)</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(678,243)</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Balances, March 31, 2026</w:t>
            </w:r>
          </w:p>
        </w:tc>
        <w:tc>
          <w:tcPr>
            <w:tcW w:w="9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40,764,588 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1,330.5 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3,665.2 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22,147,110 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(1,102.6)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38.5 </w:t>
            </w:r>
          </w:p>
        </w:tc>
        <w:tc>
          <w:tcPr>
            <w:tcW w:w="1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3,932.1 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pStyle w:val="TextBody"/>
        <w:bidi w:val="0"/>
        <w:spacing w:before="0" w:after="0"/>
        <w:jc w:val="center"/>
        <w:rPr/>
      </w:pPr>
      <w:r>
        <w:rPr/>
      </w:r>
    </w:p>
    <w:tbl>
      <w:tblPr>
        <w:tblW w:w="11890" w:type="dxa"/>
        <w:jc w:val="center"/>
        <w:tblInd w:w="0" w:type="dxa"/>
        <w:tblLayout w:type="fixed"/>
        <w:tblCellMar>
          <w:top w:w="28" w:type="dxa"/>
          <w:left w:w="28" w:type="dxa"/>
          <w:bottom w:w="28" w:type="dxa"/>
          <w:right w:w="28" w:type="dxa"/>
        </w:tblCellMar>
      </w:tblPr>
      <w:tblGrid>
        <w:gridCol w:w="809"/>
        <w:gridCol w:w="272"/>
        <w:gridCol w:w="255"/>
        <w:gridCol w:w="480"/>
        <w:gridCol w:w="481"/>
        <w:gridCol w:w="196"/>
        <w:gridCol w:w="109"/>
        <w:gridCol w:w="109"/>
        <w:gridCol w:w="109"/>
        <w:gridCol w:w="198"/>
        <w:gridCol w:w="381"/>
        <w:gridCol w:w="112"/>
        <w:gridCol w:w="109"/>
        <w:gridCol w:w="109"/>
        <w:gridCol w:w="109"/>
        <w:gridCol w:w="196"/>
        <w:gridCol w:w="691"/>
        <w:gridCol w:w="109"/>
        <w:gridCol w:w="109"/>
        <w:gridCol w:w="109"/>
        <w:gridCol w:w="109"/>
        <w:gridCol w:w="196"/>
        <w:gridCol w:w="691"/>
        <w:gridCol w:w="109"/>
        <w:gridCol w:w="109"/>
        <w:gridCol w:w="109"/>
        <w:gridCol w:w="109"/>
        <w:gridCol w:w="480"/>
        <w:gridCol w:w="481"/>
        <w:gridCol w:w="196"/>
        <w:gridCol w:w="109"/>
        <w:gridCol w:w="109"/>
        <w:gridCol w:w="109"/>
        <w:gridCol w:w="196"/>
        <w:gridCol w:w="706"/>
        <w:gridCol w:w="109"/>
        <w:gridCol w:w="109"/>
        <w:gridCol w:w="109"/>
        <w:gridCol w:w="109"/>
        <w:gridCol w:w="309"/>
        <w:gridCol w:w="734"/>
        <w:gridCol w:w="173"/>
        <w:gridCol w:w="109"/>
        <w:gridCol w:w="109"/>
        <w:gridCol w:w="109"/>
        <w:gridCol w:w="196"/>
        <w:gridCol w:w="691"/>
        <w:gridCol w:w="154"/>
      </w:tblGrid>
      <w:tr>
        <w:trPr/>
        <w:tc>
          <w:tcPr>
            <w:tcW w:w="8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Other</w:t>
              <w:br/>
              <w:t>Comprehensive</w:t>
              <w:b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Balances, December 31, 2024</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41,649,426 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3,218.9 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22,065,478 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(1,079.2)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56.8 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3,502.1 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Comprehensive Income:</w:t>
            </w:r>
          </w:p>
        </w:tc>
        <w:tc>
          <w:tcPr>
            <w:tcW w:w="115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Change in fair value of cash flow swaps, net of reclassification adjustment and $3.5 million tax benefit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Unrealized gain on changes in fair value of debt securities, net of reclassification adjustment and $0.9 million tax expense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Comprehensive income</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net of forfeitures, in connection with share-based payment arrangements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117,992 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 of common stock associated with net share settlement of employee share-based awards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42,780 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Balances, March 31, 2025</w:t>
            </w:r>
          </w:p>
        </w:tc>
        <w:tc>
          <w:tcPr>
            <w:tcW w:w="9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41,767,418 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1,314.2 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3,351.0 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22,108,258 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(1,091.7)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49.6 </w:t>
            </w:r>
          </w:p>
        </w:tc>
        <w:tc>
          <w:tcPr>
            <w:tcW w:w="1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3,623.5 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222885"/>
                <wp:effectExtent l="0" t="0" r="0" b="0"/>
                <wp:wrapNone/>
                <wp:docPr id="7" name="Frame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b6aa2ca3bafa44b0981a31a355b43715_7">
        <w:r>
          <w:rPr>
            <w:rStyle w:val="InternetLink"/>
          </w:rPr>
          <w:t xml:space="preserve">Table of </w:t>
        </w:r>
      </w:hyperlink>
      <w:hyperlink w:anchor="ib6aa2ca3bafa44b0981a31a355b43715_7">
        <w:r>
          <w:rPr>
            <w:rStyle w:val="InternetLink"/>
          </w:rPr>
          <w:t>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ASBURY AUTOMOTIVE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076" w:type="dxa"/>
        <w:jc w:val="center"/>
        <w:tblInd w:w="0" w:type="dxa"/>
        <w:tblLayout w:type="fixed"/>
        <w:tblCellMar>
          <w:top w:w="28" w:type="dxa"/>
          <w:left w:w="28" w:type="dxa"/>
          <w:bottom w:w="28" w:type="dxa"/>
          <w:right w:w="28" w:type="dxa"/>
        </w:tblCellMar>
      </w:tblPr>
      <w:tblGrid>
        <w:gridCol w:w="2483"/>
        <w:gridCol w:w="2180"/>
        <w:gridCol w:w="2192"/>
        <w:gridCol w:w="303"/>
        <w:gridCol w:w="885"/>
        <w:gridCol w:w="156"/>
        <w:gridCol w:w="156"/>
        <w:gridCol w:w="156"/>
        <w:gridCol w:w="156"/>
        <w:gridCol w:w="303"/>
        <w:gridCol w:w="885"/>
        <w:gridCol w:w="221"/>
      </w:tblGrid>
      <w:tr>
        <w:trPr/>
        <w:tc>
          <w:tcPr>
            <w:tcW w:w="2483"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283"/>
              <w:jc w:val="left"/>
              <w:rPr>
                <w:sz w:val="4"/>
                <w:szCs w:val="4"/>
              </w:rPr>
            </w:pPr>
            <w:r>
              <w:rPr>
                <w:sz w:val="4"/>
                <w:szCs w:val="4"/>
              </w:rPr>
            </w:r>
          </w:p>
        </w:tc>
        <w:tc>
          <w:tcPr>
            <w:tcW w:w="2192"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68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Three Months Ended March 31,</w:t>
            </w:r>
          </w:p>
        </w:tc>
      </w:tr>
      <w:tr>
        <w:trPr/>
        <w:tc>
          <w:tcPr>
            <w:tcW w:w="68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4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 FROM OPERATING ACTIVITIES:</w:t>
            </w:r>
          </w:p>
        </w:tc>
        <w:tc>
          <w:tcPr>
            <w:tcW w:w="13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132.1 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to net cash provided by operating activities—</w:t>
            </w:r>
          </w:p>
        </w:tc>
        <w:tc>
          <w:tcPr>
            <w:tcW w:w="13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 impairments</w:t>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r>
      <w:tr>
        <w:trPr/>
        <w:tc>
          <w:tcPr>
            <w:tcW w:w="6855"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Loaner vehicle amortization</w:t>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divestitures, net</w:t>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right-of-use assets</w:t>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adjustments, net</w:t>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 net of acquisitions and divestitures—</w:t>
            </w:r>
          </w:p>
        </w:tc>
        <w:tc>
          <w:tcPr>
            <w:tcW w:w="13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Contracts-in-transit, net</w:t>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 net</w:t>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125.8 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Floor plan notes payable—trade, net</w:t>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(88.1)</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liabilities</w:t>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assets and liabilities, net</w:t>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11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225.0 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 FROM INVESTING ACTIVITIES:</w:t>
            </w:r>
          </w:p>
        </w:tc>
        <w:tc>
          <w:tcPr>
            <w:tcW w:w="13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expenditures—excluding real estate</w:t>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expenditures—real estate</w:t>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r>
      <w:tr>
        <w:trPr/>
        <w:tc>
          <w:tcPr>
            <w:tcW w:w="6855"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dealership divestitures</w:t>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debt securities—available-for-sale</w:t>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the sale of debt securities—available-for-sale</w:t>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the disposition of assets</w:t>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investing activities</w:t>
            </w:r>
          </w:p>
        </w:tc>
        <w:tc>
          <w:tcPr>
            <w:tcW w:w="11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 FROM FINANCING ACTIVITIES:</w:t>
            </w:r>
          </w:p>
        </w:tc>
        <w:tc>
          <w:tcPr>
            <w:tcW w:w="13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Floor plan borrowings—non-trade</w:t>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2,137.1 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2,135.3 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Floor plan repayments—non-trade</w:t>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(2,405.9)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(2,261.1)</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Floor plan repayments—divestitures</w:t>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Repayments of borrowings</w:t>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revolving credit facility</w:t>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302.7 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Repayments of revolving credit facility</w:t>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(302.7)</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r>
      <w:tr>
        <w:trPr/>
        <w:tc>
          <w:tcPr>
            <w:tcW w:w="6855"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r>
      <w:tr>
        <w:trPr/>
        <w:tc>
          <w:tcPr>
            <w:tcW w:w="6855"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treasury stock</w:t>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Repurchases of common stock, associated with net share settlements of </w:t>
              <w:br/>
              <w:t>employee share-based awards</w:t>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11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(550.7)</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(169.3)</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(decrease) increase in cash and cash equivalents</w:t>
            </w:r>
          </w:p>
        </w:tc>
        <w:tc>
          <w:tcPr>
            <w:tcW w:w="11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55.2 </w:t>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beginning of period</w:t>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end of period</w:t>
            </w:r>
          </w:p>
        </w:tc>
        <w:tc>
          <w:tcPr>
            <w:tcW w:w="3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124.6 </w:t>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lineRule="auto" w:line="288" w:before="60" w:after="283"/>
        <w:jc w:val="center"/>
        <w:rPr>
          <w:rFonts w:ascii="Times New Roman;serif" w:hAnsi="Times New Roman;serif"/>
          <w:b w:val="false"/>
          <w:color w:val="000000"/>
          <w:sz w:val="18"/>
        </w:rPr>
      </w:pPr>
      <w:r>
        <w:rPr>
          <w:rFonts w:ascii="Times New Roman;serif" w:hAnsi="Times New Roman;serif"/>
          <w:b w:val="false"/>
          <w:color w:val="000000"/>
          <w:sz w:val="18"/>
        </w:rPr>
        <w:t>See Note 11 "Supplemental Cash Flow Information" for further details</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222885"/>
                <wp:effectExtent l="0" t="0" r="0" b="0"/>
                <wp:wrapNone/>
                <wp:docPr id="8" name="Frame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b6aa2ca3bafa44b0981a31a355b43715_7">
        <w:r>
          <w:rPr>
            <w:rStyle w:val="InternetLink"/>
          </w:rPr>
          <w:t xml:space="preserve">Table of </w:t>
        </w:r>
      </w:hyperlink>
      <w:hyperlink w:anchor="ib6aa2ca3bafa44b0981a31a355b43715_7">
        <w:r>
          <w:rPr>
            <w:rStyle w:val="InternetLink"/>
          </w:rPr>
          <w:t>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ASBURY AUTOMOTIVE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ind w:left="0" w:right="0" w:hanging="1440"/>
        <w:jc w:val="left"/>
        <w:rPr>
          <w:rFonts w:ascii="Times New Roman;serif" w:hAnsi="Times New Roman;serif"/>
          <w:b/>
          <w:color w:val="000000"/>
          <w:sz w:val="20"/>
        </w:rPr>
      </w:pPr>
      <w:r>
        <w:rPr>
          <w:rFonts w:ascii="Times New Roman;serif" w:hAnsi="Times New Roman;serif"/>
          <w:b/>
          <w:color w:val="000000"/>
          <w:sz w:val="20"/>
        </w:rPr>
        <w:t>1. DESCRIPTION OF BUSINESS AND SUMMARY OF SIGNIFICANT ACCOUNTING POLICIES</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Asbury Automotive Group, Inc. ("we," "us," "our," "Asbury" or the "Company"), a Delaware corporation organized in 2002, is one of the largest automotive retailers in the United States. Our store operations are conducted by our subsidiaries.</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 xml:space="preserve">As of March 31, 2026, we owned and operated 202 new vehicle franchises (158 dealership locations), representing 34 brands of automobiles, and 37 collision centers in 14 states. For the three months ended March 31, 2026, our new vehicle revenue brand mix consisted of 35% luxury, 40% imports and 26% domestic brands. Our stores offer an extensive range of automotive products and services, including new and used vehicles; parts and service, which includes repair and maintenance services, replacement parts and collision repair services (collectively referred to as "parts and services" or "P&amp;S"); and finance and insurance ("F&amp;I") products, including arranging vehicle financing through third parties and aftermarket products, such as extended service contracts, guaranteed asset protection ("GAP") debt cancellation and prepaid maintenance. The F&amp;I products are provided by Total Care Auto, Powered by Asbury ("TCA"), our F&amp;I product provider, and independent third parties. The Company reflects its operations in two reportable segments: Dealerships and TCA. </w:t>
      </w:r>
    </w:p>
    <w:p>
      <w:pPr>
        <w:pStyle w:val="TextBody"/>
        <w:bidi w:val="0"/>
        <w:spacing w:lineRule="auto" w:line="288" w:before="180" w:after="180"/>
        <w:jc w:val="left"/>
        <w:rPr>
          <w:rFonts w:ascii="Times New Roman;serif" w:hAnsi="Times New Roman;serif"/>
          <w:b w:val="false"/>
          <w:i/>
          <w:color w:val="000000"/>
          <w:sz w:val="20"/>
        </w:rPr>
      </w:pPr>
      <w:r>
        <w:rPr>
          <w:rFonts w:ascii="Times New Roman;serif" w:hAnsi="Times New Roman;serif"/>
          <w:b w:val="false"/>
          <w:i/>
          <w:color w:val="000000"/>
          <w:sz w:val="20"/>
        </w:rPr>
        <w:t>Basis of Presentation</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The accompanying condensed consolidated financial statements have been prepared in accordance with accounting principles generally accepted in the United States of America ("GAAP"), and reflect the consolidated accounts of the Company and our wholly owned subsidiaries. All intercompany transactions have been eliminated in consolidation. If necessary, reclassifications of amounts previously reported have been made to the accompanying condensed consolidated financial statements in order to conform to current presentation.</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In the opinion of management, all adjustments, consisting only of normal, recurring adjustments, considered necessary for a fair statement of the condensed consolidated financial statements as of March 31, 2026, and for the three months ended March 31, 2026 and 2025, have been included, unless otherwise indicated. Amounts presented in the condensed consolidated financial statements have been calculated using non-rounded amounts for all periods presented and therefore certain amounts may not compute.</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The results of operations for the three months ended March 31, 2026 are not necessarily indicative of the results that may be expected for any other interim period, or any full year period. Our condensed consolidated financial statements should be read together with our audited consolidated financial statements contained in our Annual Report on Form 10-K for the year ended December 31, 2025.</w:t>
      </w:r>
    </w:p>
    <w:p>
      <w:pPr>
        <w:pStyle w:val="TextBody"/>
        <w:bidi w:val="0"/>
        <w:spacing w:lineRule="auto" w:line="288" w:before="180" w:after="180"/>
        <w:jc w:val="left"/>
        <w:rPr>
          <w:rFonts w:ascii="Times New Roman;serif" w:hAnsi="Times New Roman;serif"/>
          <w:b w:val="false"/>
          <w:i/>
          <w:color w:val="000000"/>
          <w:sz w:val="20"/>
        </w:rPr>
      </w:pPr>
      <w:r>
        <w:rPr>
          <w:rFonts w:ascii="Times New Roman;serif" w:hAnsi="Times New Roman;serif"/>
          <w:b w:val="false"/>
          <w:i/>
          <w:color w:val="000000"/>
          <w:sz w:val="20"/>
        </w:rPr>
        <w:t>Use of Estimates</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The preparation of financial statements in conformity with GAAP requires management to make estimates and assumptions that affect the reported amounts of assets and liabilities, disclosures of contingent assets and liabilities as of the date of the financial statements, and the reported amounts of revenues and expenses during the periods presented. Actual results could differ materially from these estimates. Estimates and assumptions are reviewed quarterly and the effects of any revisions are reflected in the consolidated financial statements in the period they are determined to be necessary. Estimates made in the accompanying condensed consolidated financial statements include, but are not limited to, those relating to inventory valuation reserves, reserves for chargebacks against revenue recognized from the sale of F&amp;I products, reserves for self-insurance programs, and certain assumptions related to goodwill and dealership franchise rights intangible assets.</w:t>
      </w:r>
    </w:p>
    <w:p>
      <w:pPr>
        <w:pStyle w:val="TextBody"/>
        <w:bidi w:val="0"/>
        <w:spacing w:lineRule="auto" w:line="288" w:before="180" w:after="180"/>
        <w:jc w:val="left"/>
        <w:rPr>
          <w:rFonts w:ascii="Times New Roman;serif" w:hAnsi="Times New Roman;serif"/>
          <w:b w:val="false"/>
          <w:i/>
          <w:color w:val="000000"/>
          <w:sz w:val="20"/>
        </w:rPr>
      </w:pPr>
      <w:r>
        <w:rPr>
          <w:rFonts w:ascii="Times New Roman;serif" w:hAnsi="Times New Roman;serif"/>
          <w:b w:val="false"/>
          <w:i/>
          <w:color w:val="000000"/>
          <w:sz w:val="20"/>
        </w:rPr>
        <w:t>Share Repurchases</w:t>
      </w:r>
    </w:p>
    <w:p>
      <w:pPr>
        <w:pStyle w:val="TextBody"/>
        <w:bidi w:val="0"/>
        <w:spacing w:lineRule="auto" w:line="268" w:before="180" w:after="180"/>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Company’s share repurchase program, share repurchases may be made from time-to-time in open market transactions or through privately negotiated transactions under the authorization approved by the Board of Directors. Periodically, the Company may retire repurchased shares of common stock previously held by the Company as treasury stock. In accordance with our accounting policy, we allocate any excess share repurchase price over par value between additional paid-in capital, which is limited to amounts initially recorded for the same issue, and retained earnings. </w:t>
      </w:r>
    </w:p>
    <w:p>
      <w:pPr>
        <w:pStyle w:val="TextBody"/>
        <w:bidi w:val="0"/>
        <w:spacing w:lineRule="auto" w:line="268" w:before="0" w:after="0"/>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three months ended March 31, 2026, the Company repurchased and retired 678,243 shares of our common stock under our share repurchase program. The cash paid for these share repurchases was $147.0 million for the three months ended March 31, 2026. There were no share repurchases or retirements during the three months ended March 31, 2025. </w:t>
      </w:r>
    </w:p>
    <w:p>
      <w:pPr>
        <w:pStyle w:val="TextBody"/>
        <w:bidi w:val="0"/>
        <w:spacing w:before="0" w:after="0"/>
        <w:ind w:left="0" w:right="0" w:firstLine="27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222885"/>
                <wp:effectExtent l="0" t="0" r="0" b="0"/>
                <wp:wrapNone/>
                <wp:docPr id="9" name="Frame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b6aa2ca3bafa44b0981a31a355b43715_7">
        <w:r>
          <w:rPr>
            <w:rStyle w:val="InternetLink"/>
          </w:rPr>
          <w:t xml:space="preserve">Table of </w:t>
        </w:r>
      </w:hyperlink>
      <w:hyperlink w:anchor="ib6aa2ca3bafa44b0981a31a355b43715_7">
        <w:r>
          <w:rPr>
            <w:rStyle w:val="InternetLink"/>
          </w:rPr>
          <w:t>Contents</w:t>
        </w:r>
      </w:hyperlink>
    </w:p>
    <w:p>
      <w:pPr>
        <w:pStyle w:val="TextBody"/>
        <w:bidi w:val="0"/>
        <w:spacing w:lineRule="auto" w:line="288" w:before="180" w:after="180"/>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2026 and 2025, the Company repurchased 37,420 and 42,780 shares of our common stock for $9.8 million and $12.5 million, respectively, from employees in connection with a net share settlement feature of employee equity-based awards.</w:t>
      </w:r>
    </w:p>
    <w:p>
      <w:pPr>
        <w:pStyle w:val="TextBody"/>
        <w:bidi w:val="0"/>
        <w:spacing w:lineRule="auto" w:line="288" w:before="0" w:after="0"/>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On February 25, 2026, the Company announced that its Board of Directors approved an increase of $424.0 million in the Company's common share repurchase authorization to $500.0 million (the "New Share Repurchase Authorization"). As of March 31, 2026, the Company had $453.0 million remaining on its share repurchase authorization. The share repurchase authorization does not require the Company to repurchase any specific number of shares, and may be modified, suspended, or terminated at any time without further notice.</w:t>
      </w:r>
    </w:p>
    <w:p>
      <w:pPr>
        <w:pStyle w:val="TextBody"/>
        <w:bidi w:val="0"/>
        <w:spacing w:lineRule="auto" w:line="288" w:before="180" w:after="180"/>
        <w:jc w:val="left"/>
        <w:rPr>
          <w:rFonts w:ascii="Times New Roman;serif" w:hAnsi="Times New Roman;serif"/>
          <w:b w:val="false"/>
          <w:i/>
          <w:color w:val="000000"/>
          <w:sz w:val="20"/>
        </w:rPr>
      </w:pPr>
      <w:r>
        <w:rPr>
          <w:rFonts w:ascii="Times New Roman;serif" w:hAnsi="Times New Roman;serif"/>
          <w:b w:val="false"/>
          <w:i/>
          <w:color w:val="000000"/>
          <w:sz w:val="20"/>
        </w:rPr>
        <w:t>Earnings per Share</w:t>
      </w:r>
    </w:p>
    <w:p>
      <w:pPr>
        <w:pStyle w:val="TextBody"/>
        <w:bidi w:val="0"/>
        <w:spacing w:lineRule="auto" w:line="288" w:before="180" w:after="180"/>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Basic earnings per share is computed by dividing net income by the weighted-average common shares outstanding during the period. Diluted earnings per share is computed by dividing net income by the weighted-average common shares and common share equivalents outstanding during the period. The Company excluded 4,574 and 4,388 restricted share units and no performance share units issued under the Asbury Automotive Group, Inc. 2019 Equity and Incentive Compensation Plan from its computation of diluted earnings per share for the three months ended March 31, 2026 and 2025, respectively, because they were anti-dilutive. For all periods presented, there were no adjustments to the numerator necessary to compute diluted earnings per share.</w:t>
      </w:r>
    </w:p>
    <w:p>
      <w:pPr>
        <w:pStyle w:val="TextBody"/>
        <w:bidi w:val="0"/>
        <w:spacing w:lineRule="auto" w:line="288" w:before="180" w:after="180"/>
        <w:jc w:val="left"/>
        <w:rPr>
          <w:rFonts w:ascii="Times New Roman;serif" w:hAnsi="Times New Roman;serif"/>
          <w:b w:val="false"/>
          <w:i/>
          <w:color w:val="000000"/>
          <w:sz w:val="20"/>
        </w:rPr>
      </w:pPr>
      <w:r>
        <w:rPr>
          <w:rFonts w:ascii="Times New Roman;serif" w:hAnsi="Times New Roman;serif"/>
          <w:b w:val="false"/>
          <w:i/>
          <w:color w:val="000000"/>
          <w:sz w:val="20"/>
        </w:rPr>
        <w:t>Recent Accounting Pronouncements</w:t>
      </w:r>
    </w:p>
    <w:p>
      <w:pPr>
        <w:pStyle w:val="TextBody"/>
        <w:bidi w:val="0"/>
        <w:spacing w:lineRule="auto" w:line="288" w:before="180" w:after="180"/>
        <w:ind w:left="0" w:right="0" w:firstLine="270"/>
        <w:jc w:val="left"/>
        <w:rPr/>
      </w:pPr>
      <w:r>
        <w:rPr>
          <w:rFonts w:ascii="Times New Roman;serif" w:hAnsi="Times New Roman;serif"/>
          <w:b w:val="false"/>
          <w:color w:val="000000"/>
          <w:sz w:val="20"/>
        </w:rPr>
        <w:t xml:space="preserve">In November 2025, the Financial Accounting Standards Board ("FASB") issued Accounting Standards Update ("ASU") 2025-09, </w:t>
      </w:r>
      <w:r>
        <w:rPr>
          <w:rFonts w:ascii="Times New Roman;serif" w:hAnsi="Times New Roman;serif"/>
          <w:b w:val="false"/>
          <w:i/>
          <w:color w:val="000000"/>
          <w:sz w:val="20"/>
        </w:rPr>
        <w:t>Derivatives and Hedging (Topic 815) - Hedge Accounting Improvements</w:t>
      </w:r>
      <w:r>
        <w:rPr>
          <w:rFonts w:ascii="Times New Roman;serif" w:hAnsi="Times New Roman;serif"/>
          <w:b w:val="false"/>
          <w:color w:val="000000"/>
          <w:sz w:val="20"/>
        </w:rPr>
        <w:t>. The ASU is intended to simplify and clarify hedge accounting under ASC 815 and improves the alignment of hedge results with risk-management activities. The standard will be effective for fiscal years beginning after December 15, 2026, and interim periods within those annual reporting periods. We are evaluating the impact of this new guidance on our consolidated financial statements.</w:t>
      </w:r>
    </w:p>
    <w:p>
      <w:pPr>
        <w:pStyle w:val="TextBody"/>
        <w:bidi w:val="0"/>
        <w:spacing w:lineRule="auto" w:line="288" w:before="180" w:after="180"/>
        <w:ind w:left="0" w:right="0" w:firstLine="270"/>
        <w:jc w:val="left"/>
        <w:rPr/>
      </w:pPr>
      <w:r>
        <w:rPr>
          <w:rFonts w:ascii="Times New Roman;serif" w:hAnsi="Times New Roman;serif"/>
          <w:b w:val="false"/>
          <w:color w:val="000000"/>
          <w:sz w:val="20"/>
        </w:rPr>
        <w:t xml:space="preserve">The FASB issued ASU 2025-06, </w:t>
      </w:r>
      <w:r>
        <w:rPr>
          <w:rFonts w:ascii="Times New Roman;serif" w:hAnsi="Times New Roman;serif"/>
          <w:b w:val="false"/>
          <w:i/>
          <w:color w:val="000000"/>
          <w:sz w:val="20"/>
        </w:rPr>
        <w:t>Intangibles – Goodwill and Other – Internal-Use Software</w:t>
      </w:r>
      <w:r>
        <w:rPr>
          <w:rFonts w:ascii="Times New Roman;serif" w:hAnsi="Times New Roman;serif"/>
          <w:b w:val="false"/>
          <w:color w:val="000000"/>
          <w:sz w:val="20"/>
        </w:rPr>
        <w:t>, in September 2025, which is intended to modernize the internal-use software guidance to adapt to the agile (i.e. iterative and flexible) basis predominantly employed to develop software today. The new standard amends the recognition threshold for capitalizing internal-use software costs and clarifies the presentation and disclosure requirements associated with internal-use software. The guidance is effective for interim and annual periods beginning after December 15, 2027 and may be applied prospectively, retrospectively or on a modified prospective basis. We are evaluating the impact of this new guidance on our consolidated financial statements.</w:t>
      </w:r>
    </w:p>
    <w:p>
      <w:pPr>
        <w:pStyle w:val="TextBody"/>
        <w:bidi w:val="0"/>
        <w:spacing w:lineRule="auto" w:line="288" w:before="180" w:after="180"/>
        <w:ind w:left="0" w:right="0" w:firstLine="270"/>
        <w:jc w:val="left"/>
        <w:rPr/>
      </w:pPr>
      <w:r>
        <w:rPr>
          <w:rFonts w:ascii="Times New Roman;serif" w:hAnsi="Times New Roman;serif"/>
          <w:b w:val="false"/>
          <w:color w:val="000000"/>
          <w:sz w:val="20"/>
        </w:rPr>
        <w:t xml:space="preserve">In July 2025, the FASB issued ASU 2025-05, </w:t>
      </w:r>
      <w:r>
        <w:rPr>
          <w:rFonts w:ascii="Times New Roman;serif" w:hAnsi="Times New Roman;serif"/>
          <w:b w:val="false"/>
          <w:i/>
          <w:color w:val="000000"/>
          <w:sz w:val="20"/>
        </w:rPr>
        <w:t xml:space="preserve">Measurement of Credit Losses for Accounts Receivable and Contract Assets. </w:t>
      </w:r>
      <w:r>
        <w:rPr>
          <w:rFonts w:ascii="Times New Roman;serif" w:hAnsi="Times New Roman;serif"/>
          <w:b w:val="false"/>
          <w:color w:val="000000"/>
          <w:sz w:val="20"/>
        </w:rPr>
        <w:t>The standard provides a practical expedient related to the estimation of expected credit losses for current accounts receivable and current contract assets. The practical expedient assumes that conditions as of the balance sheet date do not change for the remaining life of the accounts receivable and contract assets when forecasting estimated credit losses. An entity is required to disclose whether it has applied the practical expedient. The guidance is effective for interim and annual periods beginning after December 15, 2025 and should be applied prospectively. We adopted this guidance as of January 1, 2026 and elected the practical expedient as described in ASU 2025-05. The impact of adopting this new guidance on our consolidated financial statements is not material.</w:t>
      </w:r>
    </w:p>
    <w:p>
      <w:pPr>
        <w:pStyle w:val="TextBody"/>
        <w:bidi w:val="0"/>
        <w:spacing w:lineRule="auto" w:line="288" w:before="180" w:after="180"/>
        <w:ind w:left="0" w:right="0" w:firstLine="270"/>
        <w:jc w:val="left"/>
        <w:rPr/>
      </w:pPr>
      <w:r>
        <w:rPr>
          <w:rFonts w:ascii="Times New Roman;serif" w:hAnsi="Times New Roman;serif"/>
          <w:b w:val="false"/>
          <w:color w:val="000000"/>
          <w:sz w:val="20"/>
        </w:rPr>
        <w:t xml:space="preserve">The FASB issued ASU 2024-03, </w:t>
      </w:r>
      <w:r>
        <w:rPr>
          <w:rFonts w:ascii="Times New Roman;serif" w:hAnsi="Times New Roman;serif"/>
          <w:b w:val="false"/>
          <w:i/>
          <w:color w:val="000000"/>
          <w:sz w:val="20"/>
        </w:rPr>
        <w:t>Disaggregation – Income Statement Expenses</w:t>
      </w:r>
      <w:r>
        <w:rPr>
          <w:rFonts w:ascii="Times New Roman;serif" w:hAnsi="Times New Roman;serif"/>
          <w:b w:val="false"/>
          <w:color w:val="000000"/>
          <w:sz w:val="20"/>
        </w:rPr>
        <w:t>, in November 2024, which requires additional disclosure of the nature of expenses included in the income statement. The new standard requires disclosures about specific types of expenses included in the expense captions presented on the face of the income statement as well as disclosures about selling expenses. The guidance is effective for annual periods beginning after December 15, 2026 and should be applied prospectively with the option of retrospective application. We are evaluating the impact of this new guidance on our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222885"/>
                <wp:effectExtent l="0" t="0" r="0" b="0"/>
                <wp:wrapNone/>
                <wp:docPr id="10" name="Frame1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b6aa2ca3bafa44b0981a31a355b43715_7">
        <w:r>
          <w:rPr>
            <w:rStyle w:val="InternetLink"/>
          </w:rPr>
          <w:t xml:space="preserve">Table of </w:t>
        </w:r>
      </w:hyperlink>
      <w:hyperlink w:anchor="ib6aa2ca3bafa44b0981a31a355b43715_7">
        <w:r>
          <w:rPr>
            <w:rStyle w:val="InternetLink"/>
          </w:rPr>
          <w:t>Contents</w:t>
        </w:r>
      </w:hyperlink>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2. REVENUE RECOGNITION</w:t>
      </w:r>
    </w:p>
    <w:p>
      <w:pPr>
        <w:pStyle w:val="TextBody"/>
        <w:bidi w:val="0"/>
        <w:spacing w:lineRule="auto" w:line="288" w:before="180" w:after="180"/>
        <w:ind w:left="0" w:right="0" w:firstLine="270"/>
        <w:jc w:val="left"/>
        <w:rPr>
          <w:rFonts w:ascii="Times New Roman;serif" w:hAnsi="Times New Roman;serif"/>
          <w:b w:val="false"/>
          <w:i/>
          <w:color w:val="000000"/>
          <w:sz w:val="20"/>
        </w:rPr>
      </w:pPr>
      <w:r>
        <w:rPr>
          <w:rFonts w:ascii="Times New Roman;serif" w:hAnsi="Times New Roman;serif"/>
          <w:b w:val="false"/>
          <w:i/>
          <w:color w:val="000000"/>
          <w:sz w:val="20"/>
        </w:rPr>
        <w:t>Disaggregation of Revenue</w:t>
      </w:r>
    </w:p>
    <w:p>
      <w:pPr>
        <w:pStyle w:val="TextBody"/>
        <w:bidi w:val="0"/>
        <w:spacing w:lineRule="auto" w:line="288" w:before="180" w:after="180"/>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Revenue from contracts with customers consists of the following:</w:t>
      </w:r>
    </w:p>
    <w:tbl>
      <w:tblPr>
        <w:tblW w:w="6597" w:type="dxa"/>
        <w:jc w:val="center"/>
        <w:tblInd w:w="0" w:type="dxa"/>
        <w:tblLayout w:type="fixed"/>
        <w:tblCellMar>
          <w:top w:w="28" w:type="dxa"/>
          <w:left w:w="28" w:type="dxa"/>
          <w:bottom w:w="28" w:type="dxa"/>
          <w:right w:w="28" w:type="dxa"/>
        </w:tblCellMar>
      </w:tblPr>
      <w:tblGrid>
        <w:gridCol w:w="1218"/>
        <w:gridCol w:w="1076"/>
        <w:gridCol w:w="1080"/>
        <w:gridCol w:w="267"/>
        <w:gridCol w:w="971"/>
        <w:gridCol w:w="138"/>
        <w:gridCol w:w="138"/>
        <w:gridCol w:w="138"/>
        <w:gridCol w:w="138"/>
        <w:gridCol w:w="267"/>
        <w:gridCol w:w="971"/>
        <w:gridCol w:w="195"/>
      </w:tblGrid>
      <w:tr>
        <w:trPr/>
        <w:tc>
          <w:tcPr>
            <w:tcW w:w="1218"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Three Months Ended March 31,</w:t>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vehicle</w:t>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2,100.8 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2,138.1 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Used vehicle retail</w:t>
            </w:r>
          </w:p>
        </w:tc>
        <w:tc>
          <w:tcPr>
            <w:tcW w:w="12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1,059.6 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1,078.9 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Used vehicle wholesale</w:t>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146.8 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156.9 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and used vehicle</w:t>
            </w:r>
          </w:p>
        </w:tc>
        <w:tc>
          <w:tcPr>
            <w:tcW w:w="12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3,307.2 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3,373.9 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 of vehicle parts and accessories</w:t>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127.7 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125.5 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Vehicle repair and maintenance services</w:t>
            </w:r>
          </w:p>
        </w:tc>
        <w:tc>
          <w:tcPr>
            <w:tcW w:w="12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499.1 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462.1 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Parts and services</w:t>
            </w:r>
          </w:p>
        </w:tc>
        <w:tc>
          <w:tcPr>
            <w:tcW w:w="12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626.8 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587.6 </w:t>
            </w:r>
          </w:p>
        </w:tc>
        <w:tc>
          <w:tcPr>
            <w:tcW w:w="19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and insurance, net</w:t>
            </w:r>
          </w:p>
        </w:tc>
        <w:tc>
          <w:tcPr>
            <w:tcW w:w="12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179.0 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187.0 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4,113.0 </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4,148.5 </w:t>
            </w:r>
          </w:p>
        </w:tc>
        <w:tc>
          <w:tcPr>
            <w:tcW w:w="1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ind w:left="0" w:right="0" w:firstLine="270"/>
        <w:jc w:val="left"/>
        <w:rPr>
          <w:rFonts w:ascii="Times New Roman;serif" w:hAnsi="Times New Roman;serif"/>
          <w:b w:val="false"/>
          <w:i/>
          <w:color w:val="000000"/>
          <w:sz w:val="20"/>
        </w:rPr>
      </w:pPr>
      <w:r>
        <w:rPr>
          <w:rFonts w:ascii="Times New Roman;serif" w:hAnsi="Times New Roman;serif"/>
          <w:b w:val="false"/>
          <w:i/>
          <w:color w:val="000000"/>
          <w:sz w:val="20"/>
        </w:rPr>
        <w:t>Contract Assets</w:t>
      </w:r>
    </w:p>
    <w:p>
      <w:pPr>
        <w:pStyle w:val="TextBody"/>
        <w:bidi w:val="0"/>
        <w:spacing w:lineRule="auto" w:line="288" w:before="18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Changes in contract assets during the period are reflected in the table below. Contract assets related to vehicle repair and maintenance services are transferred to receivables when a repair order is completed and invoiced to the customer. Certain incremental sales commissions payable to obtain an F&amp;I revenue contract with a customer have been capitalized and are amortized using the same pattern of recognition applicable to the associated F&amp;I revenue contract. </w:t>
      </w:r>
    </w:p>
    <w:tbl>
      <w:tblPr>
        <w:tblW w:w="10205" w:type="dxa"/>
        <w:jc w:val="center"/>
        <w:tblInd w:w="0" w:type="dxa"/>
        <w:tblLayout w:type="fixed"/>
        <w:tblCellMar>
          <w:top w:w="28" w:type="dxa"/>
          <w:left w:w="28" w:type="dxa"/>
          <w:bottom w:w="28" w:type="dxa"/>
          <w:right w:w="28" w:type="dxa"/>
        </w:tblCellMar>
      </w:tblPr>
      <w:tblGrid>
        <w:gridCol w:w="1425"/>
        <w:gridCol w:w="1036"/>
        <w:gridCol w:w="1040"/>
        <w:gridCol w:w="466"/>
        <w:gridCol w:w="1129"/>
        <w:gridCol w:w="243"/>
        <w:gridCol w:w="109"/>
        <w:gridCol w:w="109"/>
        <w:gridCol w:w="109"/>
        <w:gridCol w:w="346"/>
        <w:gridCol w:w="839"/>
        <w:gridCol w:w="180"/>
        <w:gridCol w:w="109"/>
        <w:gridCol w:w="109"/>
        <w:gridCol w:w="109"/>
        <w:gridCol w:w="345"/>
        <w:gridCol w:w="1009"/>
        <w:gridCol w:w="180"/>
        <w:gridCol w:w="109"/>
        <w:gridCol w:w="109"/>
        <w:gridCol w:w="109"/>
        <w:gridCol w:w="211"/>
        <w:gridCol w:w="616"/>
        <w:gridCol w:w="159"/>
      </w:tblGrid>
      <w:tr>
        <w:trPr/>
        <w:tc>
          <w:tcPr>
            <w:tcW w:w="1425"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Vehicle Repair and Maintenance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Finance and Insurance,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Deferred Sales Commissions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3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3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Assets, January 1, 2026</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112.8 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Transferred to receivables from contract assets recognized at the beginning of the period</w:t>
            </w:r>
          </w:p>
        </w:tc>
        <w:tc>
          <w:tcPr>
            <w:tcW w:w="15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costs incurred to obtain a contract with a customer</w:t>
            </w:r>
          </w:p>
        </w:tc>
        <w:tc>
          <w:tcPr>
            <w:tcW w:w="15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incurred to obtain a contract with a customer</w:t>
            </w:r>
          </w:p>
        </w:tc>
        <w:tc>
          <w:tcPr>
            <w:tcW w:w="15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Increases related to revenue recognized, inclusive of adjustments to constraint, during the period</w:t>
            </w:r>
          </w:p>
        </w:tc>
        <w:tc>
          <w:tcPr>
            <w:tcW w:w="15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Assets, March 31, 2026</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23.4 </w:t>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117.3 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152.2 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Assets (current), March 31, 2026</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Assets (long-term), March 31, 2026</w:t>
            </w:r>
          </w:p>
        </w:tc>
        <w:tc>
          <w:tcPr>
            <w:tcW w:w="46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85.6 </w:t>
            </w:r>
          </w:p>
        </w:tc>
        <w:tc>
          <w:tcPr>
            <w:tcW w:w="18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85.6 </w:t>
            </w:r>
          </w:p>
        </w:tc>
        <w:tc>
          <w:tcPr>
            <w:tcW w:w="15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501" w:type="dxa"/>
            <w:gridSpan w:val="3"/>
            <w:tcBorders/>
            <w:vAlign w:val="center"/>
          </w:tcPr>
          <w:p>
            <w:pPr>
              <w:pStyle w:val="TableContents"/>
              <w:bidi w:val="0"/>
              <w:spacing w:before="0" w:after="283"/>
              <w:jc w:val="left"/>
              <w:rPr>
                <w:sz w:val="4"/>
                <w:szCs w:val="4"/>
              </w:rPr>
            </w:pPr>
            <w:r>
              <w:rPr>
                <w:sz w:val="4"/>
                <w:szCs w:val="4"/>
              </w:rPr>
            </w:r>
          </w:p>
        </w:tc>
        <w:tc>
          <w:tcPr>
            <w:tcW w:w="18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r>
        <w:trPr/>
        <w:tc>
          <w:tcPr>
            <w:tcW w:w="3501" w:type="dxa"/>
            <w:gridSpan w:val="3"/>
            <w:tcBorders/>
            <w:vAlign w:val="center"/>
          </w:tcPr>
          <w:p>
            <w:pPr>
              <w:pStyle w:val="TableContents"/>
              <w:bidi w:val="0"/>
              <w:spacing w:before="0" w:after="283"/>
              <w:jc w:val="left"/>
              <w:rPr>
                <w:sz w:val="4"/>
                <w:szCs w:val="4"/>
              </w:rPr>
            </w:pPr>
            <w:r>
              <w:rPr>
                <w:sz w:val="4"/>
                <w:szCs w:val="4"/>
              </w:rPr>
            </w:r>
          </w:p>
        </w:tc>
        <w:tc>
          <w:tcPr>
            <w:tcW w:w="18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r>
        <w:trPr/>
        <w:tc>
          <w:tcPr>
            <w:tcW w:w="3501" w:type="dxa"/>
            <w:gridSpan w:val="3"/>
            <w:tcBorders/>
            <w:vAlign w:val="center"/>
          </w:tcPr>
          <w:p>
            <w:pPr>
              <w:pStyle w:val="TableContents"/>
              <w:bidi w:val="0"/>
              <w:spacing w:before="0" w:after="283"/>
              <w:jc w:val="left"/>
              <w:rPr>
                <w:sz w:val="4"/>
                <w:szCs w:val="4"/>
              </w:rPr>
            </w:pPr>
            <w:r>
              <w:rPr>
                <w:sz w:val="4"/>
                <w:szCs w:val="4"/>
              </w:rPr>
            </w:r>
          </w:p>
        </w:tc>
        <w:tc>
          <w:tcPr>
            <w:tcW w:w="18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r>
        <w:trPr/>
        <w:tc>
          <w:tcPr>
            <w:tcW w:w="3501" w:type="dxa"/>
            <w:gridSpan w:val="3"/>
            <w:tcBorders/>
            <w:vAlign w:val="center"/>
          </w:tcPr>
          <w:p>
            <w:pPr>
              <w:pStyle w:val="TableContents"/>
              <w:bidi w:val="0"/>
              <w:spacing w:before="0" w:after="283"/>
              <w:jc w:val="left"/>
              <w:rPr>
                <w:sz w:val="4"/>
                <w:szCs w:val="4"/>
              </w:rPr>
            </w:pPr>
            <w:r>
              <w:rPr>
                <w:sz w:val="4"/>
                <w:szCs w:val="4"/>
              </w:rPr>
            </w:r>
          </w:p>
        </w:tc>
        <w:tc>
          <w:tcPr>
            <w:tcW w:w="18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r>
        <w:trPr/>
        <w:tc>
          <w:tcPr>
            <w:tcW w:w="3501" w:type="dxa"/>
            <w:gridSpan w:val="3"/>
            <w:tcBorders/>
            <w:vAlign w:val="center"/>
          </w:tcPr>
          <w:p>
            <w:pPr>
              <w:pStyle w:val="TableContents"/>
              <w:bidi w:val="0"/>
              <w:spacing w:before="0" w:after="283"/>
              <w:jc w:val="left"/>
              <w:rPr>
                <w:sz w:val="4"/>
                <w:szCs w:val="4"/>
              </w:rPr>
            </w:pPr>
            <w:r>
              <w:rPr>
                <w:sz w:val="4"/>
                <w:szCs w:val="4"/>
              </w:rPr>
            </w:r>
          </w:p>
        </w:tc>
        <w:tc>
          <w:tcPr>
            <w:tcW w:w="18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r>
        <w:trPr/>
        <w:tc>
          <w:tcPr>
            <w:tcW w:w="3501" w:type="dxa"/>
            <w:gridSpan w:val="3"/>
            <w:tcBorders/>
            <w:vAlign w:val="center"/>
          </w:tcPr>
          <w:p>
            <w:pPr>
              <w:pStyle w:val="TableContents"/>
              <w:bidi w:val="0"/>
              <w:spacing w:before="0" w:after="283"/>
              <w:jc w:val="left"/>
              <w:rPr>
                <w:sz w:val="4"/>
                <w:szCs w:val="4"/>
              </w:rPr>
            </w:pPr>
            <w:r>
              <w:rPr>
                <w:sz w:val="4"/>
                <w:szCs w:val="4"/>
              </w:rPr>
            </w:r>
          </w:p>
        </w:tc>
        <w:tc>
          <w:tcPr>
            <w:tcW w:w="18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r>
        <w:trPr/>
        <w:tc>
          <w:tcPr>
            <w:tcW w:w="3501" w:type="dxa"/>
            <w:gridSpan w:val="3"/>
            <w:tcBorders/>
            <w:vAlign w:val="center"/>
          </w:tcPr>
          <w:p>
            <w:pPr>
              <w:pStyle w:val="TableContents"/>
              <w:bidi w:val="0"/>
              <w:spacing w:before="0" w:after="283"/>
              <w:jc w:val="left"/>
              <w:rPr>
                <w:sz w:val="4"/>
                <w:szCs w:val="4"/>
              </w:rPr>
            </w:pPr>
            <w:r>
              <w:rPr>
                <w:sz w:val="4"/>
                <w:szCs w:val="4"/>
              </w:rPr>
            </w:r>
          </w:p>
        </w:tc>
        <w:tc>
          <w:tcPr>
            <w:tcW w:w="18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r>
        <w:trPr/>
        <w:tc>
          <w:tcPr>
            <w:tcW w:w="3501" w:type="dxa"/>
            <w:gridSpan w:val="3"/>
            <w:tcBorders/>
            <w:vAlign w:val="center"/>
          </w:tcPr>
          <w:p>
            <w:pPr>
              <w:pStyle w:val="TableContents"/>
              <w:bidi w:val="0"/>
              <w:spacing w:before="0" w:after="283"/>
              <w:jc w:val="left"/>
              <w:rPr>
                <w:sz w:val="4"/>
                <w:szCs w:val="4"/>
              </w:rPr>
            </w:pPr>
            <w:r>
              <w:rPr>
                <w:sz w:val="4"/>
                <w:szCs w:val="4"/>
              </w:rPr>
            </w:r>
          </w:p>
        </w:tc>
        <w:tc>
          <w:tcPr>
            <w:tcW w:w="18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r>
        <w:trPr/>
        <w:tc>
          <w:tcPr>
            <w:tcW w:w="3501" w:type="dxa"/>
            <w:gridSpan w:val="3"/>
            <w:tcBorders/>
            <w:vAlign w:val="center"/>
          </w:tcPr>
          <w:p>
            <w:pPr>
              <w:pStyle w:val="TableContents"/>
              <w:bidi w:val="0"/>
              <w:spacing w:before="0" w:after="283"/>
              <w:jc w:val="left"/>
              <w:rPr>
                <w:sz w:val="4"/>
                <w:szCs w:val="4"/>
              </w:rPr>
            </w:pPr>
            <w:r>
              <w:rPr>
                <w:sz w:val="4"/>
                <w:szCs w:val="4"/>
              </w:rPr>
            </w:r>
          </w:p>
        </w:tc>
        <w:tc>
          <w:tcPr>
            <w:tcW w:w="18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r>
        <w:trPr/>
        <w:tc>
          <w:tcPr>
            <w:tcW w:w="3501" w:type="dxa"/>
            <w:gridSpan w:val="3"/>
            <w:tcBorders/>
            <w:vAlign w:val="center"/>
          </w:tcPr>
          <w:p>
            <w:pPr>
              <w:pStyle w:val="TableContents"/>
              <w:bidi w:val="0"/>
              <w:spacing w:before="0" w:after="283"/>
              <w:jc w:val="left"/>
              <w:rPr>
                <w:sz w:val="4"/>
                <w:szCs w:val="4"/>
              </w:rPr>
            </w:pPr>
            <w:r>
              <w:rPr>
                <w:sz w:val="4"/>
                <w:szCs w:val="4"/>
              </w:rPr>
            </w:r>
          </w:p>
        </w:tc>
        <w:tc>
          <w:tcPr>
            <w:tcW w:w="18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r>
        <w:trPr/>
        <w:tc>
          <w:tcPr>
            <w:tcW w:w="3501" w:type="dxa"/>
            <w:gridSpan w:val="3"/>
            <w:tcBorders/>
            <w:vAlign w:val="center"/>
          </w:tcPr>
          <w:p>
            <w:pPr>
              <w:pStyle w:val="TableContents"/>
              <w:bidi w:val="0"/>
              <w:spacing w:before="0" w:after="283"/>
              <w:jc w:val="left"/>
              <w:rPr>
                <w:sz w:val="4"/>
                <w:szCs w:val="4"/>
              </w:rPr>
            </w:pPr>
            <w:r>
              <w:rPr>
                <w:sz w:val="4"/>
                <w:szCs w:val="4"/>
              </w:rPr>
            </w:r>
          </w:p>
        </w:tc>
        <w:tc>
          <w:tcPr>
            <w:tcW w:w="18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r>
        <w:trPr/>
        <w:tc>
          <w:tcPr>
            <w:tcW w:w="3501" w:type="dxa"/>
            <w:gridSpan w:val="3"/>
            <w:tcBorders/>
            <w:vAlign w:val="center"/>
          </w:tcPr>
          <w:p>
            <w:pPr>
              <w:pStyle w:val="TableContents"/>
              <w:bidi w:val="0"/>
              <w:spacing w:before="0" w:after="283"/>
              <w:jc w:val="left"/>
              <w:rPr>
                <w:sz w:val="4"/>
                <w:szCs w:val="4"/>
              </w:rPr>
            </w:pPr>
            <w:r>
              <w:rPr>
                <w:sz w:val="4"/>
                <w:szCs w:val="4"/>
              </w:rPr>
            </w:r>
          </w:p>
        </w:tc>
        <w:tc>
          <w:tcPr>
            <w:tcW w:w="18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r>
        <w:trPr/>
        <w:tc>
          <w:tcPr>
            <w:tcW w:w="3501" w:type="dxa"/>
            <w:gridSpan w:val="3"/>
            <w:tcBorders/>
            <w:vAlign w:val="center"/>
          </w:tcPr>
          <w:p>
            <w:pPr>
              <w:pStyle w:val="TableContents"/>
              <w:bidi w:val="0"/>
              <w:spacing w:before="0" w:after="283"/>
              <w:jc w:val="left"/>
              <w:rPr>
                <w:sz w:val="4"/>
                <w:szCs w:val="4"/>
              </w:rPr>
            </w:pPr>
            <w:r>
              <w:rPr>
                <w:sz w:val="4"/>
                <w:szCs w:val="4"/>
              </w:rPr>
            </w:r>
          </w:p>
        </w:tc>
        <w:tc>
          <w:tcPr>
            <w:tcW w:w="18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r>
        <w:trPr/>
        <w:tc>
          <w:tcPr>
            <w:tcW w:w="3501" w:type="dxa"/>
            <w:gridSpan w:val="3"/>
            <w:tcBorders/>
            <w:vAlign w:val="center"/>
          </w:tcPr>
          <w:p>
            <w:pPr>
              <w:pStyle w:val="TableContents"/>
              <w:bidi w:val="0"/>
              <w:spacing w:before="0" w:after="283"/>
              <w:jc w:val="left"/>
              <w:rPr>
                <w:sz w:val="4"/>
                <w:szCs w:val="4"/>
              </w:rPr>
            </w:pPr>
            <w:r>
              <w:rPr>
                <w:sz w:val="4"/>
                <w:szCs w:val="4"/>
              </w:rPr>
            </w:r>
          </w:p>
        </w:tc>
        <w:tc>
          <w:tcPr>
            <w:tcW w:w="18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r>
        <w:trPr/>
        <w:tc>
          <w:tcPr>
            <w:tcW w:w="3501" w:type="dxa"/>
            <w:gridSpan w:val="3"/>
            <w:tcBorders/>
            <w:vAlign w:val="center"/>
          </w:tcPr>
          <w:p>
            <w:pPr>
              <w:pStyle w:val="TableContents"/>
              <w:bidi w:val="0"/>
              <w:spacing w:before="0" w:after="283"/>
              <w:jc w:val="left"/>
              <w:rPr>
                <w:sz w:val="4"/>
                <w:szCs w:val="4"/>
              </w:rPr>
            </w:pPr>
            <w:r>
              <w:rPr>
                <w:sz w:val="4"/>
                <w:szCs w:val="4"/>
              </w:rPr>
            </w:r>
          </w:p>
        </w:tc>
        <w:tc>
          <w:tcPr>
            <w:tcW w:w="18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r>
        <w:trPr/>
        <w:tc>
          <w:tcPr>
            <w:tcW w:w="3501" w:type="dxa"/>
            <w:gridSpan w:val="3"/>
            <w:tcBorders/>
            <w:vAlign w:val="center"/>
          </w:tcPr>
          <w:p>
            <w:pPr>
              <w:pStyle w:val="TableContents"/>
              <w:bidi w:val="0"/>
              <w:spacing w:before="0" w:after="283"/>
              <w:jc w:val="left"/>
              <w:rPr>
                <w:sz w:val="4"/>
                <w:szCs w:val="4"/>
              </w:rPr>
            </w:pPr>
            <w:r>
              <w:rPr>
                <w:sz w:val="4"/>
                <w:szCs w:val="4"/>
              </w:rPr>
            </w:r>
          </w:p>
        </w:tc>
        <w:tc>
          <w:tcPr>
            <w:tcW w:w="18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r>
        <w:trPr/>
        <w:tc>
          <w:tcPr>
            <w:tcW w:w="3501" w:type="dxa"/>
            <w:gridSpan w:val="3"/>
            <w:tcBorders/>
            <w:vAlign w:val="center"/>
          </w:tcPr>
          <w:p>
            <w:pPr>
              <w:pStyle w:val="TableContents"/>
              <w:bidi w:val="0"/>
              <w:spacing w:before="0" w:after="283"/>
              <w:jc w:val="left"/>
              <w:rPr>
                <w:sz w:val="4"/>
                <w:szCs w:val="4"/>
              </w:rPr>
            </w:pPr>
            <w:r>
              <w:rPr>
                <w:sz w:val="4"/>
                <w:szCs w:val="4"/>
              </w:rPr>
            </w:r>
          </w:p>
        </w:tc>
        <w:tc>
          <w:tcPr>
            <w:tcW w:w="18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r>
        <w:trPr/>
        <w:tc>
          <w:tcPr>
            <w:tcW w:w="3501" w:type="dxa"/>
            <w:gridSpan w:val="3"/>
            <w:tcBorders/>
            <w:vAlign w:val="center"/>
          </w:tcPr>
          <w:p>
            <w:pPr>
              <w:pStyle w:val="TableContents"/>
              <w:bidi w:val="0"/>
              <w:spacing w:before="0" w:after="283"/>
              <w:jc w:val="left"/>
              <w:rPr>
                <w:sz w:val="4"/>
                <w:szCs w:val="4"/>
              </w:rPr>
            </w:pPr>
            <w:r>
              <w:rPr>
                <w:sz w:val="4"/>
                <w:szCs w:val="4"/>
              </w:rPr>
            </w:r>
          </w:p>
        </w:tc>
        <w:tc>
          <w:tcPr>
            <w:tcW w:w="18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Deferred Revenue</w:t>
      </w:r>
    </w:p>
    <w:p>
      <w:pPr>
        <w:pStyle w:val="TextBody"/>
        <w:bidi w:val="0"/>
        <w:spacing w:lineRule="auto" w:line="288" w:before="18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condensed consolidated balance sheet reflects $840.8 million and $828.2 million of deferred revenue as of March 31, 2026 and December 31, 2025, respectively. Approximately $70.6 million of deferred revenue at December 31, 2025 was recorded in finance and insurance, net revenue in the condensed consolidated statements of income during the three months ended March 31,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222885"/>
                <wp:effectExtent l="0" t="0" r="0" b="0"/>
                <wp:wrapNone/>
                <wp:docPr id="11" name="Frame1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b6aa2ca3bafa44b0981a31a355b43715_7">
        <w:r>
          <w:rPr>
            <w:rStyle w:val="InternetLink"/>
          </w:rPr>
          <w:t xml:space="preserve">Table of </w:t>
        </w:r>
      </w:hyperlink>
      <w:hyperlink w:anchor="ib6aa2ca3bafa44b0981a31a355b43715_7">
        <w:r>
          <w:rPr>
            <w:rStyle w:val="InternetLink"/>
          </w:rPr>
          <w:t>Contents</w:t>
        </w:r>
      </w:hyperlink>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3. ACQUISITIONS AND DIVESTITURES</w:t>
      </w:r>
    </w:p>
    <w:p>
      <w:pPr>
        <w:pStyle w:val="TextBody"/>
        <w:bidi w:val="0"/>
        <w:spacing w:lineRule="auto" w:line="288" w:before="180" w:after="180"/>
        <w:ind w:left="0" w:right="0" w:firstLine="315"/>
        <w:jc w:val="left"/>
        <w:rPr>
          <w:rFonts w:ascii="Times New Roman;serif" w:hAnsi="Times New Roman;serif"/>
          <w:b/>
          <w:color w:val="000000"/>
          <w:sz w:val="20"/>
        </w:rPr>
      </w:pPr>
      <w:r>
        <w:rPr>
          <w:rFonts w:ascii="Times New Roman;serif" w:hAnsi="Times New Roman;serif"/>
          <w:b/>
          <w:color w:val="000000"/>
          <w:sz w:val="20"/>
        </w:rPr>
        <w:t>Herb Chambers Acquisition</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On July 21, 2025, we completed the acquisition of The Herb Chambers Companies (collectively, the "Businesses"). The Herb Chambers acquisition continues Asbury's geographic expansion into the northeast region of the United States.</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 xml:space="preserve">As a result of the Herb Chambers acquisition, we acquired substantially all of the assets including the real property related thereto, for a total preliminary purchase price of approximately $1.76 billion, which includes $292.0 million of new vehicle floor plan financing, $300.0 million of used vehicle financing, $623.3 million of borrowing under a revolving credit facility, and $546.5 million of borrowing under a real estate facility. The Businesses comprise 33 dealerships, 52 franchises and three collision centers. The Businesses will form part of our Dealerships segment. </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The sources of the preliminary purchase consideration are as follows:</w:t>
      </w:r>
    </w:p>
    <w:tbl>
      <w:tblPr>
        <w:tblW w:w="3880" w:type="dxa"/>
        <w:jc w:val="center"/>
        <w:tblInd w:w="0" w:type="dxa"/>
        <w:tblLayout w:type="fixed"/>
        <w:tblCellMar>
          <w:top w:w="28" w:type="dxa"/>
          <w:left w:w="28" w:type="dxa"/>
          <w:bottom w:w="28" w:type="dxa"/>
          <w:right w:w="28" w:type="dxa"/>
        </w:tblCellMar>
      </w:tblPr>
      <w:tblGrid>
        <w:gridCol w:w="956"/>
        <w:gridCol w:w="838"/>
        <w:gridCol w:w="846"/>
        <w:gridCol w:w="109"/>
        <w:gridCol w:w="211"/>
        <w:gridCol w:w="766"/>
        <w:gridCol w:w="154"/>
      </w:tblGrid>
      <w:tr>
        <w:trPr/>
        <w:tc>
          <w:tcPr>
            <w:tcW w:w="956"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vehicle floor plan facility</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Used vehicle floor plan facility</w:t>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Revolving credit facility</w:t>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 facility</w:t>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Preliminary purchase price</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1,761.8 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Under the acquisition method of accounting, the tangible and intangible assets acquired and liabilities assumed are recorded at their estimated fair value based on information currently available. The following table summarizes the amounts recorded based on preliminary estimates of fair value:</w:t>
      </w:r>
    </w:p>
    <w:tbl>
      <w:tblPr>
        <w:tblW w:w="5860" w:type="dxa"/>
        <w:jc w:val="left"/>
        <w:tblInd w:w="0" w:type="dxa"/>
        <w:tblLayout w:type="fixed"/>
        <w:tblCellMar>
          <w:top w:w="28" w:type="dxa"/>
          <w:left w:w="28" w:type="dxa"/>
          <w:bottom w:w="28" w:type="dxa"/>
          <w:right w:w="28" w:type="dxa"/>
        </w:tblCellMar>
      </w:tblPr>
      <w:tblGrid>
        <w:gridCol w:w="1674"/>
        <w:gridCol w:w="1468"/>
        <w:gridCol w:w="1478"/>
        <w:gridCol w:w="109"/>
        <w:gridCol w:w="211"/>
        <w:gridCol w:w="766"/>
        <w:gridCol w:w="154"/>
      </w:tblGrid>
      <w:tr>
        <w:trPr/>
        <w:tc>
          <w:tcPr>
            <w:tcW w:w="1674" w:type="dxa"/>
            <w:tcBorders/>
            <w:vAlign w:val="center"/>
          </w:tcPr>
          <w:p>
            <w:pPr>
              <w:pStyle w:val="TableContents"/>
              <w:bidi w:val="0"/>
              <w:spacing w:before="0" w:after="283"/>
              <w:jc w:val="left"/>
              <w:rPr>
                <w:sz w:val="4"/>
                <w:szCs w:val="4"/>
              </w:rPr>
            </w:pPr>
            <w:r>
              <w:rPr>
                <w:sz w:val="4"/>
                <w:szCs w:val="4"/>
              </w:rPr>
            </w:r>
          </w:p>
        </w:tc>
        <w:tc>
          <w:tcPr>
            <w:tcW w:w="1468" w:type="dxa"/>
            <w:tcBorders/>
            <w:vAlign w:val="center"/>
          </w:tcPr>
          <w:p>
            <w:pPr>
              <w:pStyle w:val="TableContents"/>
              <w:bidi w:val="0"/>
              <w:spacing w:before="0" w:after="283"/>
              <w:jc w:val="left"/>
              <w:rPr>
                <w:sz w:val="4"/>
                <w:szCs w:val="4"/>
              </w:rPr>
            </w:pPr>
            <w:r>
              <w:rPr>
                <w:sz w:val="4"/>
                <w:szCs w:val="4"/>
              </w:rPr>
            </w:r>
          </w:p>
        </w:tc>
        <w:tc>
          <w:tcPr>
            <w:tcW w:w="14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Summary of Assets Acquired and Liabilities Assumed</w:t>
            </w:r>
          </w:p>
        </w:tc>
        <w:tc>
          <w:tcPr>
            <w:tcW w:w="109" w:type="dxa"/>
            <w:tcBorders/>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09" w:type="dxa"/>
            <w:tcBorders/>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 net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franchise rights</w:t>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 acquired</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1,844.2 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109" w:type="dxa"/>
            <w:tcBorders/>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assumed</w:t>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assets acquired</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1,761.8 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 xml:space="preserve">The estimated fair values of the assets acquired and liabilities assumed and the related preliminary acquisition accounting are based on management’s estimates and assumptions, as well as other information compiled by management, including the books and records of the Businesses. We believe that the information gathered to date provides a reasonable basis for estimating the fair values of assets acquired and liabilities assumed. We continue to analyze the estimated values of all assets acquired and liabilities assumed including, among other things, finalizing third-party valuations; therefore, the allocation of the purchase price remains preliminary and subject to revision during the measurement period, not to exceed one year from the acquisition date. </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Approximately $428.5 million of the purchase price was assigned to the indefinite lived franchise rights intangible assets related to the dealer agreements applicable to each new vehicle dealership. In addition, goodwill of $341.7 million was recognized and is primarily attributable to the anticipated synergies that Asbury expects to derive from the Herb Chambers acquisition as well as the acquired assembled workforce of the Businesses.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222885"/>
                <wp:effectExtent l="0" t="0" r="0" b="0"/>
                <wp:wrapNone/>
                <wp:docPr id="12" name="Frame1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b6aa2ca3bafa44b0981a31a355b43715_7">
        <w:r>
          <w:rPr>
            <w:rStyle w:val="InternetLink"/>
          </w:rPr>
          <w:t xml:space="preserve">Table of </w:t>
        </w:r>
      </w:hyperlink>
      <w:hyperlink w:anchor="ib6aa2ca3bafa44b0981a31a355b43715_7">
        <w:r>
          <w:rPr>
            <w:rStyle w:val="InternetLink"/>
          </w:rPr>
          <w:t>Contents</w:t>
        </w:r>
      </w:hyperlink>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Goodwill and manufacturer franchise rights associated with our Dealerships segment acquisitions are deductible for federal and state income tax purposes ratably over a 15-year period.</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The Company's condensed consolidated statements of income for the three months ended March 31, 2026 included revenue and net income attributable to the Businesses of $566.1 million and $14.7 million, respectively.</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There were no acquisitions during the three months ended March 31, 2026 and 2025.</w:t>
      </w: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Divestitures</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2026, we sold the following franchises:</w:t>
      </w:r>
    </w:p>
    <w:tbl>
      <w:tblPr>
        <w:tblW w:w="7373" w:type="dxa"/>
        <w:jc w:val="center"/>
        <w:tblInd w:w="0" w:type="dxa"/>
        <w:tblLayout w:type="fixed"/>
        <w:tblCellMar>
          <w:top w:w="28" w:type="dxa"/>
          <w:left w:w="28" w:type="dxa"/>
          <w:bottom w:w="28" w:type="dxa"/>
          <w:right w:w="28" w:type="dxa"/>
        </w:tblCellMar>
      </w:tblPr>
      <w:tblGrid>
        <w:gridCol w:w="803"/>
        <w:gridCol w:w="707"/>
        <w:gridCol w:w="710"/>
        <w:gridCol w:w="109"/>
        <w:gridCol w:w="109"/>
        <w:gridCol w:w="109"/>
        <w:gridCol w:w="340"/>
        <w:gridCol w:w="340"/>
        <w:gridCol w:w="341"/>
        <w:gridCol w:w="109"/>
        <w:gridCol w:w="109"/>
        <w:gridCol w:w="109"/>
        <w:gridCol w:w="315"/>
        <w:gridCol w:w="315"/>
        <w:gridCol w:w="316"/>
        <w:gridCol w:w="109"/>
        <w:gridCol w:w="109"/>
        <w:gridCol w:w="109"/>
        <w:gridCol w:w="643"/>
        <w:gridCol w:w="643"/>
        <w:gridCol w:w="919"/>
      </w:tblGrid>
      <w:tr>
        <w:trPr/>
        <w:tc>
          <w:tcPr>
            <w:tcW w:w="803"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Manufacturer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Franchises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Locations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States</w:t>
            </w:r>
          </w:p>
        </w:tc>
      </w:tr>
      <w:tr>
        <w:trPr/>
        <w:tc>
          <w:tcPr>
            <w:tcW w:w="22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Mercedes-Benz; Sprinter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Missouri</w:t>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Audi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Missouri</w:t>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Nissan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South Carolina</w:t>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Chrysler Jeep Dodge Ram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Indiana</w:t>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 Rover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Missouri; South Carolina</w:t>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Porsche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South Carolina</w:t>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BMW</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Missouri</w:t>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Infiniti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Missouri</w:t>
            </w:r>
          </w:p>
        </w:tc>
      </w:tr>
    </w:tbl>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recorded a pre-tax gain totaling $125.8 million which is presented in our accompanying condensed consolidated statements of income as a gain on dealership divestitures, net. </w:t>
      </w:r>
    </w:p>
    <w:p>
      <w:pPr>
        <w:pStyle w:val="TextBody"/>
        <w:bidi w:val="0"/>
        <w:spacing w:lineRule="auto" w:line="288" w:before="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2025, we sold the following franchises:</w:t>
      </w:r>
    </w:p>
    <w:tbl>
      <w:tblPr>
        <w:tblW w:w="5633" w:type="dxa"/>
        <w:jc w:val="center"/>
        <w:tblInd w:w="0" w:type="dxa"/>
        <w:tblLayout w:type="fixed"/>
        <w:tblCellMar>
          <w:top w:w="28" w:type="dxa"/>
          <w:left w:w="28" w:type="dxa"/>
          <w:bottom w:w="28" w:type="dxa"/>
          <w:right w:w="28" w:type="dxa"/>
        </w:tblCellMar>
      </w:tblPr>
      <w:tblGrid>
        <w:gridCol w:w="473"/>
        <w:gridCol w:w="416"/>
        <w:gridCol w:w="417"/>
        <w:gridCol w:w="109"/>
        <w:gridCol w:w="109"/>
        <w:gridCol w:w="109"/>
        <w:gridCol w:w="340"/>
        <w:gridCol w:w="340"/>
        <w:gridCol w:w="341"/>
        <w:gridCol w:w="109"/>
        <w:gridCol w:w="109"/>
        <w:gridCol w:w="109"/>
        <w:gridCol w:w="315"/>
        <w:gridCol w:w="315"/>
        <w:gridCol w:w="316"/>
        <w:gridCol w:w="109"/>
        <w:gridCol w:w="109"/>
        <w:gridCol w:w="109"/>
        <w:gridCol w:w="402"/>
        <w:gridCol w:w="402"/>
        <w:gridCol w:w="575"/>
      </w:tblGrid>
      <w:tr>
        <w:trPr/>
        <w:tc>
          <w:tcPr>
            <w:tcW w:w="473"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Manufacturer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Franchises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Locations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States</w:t>
            </w:r>
          </w:p>
        </w:tc>
      </w:tr>
      <w:tr>
        <w:trPr/>
        <w:tc>
          <w:tcPr>
            <w:tcW w:w="13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Nissan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Colorado</w:t>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Volvo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South Carolina</w:t>
            </w:r>
          </w:p>
        </w:tc>
      </w:tr>
    </w:tbl>
    <w:p>
      <w:pPr>
        <w:pStyle w:val="TextBody"/>
        <w:bidi w:val="0"/>
        <w:spacing w:lineRule="auto" w:line="288" w:before="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The Company recorded a pre-tax gain totaling $4.1 million, which is presented in our accompanying condensed consolidated statements of income as a gain on dealership divestitures, net.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440"/>
        <w:jc w:val="left"/>
        <w:rPr>
          <w:rFonts w:ascii="Times New Roman;serif" w:hAnsi="Times New Roman;serif"/>
          <w:b/>
          <w:color w:val="000000"/>
          <w:sz w:val="20"/>
        </w:rPr>
      </w:pPr>
      <w:r>
        <w:rPr>
          <w:rFonts w:ascii="Times New Roman;serif" w:hAnsi="Times New Roman;serif"/>
          <w:b/>
          <w:color w:val="000000"/>
          <w:sz w:val="20"/>
        </w:rPr>
        <w:t>4. ACCOUNTS RECEIVABLE</w:t>
      </w:r>
    </w:p>
    <w:p>
      <w:pPr>
        <w:pStyle w:val="TextBody"/>
        <w:bidi w:val="0"/>
        <w:spacing w:lineRule="auto" w:line="288" w:before="100" w:after="283"/>
        <w:ind w:left="0" w:right="0" w:firstLine="315"/>
        <w:jc w:val="left"/>
        <w:rPr/>
      </w:pPr>
      <w:r>
        <w:rPr>
          <w:rFonts w:ascii="Times New Roman;serif" w:hAnsi="Times New Roman;serif"/>
          <w:b w:val="false"/>
          <w:color w:val="000000"/>
          <w:sz w:val="20"/>
        </w:rPr>
        <w:t>Accounts receivable consisted of the following:</w:t>
      </w:r>
      <w:r>
        <w:rPr>
          <w:color w:val="000000"/>
        </w:rPr>
        <w:t> </w:t>
      </w:r>
    </w:p>
    <w:tbl>
      <w:tblPr>
        <w:tblW w:w="6056" w:type="dxa"/>
        <w:jc w:val="center"/>
        <w:tblInd w:w="0" w:type="dxa"/>
        <w:tblLayout w:type="fixed"/>
        <w:tblCellMar>
          <w:top w:w="28" w:type="dxa"/>
          <w:left w:w="28" w:type="dxa"/>
          <w:bottom w:w="28" w:type="dxa"/>
          <w:right w:w="28" w:type="dxa"/>
        </w:tblCellMar>
      </w:tblPr>
      <w:tblGrid>
        <w:gridCol w:w="1031"/>
        <w:gridCol w:w="908"/>
        <w:gridCol w:w="910"/>
        <w:gridCol w:w="291"/>
        <w:gridCol w:w="849"/>
        <w:gridCol w:w="150"/>
        <w:gridCol w:w="109"/>
        <w:gridCol w:w="109"/>
        <w:gridCol w:w="109"/>
        <w:gridCol w:w="342"/>
        <w:gridCol w:w="999"/>
        <w:gridCol w:w="249"/>
      </w:tblGrid>
      <w:tr>
        <w:trPr/>
        <w:tc>
          <w:tcPr>
            <w:tcW w:w="1031"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w:t>
            </w:r>
          </w:p>
        </w:tc>
      </w:tr>
      <w:tr>
        <w:trPr/>
        <w:tc>
          <w:tcPr>
            <w:tcW w:w="2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2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Vehicle receivables</w:t>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84.6 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Manufacturer receivables</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98.6 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113.9 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receivables</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89.0 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99.5 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accounts receivable</w:t>
            </w:r>
          </w:p>
        </w:tc>
        <w:tc>
          <w:tcPr>
            <w:tcW w:w="11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254.2 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298.0 </w:t>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Less—Allowance for credit losses</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2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250.6 </w:t>
            </w:r>
          </w:p>
        </w:tc>
        <w:tc>
          <w:tcPr>
            <w:tcW w:w="1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294.6 </w:t>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80" w:after="180"/>
        <w:ind w:left="0" w:right="0" w:hanging="14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222885"/>
                <wp:effectExtent l="0" t="0" r="0" b="0"/>
                <wp:wrapNone/>
                <wp:docPr id="13" name="Frame1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b6aa2ca3bafa44b0981a31a355b43715_7">
        <w:r>
          <w:rPr>
            <w:rStyle w:val="InternetLink"/>
          </w:rPr>
          <w:t xml:space="preserve">Table of </w:t>
        </w:r>
      </w:hyperlink>
      <w:hyperlink w:anchor="ib6aa2ca3bafa44b0981a31a355b43715_7">
        <w:r>
          <w:rPr>
            <w:rStyle w:val="InternetLink"/>
          </w:rPr>
          <w:t>Contents</w:t>
        </w:r>
      </w:hyperlink>
    </w:p>
    <w:p>
      <w:pPr>
        <w:pStyle w:val="TextBody"/>
        <w:bidi w:val="0"/>
        <w:spacing w:lineRule="auto" w:line="288" w:before="180" w:after="180"/>
        <w:ind w:left="0" w:right="0" w:hanging="1440"/>
        <w:jc w:val="left"/>
        <w:rPr>
          <w:rFonts w:ascii="Times New Roman;serif" w:hAnsi="Times New Roman;serif"/>
          <w:b/>
          <w:color w:val="000000"/>
          <w:sz w:val="20"/>
        </w:rPr>
      </w:pPr>
      <w:r>
        <w:rPr>
          <w:rFonts w:ascii="Times New Roman;serif" w:hAnsi="Times New Roman;serif"/>
          <w:b/>
          <w:color w:val="000000"/>
          <w:sz w:val="20"/>
        </w:rPr>
        <w:t>5. INVENTORIES</w:t>
      </w:r>
    </w:p>
    <w:p>
      <w:pPr>
        <w:pStyle w:val="TextBody"/>
        <w:bidi w:val="0"/>
        <w:spacing w:lineRule="auto" w:line="288" w:before="0" w:after="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Inventories consisted of the following:</w:t>
      </w:r>
    </w:p>
    <w:tbl>
      <w:tblPr>
        <w:tblW w:w="5320" w:type="dxa"/>
        <w:jc w:val="left"/>
        <w:tblInd w:w="0" w:type="dxa"/>
        <w:tblLayout w:type="fixed"/>
        <w:tblCellMar>
          <w:top w:w="28" w:type="dxa"/>
          <w:left w:w="28" w:type="dxa"/>
          <w:bottom w:w="28" w:type="dxa"/>
          <w:right w:w="28" w:type="dxa"/>
        </w:tblCellMar>
      </w:tblPr>
      <w:tblGrid>
        <w:gridCol w:w="766"/>
        <w:gridCol w:w="671"/>
        <w:gridCol w:w="678"/>
        <w:gridCol w:w="250"/>
        <w:gridCol w:w="910"/>
        <w:gridCol w:w="129"/>
        <w:gridCol w:w="109"/>
        <w:gridCol w:w="109"/>
        <w:gridCol w:w="109"/>
        <w:gridCol w:w="296"/>
        <w:gridCol w:w="1077"/>
        <w:gridCol w:w="216"/>
      </w:tblGrid>
      <w:tr>
        <w:trPr/>
        <w:tc>
          <w:tcPr>
            <w:tcW w:w="766"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w:t>
            </w:r>
          </w:p>
        </w:tc>
      </w:tr>
      <w:tr>
        <w:trPr/>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vehicles</w:t>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1,582.7 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1,582.6 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Used vehicles</w:t>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382.8 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399.9 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Parts and accessories</w:t>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150.9 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153.3 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inventories, net (a)</w:t>
            </w:r>
          </w:p>
        </w:tc>
        <w:tc>
          <w:tcPr>
            <w:tcW w:w="2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2,116.4 </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2,135.8 </w:t>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___________________________</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 Inventories, net as of March 31, 2026 and December 31, 2025, excluded $10.5 million and $96.5 million classified as assets held for sale, respectively.</w:t>
      </w:r>
    </w:p>
    <w:p>
      <w:pPr>
        <w:pStyle w:val="TextBody"/>
        <w:bidi w:val="0"/>
        <w:spacing w:lineRule="auto" w:line="288" w:before="14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 xml:space="preserve">The lower of cost and net realizable value reserves reduced total inventory cost by $8.1 million and $9.0 million, respectively, as of March 31, 2026 and December 31, 2025. As of March 31, 2026 and December 31, 2025, certain automobile manufacturer incentives reduced new vehicle inventory cost by $15.5 million and $16.2 million, respectively, and reduced new vehicle cost of sales for the three months ended March 31, 2026 and 2025 by $27.3 million and $29.2 million,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ind w:left="0" w:right="0" w:hanging="1440"/>
        <w:jc w:val="left"/>
        <w:rPr>
          <w:rFonts w:ascii="Times New Roman;serif" w:hAnsi="Times New Roman;serif"/>
          <w:b/>
          <w:color w:val="000000"/>
          <w:sz w:val="20"/>
        </w:rPr>
      </w:pPr>
      <w:r>
        <w:rPr>
          <w:rFonts w:ascii="Times New Roman;serif" w:hAnsi="Times New Roman;serif"/>
          <w:b/>
          <w:color w:val="000000"/>
          <w:sz w:val="20"/>
        </w:rPr>
        <w:t>6. ASSETS AND LIABILITIES HELD FOR SALE</w:t>
      </w:r>
    </w:p>
    <w:p>
      <w:pPr>
        <w:pStyle w:val="TextBody"/>
        <w:bidi w:val="0"/>
        <w:spacing w:lineRule="auto" w:line="288" w:before="180" w:after="180"/>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Assets and liabilities classified as held for sale include (i) assets and liabilities associated with pending dealership disposals and (ii) real estate that we are actively marketing to sell.</w:t>
      </w:r>
    </w:p>
    <w:p>
      <w:pPr>
        <w:pStyle w:val="TextBody"/>
        <w:bidi w:val="0"/>
        <w:spacing w:lineRule="auto" w:line="288" w:before="180" w:after="120"/>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A summary of assets held for sale and liabilities associated with assets held for sale is as follows:</w:t>
      </w:r>
    </w:p>
    <w:tbl>
      <w:tblPr>
        <w:tblW w:w="7421" w:type="dxa"/>
        <w:jc w:val="left"/>
        <w:tblInd w:w="0" w:type="dxa"/>
        <w:tblLayout w:type="fixed"/>
        <w:tblCellMar>
          <w:top w:w="28" w:type="dxa"/>
          <w:left w:w="28" w:type="dxa"/>
          <w:bottom w:w="28" w:type="dxa"/>
          <w:right w:w="28" w:type="dxa"/>
        </w:tblCellMar>
      </w:tblPr>
      <w:tblGrid>
        <w:gridCol w:w="1520"/>
        <w:gridCol w:w="1338"/>
        <w:gridCol w:w="1357"/>
        <w:gridCol w:w="327"/>
        <w:gridCol w:w="793"/>
        <w:gridCol w:w="169"/>
        <w:gridCol w:w="109"/>
        <w:gridCol w:w="109"/>
        <w:gridCol w:w="109"/>
        <w:gridCol w:w="342"/>
        <w:gridCol w:w="999"/>
        <w:gridCol w:w="249"/>
      </w:tblGrid>
      <w:tr>
        <w:trPr/>
        <w:tc>
          <w:tcPr>
            <w:tcW w:w="1520" w:type="dxa"/>
            <w:tcBorders/>
            <w:vAlign w:val="center"/>
          </w:tcPr>
          <w:p>
            <w:pPr>
              <w:pStyle w:val="TableContents"/>
              <w:bidi w:val="0"/>
              <w:spacing w:before="0" w:after="283"/>
              <w:jc w:val="left"/>
              <w:rPr>
                <w:sz w:val="4"/>
                <w:szCs w:val="4"/>
              </w:rPr>
            </w:pPr>
            <w:r>
              <w:rPr>
                <w:sz w:val="4"/>
                <w:szCs w:val="4"/>
              </w:rPr>
            </w:r>
          </w:p>
        </w:tc>
        <w:tc>
          <w:tcPr>
            <w:tcW w:w="1338"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6"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w:t>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6"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4215"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w:t>
            </w:r>
          </w:p>
        </w:tc>
        <w:tc>
          <w:tcPr>
            <w:tcW w:w="3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96.5 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Loaners, net</w:t>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117.3 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Franchise rights</w:t>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 held for sale</w:t>
            </w:r>
          </w:p>
        </w:tc>
        <w:tc>
          <w:tcPr>
            <w:tcW w:w="11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268.9 </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w:t>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4215"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4215"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4215"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maturities of operating leases</w:t>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associated with assets held for sale</w:t>
            </w:r>
          </w:p>
        </w:tc>
        <w:tc>
          <w:tcPr>
            <w:tcW w:w="11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assets held for sale</w:t>
            </w:r>
          </w:p>
        </w:tc>
        <w:tc>
          <w:tcPr>
            <w:tcW w:w="3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44.8 </w:t>
            </w:r>
          </w:p>
        </w:tc>
        <w:tc>
          <w:tcPr>
            <w:tcW w:w="1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267.0 </w:t>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0"/>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As of March 31, 2026, assets held for sale consisted of one franchise (one dealership location) in addition to one real estate property.</w:t>
      </w:r>
    </w:p>
    <w:p>
      <w:pPr>
        <w:pStyle w:val="TextBody"/>
        <w:bidi w:val="0"/>
        <w:spacing w:lineRule="auto" w:line="288" w:before="180" w:after="120"/>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As of December 31, 2025, assets held for sale consisted of 15 franchises (11 dealership locations) in addition to two real estate properties.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222885"/>
                <wp:effectExtent l="0" t="0" r="0" b="0"/>
                <wp:wrapNone/>
                <wp:docPr id="14" name="Frame1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b6aa2ca3bafa44b0981a31a355b43715_7">
        <w:r>
          <w:rPr>
            <w:rStyle w:val="InternetLink"/>
          </w:rPr>
          <w:t xml:space="preserve">Table of </w:t>
        </w:r>
      </w:hyperlink>
      <w:hyperlink w:anchor="ib6aa2ca3bafa44b0981a31a355b43715_7">
        <w:r>
          <w:rPr>
            <w:rStyle w:val="InternetLink"/>
          </w:rPr>
          <w:t>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7. INVESTMENTS</w:t>
      </w:r>
    </w:p>
    <w:p>
      <w:pPr>
        <w:pStyle w:val="TextBody"/>
        <w:bidi w:val="0"/>
        <w:spacing w:lineRule="auto" w:line="288" w:before="180" w:after="180"/>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Our investment portfolio is primarily funded by product premiums from the sale of our TCA F&amp;I products. The amortized cost, gross unrealized gains and losses and estimated fair values of debt securities available-for-sale are as follows:</w:t>
      </w:r>
    </w:p>
    <w:tbl>
      <w:tblPr>
        <w:tblW w:w="10205" w:type="dxa"/>
        <w:jc w:val="left"/>
        <w:tblInd w:w="0" w:type="dxa"/>
        <w:tblLayout w:type="fixed"/>
        <w:tblCellMar>
          <w:top w:w="28" w:type="dxa"/>
          <w:left w:w="28" w:type="dxa"/>
          <w:bottom w:w="28" w:type="dxa"/>
          <w:right w:w="28" w:type="dxa"/>
        </w:tblCellMar>
      </w:tblPr>
      <w:tblGrid>
        <w:gridCol w:w="1169"/>
        <w:gridCol w:w="1017"/>
        <w:gridCol w:w="1021"/>
        <w:gridCol w:w="282"/>
        <w:gridCol w:w="827"/>
        <w:gridCol w:w="145"/>
        <w:gridCol w:w="109"/>
        <w:gridCol w:w="109"/>
        <w:gridCol w:w="109"/>
        <w:gridCol w:w="109"/>
        <w:gridCol w:w="109"/>
        <w:gridCol w:w="509"/>
        <w:gridCol w:w="980"/>
        <w:gridCol w:w="265"/>
        <w:gridCol w:w="109"/>
        <w:gridCol w:w="109"/>
        <w:gridCol w:w="109"/>
        <w:gridCol w:w="513"/>
        <w:gridCol w:w="1024"/>
        <w:gridCol w:w="267"/>
        <w:gridCol w:w="109"/>
        <w:gridCol w:w="109"/>
        <w:gridCol w:w="109"/>
        <w:gridCol w:w="211"/>
        <w:gridCol w:w="616"/>
        <w:gridCol w:w="160"/>
      </w:tblGrid>
      <w:tr>
        <w:trPr/>
        <w:tc>
          <w:tcPr>
            <w:tcW w:w="1169"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2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4" w:type="dxa"/>
            <w:gridSpan w:val="1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March 31, 2026</w:t>
            </w:r>
          </w:p>
        </w:tc>
        <w:tc>
          <w:tcPr>
            <w:tcW w:w="1314" w:type="dxa"/>
            <w:gridSpan w:val="6"/>
            <w:tcBorders/>
          </w:tcPr>
          <w:p>
            <w:pPr>
              <w:pStyle w:val="TableContents"/>
              <w:bidi w:val="0"/>
              <w:spacing w:before="0" w:after="283"/>
              <w:jc w:val="left"/>
              <w:rPr>
                <w:sz w:val="4"/>
                <w:szCs w:val="4"/>
              </w:rPr>
            </w:pPr>
            <w:r>
              <w:rPr>
                <w:sz w:val="4"/>
                <w:szCs w:val="4"/>
              </w:rPr>
            </w:r>
          </w:p>
        </w:tc>
      </w:tr>
      <w:tr>
        <w:trPr/>
        <w:tc>
          <w:tcPr>
            <w:tcW w:w="32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Gross 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Gross 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w:t>
            </w:r>
          </w:p>
        </w:tc>
      </w:tr>
      <w:tr>
        <w:trPr/>
        <w:tc>
          <w:tcPr>
            <w:tcW w:w="32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4" w:type="dxa"/>
            <w:gridSpan w:val="1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c>
          <w:tcPr>
            <w:tcW w:w="1314" w:type="dxa"/>
            <w:gridSpan w:val="6"/>
            <w:tcBorders/>
          </w:tcPr>
          <w:p>
            <w:pPr>
              <w:pStyle w:val="TableContents"/>
              <w:bidi w:val="0"/>
              <w:spacing w:before="0" w:after="283"/>
              <w:jc w:val="left"/>
              <w:rPr>
                <w:sz w:val="4"/>
                <w:szCs w:val="4"/>
              </w:rPr>
            </w:pPr>
            <w:r>
              <w:rPr>
                <w:sz w:val="4"/>
                <w:szCs w:val="4"/>
              </w:rPr>
            </w:r>
          </w:p>
        </w:tc>
      </w:tr>
      <w:tr>
        <w:trPr/>
        <w:tc>
          <w:tcPr>
            <w:tcW w:w="32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Treasuries</w:t>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Municipal</w:t>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w:t>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170.1 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Mortgage and other asset-backed securities</w:t>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235.0 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7"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3207"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3207"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3207"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32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investments</w:t>
            </w:r>
          </w:p>
        </w:tc>
        <w:tc>
          <w:tcPr>
            <w:tcW w:w="2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414.0 </w:t>
            </w:r>
          </w:p>
        </w:tc>
        <w:tc>
          <w:tcPr>
            <w:tcW w:w="1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2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2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416.6 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169"/>
        <w:gridCol w:w="1017"/>
        <w:gridCol w:w="1021"/>
        <w:gridCol w:w="282"/>
        <w:gridCol w:w="827"/>
        <w:gridCol w:w="145"/>
        <w:gridCol w:w="109"/>
        <w:gridCol w:w="109"/>
        <w:gridCol w:w="109"/>
        <w:gridCol w:w="109"/>
        <w:gridCol w:w="109"/>
        <w:gridCol w:w="509"/>
        <w:gridCol w:w="980"/>
        <w:gridCol w:w="265"/>
        <w:gridCol w:w="109"/>
        <w:gridCol w:w="109"/>
        <w:gridCol w:w="109"/>
        <w:gridCol w:w="513"/>
        <w:gridCol w:w="1024"/>
        <w:gridCol w:w="267"/>
        <w:gridCol w:w="109"/>
        <w:gridCol w:w="109"/>
        <w:gridCol w:w="109"/>
        <w:gridCol w:w="211"/>
        <w:gridCol w:w="616"/>
        <w:gridCol w:w="160"/>
      </w:tblGrid>
      <w:tr>
        <w:trPr/>
        <w:tc>
          <w:tcPr>
            <w:tcW w:w="1169"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2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4" w:type="dxa"/>
            <w:gridSpan w:val="1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December 31, 2025</w:t>
            </w:r>
          </w:p>
        </w:tc>
        <w:tc>
          <w:tcPr>
            <w:tcW w:w="1314" w:type="dxa"/>
            <w:gridSpan w:val="6"/>
            <w:tcBorders/>
          </w:tcPr>
          <w:p>
            <w:pPr>
              <w:pStyle w:val="TableContents"/>
              <w:bidi w:val="0"/>
              <w:spacing w:before="0" w:after="283"/>
              <w:jc w:val="left"/>
              <w:rPr>
                <w:sz w:val="4"/>
                <w:szCs w:val="4"/>
              </w:rPr>
            </w:pPr>
            <w:r>
              <w:rPr>
                <w:sz w:val="4"/>
                <w:szCs w:val="4"/>
              </w:rPr>
            </w:r>
          </w:p>
        </w:tc>
      </w:tr>
      <w:tr>
        <w:trPr/>
        <w:tc>
          <w:tcPr>
            <w:tcW w:w="32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Gross 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Gross 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w:t>
            </w:r>
          </w:p>
        </w:tc>
      </w:tr>
      <w:tr>
        <w:trPr/>
        <w:tc>
          <w:tcPr>
            <w:tcW w:w="32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4" w:type="dxa"/>
            <w:gridSpan w:val="1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c>
          <w:tcPr>
            <w:tcW w:w="1314" w:type="dxa"/>
            <w:gridSpan w:val="6"/>
            <w:tcBorders/>
          </w:tcPr>
          <w:p>
            <w:pPr>
              <w:pStyle w:val="TableContents"/>
              <w:bidi w:val="0"/>
              <w:spacing w:before="0" w:after="283"/>
              <w:jc w:val="left"/>
              <w:rPr>
                <w:sz w:val="4"/>
                <w:szCs w:val="4"/>
              </w:rPr>
            </w:pPr>
            <w:r>
              <w:rPr>
                <w:sz w:val="4"/>
                <w:szCs w:val="4"/>
              </w:rPr>
            </w:r>
          </w:p>
        </w:tc>
      </w:tr>
      <w:tr>
        <w:trPr/>
        <w:tc>
          <w:tcPr>
            <w:tcW w:w="32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Treasuries</w:t>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Municipal</w:t>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w:t>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163.3 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Mortgage and other asset-backed securities</w:t>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237.1 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7"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3207"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3207"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3207"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32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investments</w:t>
            </w:r>
          </w:p>
        </w:tc>
        <w:tc>
          <w:tcPr>
            <w:tcW w:w="2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408.4 </w:t>
            </w:r>
          </w:p>
        </w:tc>
        <w:tc>
          <w:tcPr>
            <w:tcW w:w="1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2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2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415.3 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 xml:space="preserve">As of March 31, 2026 and December 31, 2025, the Company had $2.9 million and $3.1 million of accrued interest receivable, respectively, which is included in other current assets on the condensed consolidated balance sheets. The Company does not consider accrued interest receivable in the carrying amount of financial assets held at amortized cost basis or in the allowance for credit losses. </w:t>
      </w:r>
    </w:p>
    <w:p>
      <w:pPr>
        <w:pStyle w:val="TextBody"/>
        <w:bidi w:val="0"/>
        <w:spacing w:lineRule="auto" w:line="288" w:before="120" w:after="283"/>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A summary of amortized costs and fair value of investments by time to maturity, is as follows:</w:t>
      </w:r>
    </w:p>
    <w:tbl>
      <w:tblPr>
        <w:tblW w:w="6242" w:type="dxa"/>
        <w:jc w:val="center"/>
        <w:tblInd w:w="0" w:type="dxa"/>
        <w:tblLayout w:type="fixed"/>
        <w:tblCellMar>
          <w:top w:w="28" w:type="dxa"/>
          <w:left w:w="28" w:type="dxa"/>
          <w:bottom w:w="28" w:type="dxa"/>
          <w:right w:w="28" w:type="dxa"/>
        </w:tblCellMar>
      </w:tblPr>
      <w:tblGrid>
        <w:gridCol w:w="1304"/>
        <w:gridCol w:w="1147"/>
        <w:gridCol w:w="1164"/>
        <w:gridCol w:w="297"/>
        <w:gridCol w:w="869"/>
        <w:gridCol w:w="153"/>
        <w:gridCol w:w="109"/>
        <w:gridCol w:w="109"/>
        <w:gridCol w:w="109"/>
        <w:gridCol w:w="211"/>
        <w:gridCol w:w="616"/>
        <w:gridCol w:w="154"/>
      </w:tblGrid>
      <w:tr>
        <w:trPr/>
        <w:tc>
          <w:tcPr>
            <w:tcW w:w="1304"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March 31, 2026</w:t>
            </w:r>
          </w:p>
        </w:tc>
      </w:tr>
      <w:tr>
        <w:trPr/>
        <w:tc>
          <w:tcPr>
            <w:tcW w:w="3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w:t>
            </w:r>
          </w:p>
        </w:tc>
      </w:tr>
      <w:tr>
        <w:trPr/>
        <w:tc>
          <w:tcPr>
            <w:tcW w:w="3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in 1 year or less</w:t>
            </w:r>
          </w:p>
        </w:tc>
        <w:tc>
          <w:tcPr>
            <w:tcW w:w="2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in 1-5 years</w:t>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114.3 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in 6-10 years</w:t>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after 10 years</w:t>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by maturity</w:t>
            </w:r>
          </w:p>
        </w:tc>
        <w:tc>
          <w:tcPr>
            <w:tcW w:w="11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178.9 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Mortgage and other asset-backed securities</w:t>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235.0 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615"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615"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investment securities</w:t>
            </w:r>
          </w:p>
        </w:tc>
        <w:tc>
          <w:tcPr>
            <w:tcW w:w="2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414.0 </w:t>
            </w:r>
          </w:p>
        </w:tc>
        <w:tc>
          <w:tcPr>
            <w:tcW w:w="1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 xml:space="preserve">There were no gross losses and $0.2 million gross gains realized related to the sale of available-for-sale debt securities carried at fair value for the three months ended March 31, 2026. </w:t>
      </w:r>
    </w:p>
    <w:p>
      <w:pPr>
        <w:pStyle w:val="TextBody"/>
        <w:bidi w:val="0"/>
        <w:spacing w:lineRule="auto" w:line="288" w:before="180" w:after="180"/>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There were $0.2 million gross losses and $0.2 million gross gains realized related to the sale of available-for-sale debt securities carried at fair value for the three months ended March 31,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222885"/>
                <wp:effectExtent l="0" t="0" r="0" b="0"/>
                <wp:wrapNone/>
                <wp:docPr id="15" name="Frame1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b6aa2ca3bafa44b0981a31a355b43715_7">
        <w:r>
          <w:rPr>
            <w:rStyle w:val="InternetLink"/>
          </w:rPr>
          <w:t xml:space="preserve">Table of </w:t>
        </w:r>
      </w:hyperlink>
      <w:hyperlink w:anchor="ib6aa2ca3bafa44b0981a31a355b43715_7">
        <w:r>
          <w:rPr>
            <w:rStyle w:val="InternetLink"/>
          </w:rPr>
          <w:t>Contents</w:t>
        </w:r>
      </w:hyperlink>
    </w:p>
    <w:p>
      <w:pPr>
        <w:pStyle w:val="TextBody"/>
        <w:bidi w:val="0"/>
        <w:spacing w:lineRule="auto" w:line="288" w:before="40" w:after="180"/>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tables summarize the amount of unrealized losses, defined as the amount by which the amortized cost exceeds fair value, and the related fair value of investments with unrealized losses. The investments were segregated into two categories: those that have been in a continuous unrealized loss position for less than 12 months and those that have been in a continuous unrealized loss position for 12 or more months. The reference point for determining how long an investment was in an unrealized loss position was March 31, 2026. </w:t>
      </w:r>
    </w:p>
    <w:tbl>
      <w:tblPr>
        <w:tblW w:w="10205" w:type="dxa"/>
        <w:jc w:val="left"/>
        <w:tblInd w:w="0" w:type="dxa"/>
        <w:tblLayout w:type="fixed"/>
        <w:tblCellMar>
          <w:top w:w="28" w:type="dxa"/>
          <w:left w:w="28" w:type="dxa"/>
          <w:bottom w:w="28" w:type="dxa"/>
          <w:right w:w="28" w:type="dxa"/>
        </w:tblCellMar>
      </w:tblPr>
      <w:tblGrid>
        <w:gridCol w:w="850"/>
        <w:gridCol w:w="718"/>
        <w:gridCol w:w="721"/>
        <w:gridCol w:w="220"/>
        <w:gridCol w:w="535"/>
        <w:gridCol w:w="114"/>
        <w:gridCol w:w="109"/>
        <w:gridCol w:w="109"/>
        <w:gridCol w:w="109"/>
        <w:gridCol w:w="337"/>
        <w:gridCol w:w="672"/>
        <w:gridCol w:w="175"/>
        <w:gridCol w:w="109"/>
        <w:gridCol w:w="109"/>
        <w:gridCol w:w="109"/>
        <w:gridCol w:w="220"/>
        <w:gridCol w:w="535"/>
        <w:gridCol w:w="114"/>
        <w:gridCol w:w="109"/>
        <w:gridCol w:w="109"/>
        <w:gridCol w:w="109"/>
        <w:gridCol w:w="337"/>
        <w:gridCol w:w="672"/>
        <w:gridCol w:w="175"/>
        <w:gridCol w:w="109"/>
        <w:gridCol w:w="109"/>
        <w:gridCol w:w="109"/>
        <w:gridCol w:w="211"/>
        <w:gridCol w:w="616"/>
        <w:gridCol w:w="109"/>
        <w:gridCol w:w="109"/>
        <w:gridCol w:w="109"/>
        <w:gridCol w:w="109"/>
        <w:gridCol w:w="330"/>
        <w:gridCol w:w="658"/>
        <w:gridCol w:w="251"/>
      </w:tblGrid>
      <w:tr>
        <w:trPr/>
        <w:tc>
          <w:tcPr>
            <w:tcW w:w="850"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2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6"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March 31, 2026</w:t>
            </w:r>
          </w:p>
        </w:tc>
      </w:tr>
      <w:tr>
        <w:trPr/>
        <w:tc>
          <w:tcPr>
            <w:tcW w:w="2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Less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Greater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2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Unrealized Losses</w:t>
            </w:r>
          </w:p>
        </w:tc>
      </w:tr>
      <w:tr>
        <w:trPr/>
        <w:tc>
          <w:tcPr>
            <w:tcW w:w="2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6"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2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Treasuries</w:t>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Municipal</w:t>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w:t>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Mortgage and other asset-backed securities</w:t>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 securities</w:t>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80.9 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1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1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863"/>
        <w:gridCol w:w="730"/>
        <w:gridCol w:w="733"/>
        <w:gridCol w:w="221"/>
        <w:gridCol w:w="535"/>
        <w:gridCol w:w="114"/>
        <w:gridCol w:w="109"/>
        <w:gridCol w:w="109"/>
        <w:gridCol w:w="109"/>
        <w:gridCol w:w="339"/>
        <w:gridCol w:w="677"/>
        <w:gridCol w:w="177"/>
        <w:gridCol w:w="109"/>
        <w:gridCol w:w="109"/>
        <w:gridCol w:w="109"/>
        <w:gridCol w:w="221"/>
        <w:gridCol w:w="535"/>
        <w:gridCol w:w="114"/>
        <w:gridCol w:w="109"/>
        <w:gridCol w:w="109"/>
        <w:gridCol w:w="109"/>
        <w:gridCol w:w="339"/>
        <w:gridCol w:w="677"/>
        <w:gridCol w:w="177"/>
        <w:gridCol w:w="109"/>
        <w:gridCol w:w="109"/>
        <w:gridCol w:w="109"/>
        <w:gridCol w:w="221"/>
        <w:gridCol w:w="535"/>
        <w:gridCol w:w="114"/>
        <w:gridCol w:w="109"/>
        <w:gridCol w:w="109"/>
        <w:gridCol w:w="109"/>
        <w:gridCol w:w="332"/>
        <w:gridCol w:w="663"/>
        <w:gridCol w:w="253"/>
      </w:tblGrid>
      <w:tr>
        <w:trPr/>
        <w:tc>
          <w:tcPr>
            <w:tcW w:w="863"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r>
      <w:tr>
        <w:trPr/>
        <w:tc>
          <w:tcPr>
            <w:tcW w:w="2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9"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December 31, 2025</w:t>
            </w:r>
          </w:p>
        </w:tc>
      </w:tr>
      <w:tr>
        <w:trPr/>
        <w:tc>
          <w:tcPr>
            <w:tcW w:w="2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Less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Greater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2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Unrealized Losses</w:t>
            </w:r>
          </w:p>
        </w:tc>
      </w:tr>
      <w:tr>
        <w:trPr/>
        <w:tc>
          <w:tcPr>
            <w:tcW w:w="2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9"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23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Treasuries</w:t>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6"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r>
      <w:tr>
        <w:trPr/>
        <w:tc>
          <w:tcPr>
            <w:tcW w:w="23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w:t>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Mortgage and other asset-backed securities</w:t>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 securities</w:t>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The Company reviews the investment securities portfolio at the security level on a quarterly basis for potential credit losses, which takes into consideration numerous factors including changes in credit ratings. The decline in fair value identified in the tables above are a result of widening market spreads and not a result of credit quality. Additionally, the Company has determined it has both the intent and ability to hold these investments until the market price recovers or until maturity and does not believe it will be required to sell the securities before maturity. Accordingly, no credit losses were recognized on these securities during the three months ended March 31,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ind w:left="0" w:right="0" w:hanging="1440"/>
        <w:jc w:val="left"/>
        <w:rPr>
          <w:rFonts w:ascii="Times New Roman;serif" w:hAnsi="Times New Roman;serif"/>
          <w:b/>
          <w:color w:val="000000"/>
          <w:sz w:val="20"/>
        </w:rPr>
      </w:pPr>
      <w:r>
        <w:rPr>
          <w:rFonts w:ascii="Times New Roman;serif" w:hAnsi="Times New Roman;serif"/>
          <w:b/>
          <w:color w:val="000000"/>
          <w:sz w:val="20"/>
        </w:rPr>
        <w:t>8. FLOOR PLAN NOTES PAYABLE</w:t>
      </w:r>
    </w:p>
    <w:p>
      <w:pPr>
        <w:pStyle w:val="TextBody"/>
        <w:bidi w:val="0"/>
        <w:spacing w:lineRule="auto" w:line="288" w:before="100" w:after="6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Floor plan notes payable consisted of the following:</w:t>
      </w:r>
    </w:p>
    <w:tbl>
      <w:tblPr>
        <w:tblW w:w="6729" w:type="dxa"/>
        <w:jc w:val="center"/>
        <w:tblInd w:w="0" w:type="dxa"/>
        <w:tblLayout w:type="fixed"/>
        <w:tblCellMar>
          <w:top w:w="28" w:type="dxa"/>
          <w:left w:w="28" w:type="dxa"/>
          <w:bottom w:w="28" w:type="dxa"/>
          <w:right w:w="28" w:type="dxa"/>
        </w:tblCellMar>
      </w:tblPr>
      <w:tblGrid>
        <w:gridCol w:w="1276"/>
        <w:gridCol w:w="1122"/>
        <w:gridCol w:w="1126"/>
        <w:gridCol w:w="250"/>
        <w:gridCol w:w="910"/>
        <w:gridCol w:w="129"/>
        <w:gridCol w:w="109"/>
        <w:gridCol w:w="109"/>
        <w:gridCol w:w="109"/>
        <w:gridCol w:w="296"/>
        <w:gridCol w:w="1077"/>
        <w:gridCol w:w="216"/>
      </w:tblGrid>
      <w:tr>
        <w:trPr/>
        <w:tc>
          <w:tcPr>
            <w:tcW w:w="1276"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w:t>
            </w:r>
          </w:p>
        </w:tc>
      </w:tr>
      <w:tr>
        <w:trPr/>
        <w:tc>
          <w:tcPr>
            <w:tcW w:w="3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3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Floor plan notes payable—trade</w:t>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327.6 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344.0 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Floor plan notes payable offset account</w:t>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Floor plan notes payable—trade, net</w:t>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326.6 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343.1 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Floor plan notes payable—new non-trade</w:t>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1,416.1 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1,509.6 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Floor plan notes payable—used non-trade</w:t>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325.0 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Floor plan notes payable offset account</w:t>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(228.7)</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(150.7)</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Floor plan notes payable—non-trade, net</w:t>
            </w:r>
          </w:p>
        </w:tc>
        <w:tc>
          <w:tcPr>
            <w:tcW w:w="2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1,337.4 </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1,683.9 </w:t>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222885"/>
                <wp:effectExtent l="0" t="0" r="0" b="0"/>
                <wp:wrapNone/>
                <wp:docPr id="16" name="Frame1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b6aa2ca3bafa44b0981a31a355b43715_7">
        <w:r>
          <w:rPr>
            <w:rStyle w:val="InternetLink"/>
          </w:rPr>
          <w:t xml:space="preserve">Table of </w:t>
        </w:r>
      </w:hyperlink>
      <w:hyperlink w:anchor="ib6aa2ca3bafa44b0981a31a355b43715_7">
        <w:r>
          <w:rPr>
            <w:rStyle w:val="InternetLink"/>
          </w:rPr>
          <w:t>Contents</w:t>
        </w:r>
      </w:hyperlink>
    </w:p>
    <w:p>
      <w:pPr>
        <w:pStyle w:val="TextBody"/>
        <w:bidi w:val="0"/>
        <w:spacing w:lineRule="auto" w:line="288" w:before="60" w:after="180"/>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We have floor plan offset accounts that allow us to offset our floor plan notes payable balances outstanding with transfers of cash to reduce the amount of outstanding floor plan notes payable that would otherwise accrue interest, while retaining the ability to transfer amounts from the offset account into our operating cash accounts within the same day.</w:t>
      </w:r>
    </w:p>
    <w:p>
      <w:pPr>
        <w:pStyle w:val="TextBody"/>
        <w:bidi w:val="0"/>
        <w:spacing w:lineRule="auto" w:line="288" w:before="180" w:after="180"/>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We have the ability to convert a portion of our availability under the revolving credit facility to the new vehicle floor plan facility or the used vehicle floor plan facility. The maximum amount we are allowed to convert is determined based on our aggregate revolving commitment under the revolving credit facility, less $50.0 million. In addition, we are able to convert any amounts moved to the new vehicle floor plan facility or used vehicle floor plan facility back to the revolving credit facility.</w:t>
      </w:r>
    </w:p>
    <w:p>
      <w:pPr>
        <w:pStyle w:val="TextBody"/>
        <w:bidi w:val="0"/>
        <w:spacing w:lineRule="auto" w:line="288" w:before="180" w:after="180"/>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In addition to our new and used vehicle floor plan facilities, we have loaner vehicle floor plan facilities with Bank of America and certain original equipment manufacturers (“OEMs”). Loaner vehicle notes payable related to Bank of America as of March 31, 2026 and December 31, 2025 were $57.2 million and $65.0 million, respectively. Loaner vehicle notes payable related to OEMs as of March 31, 2026 and December 31, 2025 were $191.8 million and $190.2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9. DEBT</w:t>
      </w:r>
    </w:p>
    <w:p>
      <w:pPr>
        <w:pStyle w:val="TextBody"/>
        <w:bidi w:val="0"/>
        <w:spacing w:lineRule="auto" w:line="288" w:before="100" w:after="283"/>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Long-term debt consisted of the following:</w:t>
      </w:r>
    </w:p>
    <w:tbl>
      <w:tblPr>
        <w:tblW w:w="8365" w:type="dxa"/>
        <w:jc w:val="left"/>
        <w:tblInd w:w="0" w:type="dxa"/>
        <w:tblLayout w:type="fixed"/>
        <w:tblCellMar>
          <w:top w:w="28" w:type="dxa"/>
          <w:left w:w="28" w:type="dxa"/>
          <w:bottom w:w="28" w:type="dxa"/>
          <w:right w:w="28" w:type="dxa"/>
        </w:tblCellMar>
      </w:tblPr>
      <w:tblGrid>
        <w:gridCol w:w="1869"/>
        <w:gridCol w:w="1637"/>
        <w:gridCol w:w="1654"/>
        <w:gridCol w:w="250"/>
        <w:gridCol w:w="910"/>
        <w:gridCol w:w="129"/>
        <w:gridCol w:w="109"/>
        <w:gridCol w:w="109"/>
        <w:gridCol w:w="109"/>
        <w:gridCol w:w="296"/>
        <w:gridCol w:w="1077"/>
        <w:gridCol w:w="216"/>
      </w:tblGrid>
      <w:tr>
        <w:trPr/>
        <w:tc>
          <w:tcPr>
            <w:tcW w:w="1869" w:type="dxa"/>
            <w:tcBorders/>
            <w:vAlign w:val="center"/>
          </w:tcPr>
          <w:p>
            <w:pPr>
              <w:pStyle w:val="TableContents"/>
              <w:bidi w:val="0"/>
              <w:spacing w:before="0" w:after="283"/>
              <w:jc w:val="left"/>
              <w:rPr>
                <w:sz w:val="4"/>
                <w:szCs w:val="4"/>
              </w:rPr>
            </w:pPr>
            <w:r>
              <w:rPr>
                <w:sz w:val="4"/>
                <w:szCs w:val="4"/>
              </w:rPr>
            </w:r>
          </w:p>
        </w:tc>
        <w:tc>
          <w:tcPr>
            <w:tcW w:w="1637" w:type="dxa"/>
            <w:tcBorders/>
            <w:vAlign w:val="center"/>
          </w:tcPr>
          <w:p>
            <w:pPr>
              <w:pStyle w:val="TableContents"/>
              <w:bidi w:val="0"/>
              <w:spacing w:before="0" w:after="283"/>
              <w:jc w:val="left"/>
              <w:rPr>
                <w:sz w:val="4"/>
                <w:szCs w:val="4"/>
              </w:rPr>
            </w:pPr>
            <w:r>
              <w:rPr>
                <w:sz w:val="4"/>
                <w:szCs w:val="4"/>
              </w:rPr>
            </w:r>
          </w:p>
        </w:tc>
        <w:tc>
          <w:tcPr>
            <w:tcW w:w="1654"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5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w:t>
            </w:r>
          </w:p>
        </w:tc>
      </w:tr>
      <w:tr>
        <w:trPr/>
        <w:tc>
          <w:tcPr>
            <w:tcW w:w="5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5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4.50% Senior Notes due 2028</w:t>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405.0 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4.625% Senior Notes due 2029</w:t>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800.0 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4.75% Senior Notes due 2030</w:t>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445.0 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5.00% Senior Notes due 2032</w:t>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600.0 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Mortgage notes payable bearing interest at fixed rates</w:t>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2025 Real Estate Facility</w:t>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527.3 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537.4 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2021 Real Estate Facility</w:t>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418.9 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442.1 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2021 BofA Real Estate Facility</w:t>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149.3 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151.2 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2018 Wells Fargo Master Loan Facility</w:t>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5160"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2023 Syndicated Revolving Credit Facility</w:t>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120.0 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liability</w:t>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 outstanding</w:t>
            </w:r>
          </w:p>
        </w:tc>
        <w:tc>
          <w:tcPr>
            <w:tcW w:w="11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3,546.0 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3,593.4 </w:t>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Add—unamortized premium on 4.50% Senior Notes due 2028</w:t>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Add—unamortized premium on 4.75% Senior Notes due 2030</w:t>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Less—debt issuance costs</w:t>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including current portion</w:t>
            </w:r>
          </w:p>
        </w:tc>
        <w:tc>
          <w:tcPr>
            <w:tcW w:w="11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3,525.7 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3,572.0 </w:t>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Less—current portion, net of debt issuance costs</w:t>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(456.2)</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(479.2)</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2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3,069.5 </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3,092.8 </w:t>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10. FINANCIAL INSTRUMENTS AND FAIR VALUE</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In determining fair value, we use various valuation approaches, including market and income approaches. Accounting standards establish a hierarchy for inputs used in measuring fair value that maximizes the use of observable inputs and minimizes the use of unobservable inputs by requiring that the most observable inputs be used when available. Observable inputs are inputs that market participants would use in pricing the asset or liability developed based on market data obtained from independent sources. Unobservable inputs are inputs that reflect our assumptions about the assumptions that market participants would use in pricing the asset or liability, developed based on the best information available in the circumstances. The hierarchy is broken down into three levels based on the reliability of inputs as follows:</w:t>
      </w:r>
    </w:p>
    <w:p>
      <w:pPr>
        <w:pStyle w:val="TextBody"/>
        <w:bidi w:val="0"/>
        <w:spacing w:lineRule="auto" w:line="288" w:before="180" w:after="180"/>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 xml:space="preserve">Level 1-Valuations based on quoted prices in active markets for identical assets or liabilities that we have the ability to access. </w:t>
      </w:r>
    </w:p>
    <w:p>
      <w:pPr>
        <w:pStyle w:val="TextBody"/>
        <w:bidi w:val="0"/>
        <w:spacing w:lineRule="auto" w:line="288" w:before="180" w:after="180"/>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Level 2-Valuations based on quoted prices in markets that are not active or for which all significant inputs are observable, either directly or indirectly. Assets and liabilities utilizing Level 2 inputs include interest rate swap instruments, exchange-traded debt securities that are not actively traded or do not have a high trading volume, mortgage notes payable and certain real estate properties on a non-recurring basis.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222885"/>
                <wp:effectExtent l="0" t="0" r="0" b="0"/>
                <wp:wrapNone/>
                <wp:docPr id="17" name="Frame1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b6aa2ca3bafa44b0981a31a355b43715_7">
        <w:r>
          <w:rPr>
            <w:rStyle w:val="InternetLink"/>
          </w:rPr>
          <w:t xml:space="preserve">Table of </w:t>
        </w:r>
      </w:hyperlink>
      <w:hyperlink w:anchor="ib6aa2ca3bafa44b0981a31a355b43715_7">
        <w:r>
          <w:rPr>
            <w:rStyle w:val="InternetLink"/>
          </w:rPr>
          <w:t>Contents</w:t>
        </w:r>
      </w:hyperlink>
    </w:p>
    <w:p>
      <w:pPr>
        <w:pStyle w:val="TextBody"/>
        <w:bidi w:val="0"/>
        <w:spacing w:lineRule="auto" w:line="288" w:before="180" w:after="180"/>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Level 3-Valuations based on inputs that are unobservable and significant to the overall fair value measurement. Asset and liability measurements utilizing Level 3 inputs include those used in estimating the fair value of certain non-financial assets and non-financial liabilities in purchase acquisitions and those used in the assessment of impairment for goodwill and intangible franchise rights.</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The availability of observable inputs can vary and is affected by a wide variety of factors. To the extent that valuation is based on models or inputs that are less observable or unobservable in the market, the determination of fair value requires more judgment. Accordingly, the degree of judgment required to determine fair value is greatest for instruments categorized in Level 3. In certain cases, the inputs used to measure fair value may fall into different levels of the fair value hierarchy. In such cases, for disclosure purposes, the level in the fair value hierarchy within which the fair value measurement is disclosed is determined based on the lowest level input that is significant to the fair value measurement.</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Fair value is a market-based exit price measure considered from the perspective of a market participant who holds the asset or owes the liability rather than an entity-specific measure. Therefore, even when market assumptions are not readily available, our assumptions are set to reflect those that market participants would use in pricing the asset or liability at the measurement date. We use inputs that are current as of the measurement date, including during periods of significant market fluctuations.</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Financial instruments consist primarily of cash and cash equivalents, investments, contracts-in-transit, accounts receivable, cash surrender value of corporate-owned life insurance policies, accounts payable, floor plan notes payable, subordinated long-term debt, mortgage notes payable and interest rate swap instruments. The carrying values of our financial instruments, with the exception of subordinated long-term debt and mortgage notes payable bearing interest at fixed rates, approximate fair value primarily due to (i) their short-term nature, (ii) recently completed market transactions, or (iii) existence of variable interest rates, which approximate market rates. The fair value of our subordinated long-term debt is based on reported market prices in an inactive market that reflect Level 2 inputs. We estimate the fair value of our mortgage notes payable using a present value technique based on current market interest rates for similar types of financial instruments that reflect Level 2 inputs.</w:t>
      </w:r>
    </w:p>
    <w:p>
      <w:pPr>
        <w:pStyle w:val="TextBody"/>
        <w:bidi w:val="0"/>
        <w:spacing w:lineRule="auto" w:line="288" w:before="0" w:after="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A summary of the carrying values and fair values of our subordinated long-term debt notes and our mortgage notes payable bearing interest at fixed rates is as follows:</w:t>
      </w:r>
    </w:p>
    <w:tbl>
      <w:tblPr>
        <w:tblW w:w="7674" w:type="dxa"/>
        <w:jc w:val="left"/>
        <w:tblInd w:w="0" w:type="dxa"/>
        <w:tblLayout w:type="fixed"/>
        <w:tblCellMar>
          <w:top w:w="28" w:type="dxa"/>
          <w:left w:w="28" w:type="dxa"/>
          <w:bottom w:w="28" w:type="dxa"/>
          <w:right w:w="28" w:type="dxa"/>
        </w:tblCellMar>
      </w:tblPr>
      <w:tblGrid>
        <w:gridCol w:w="1621"/>
        <w:gridCol w:w="1419"/>
        <w:gridCol w:w="1429"/>
        <w:gridCol w:w="250"/>
        <w:gridCol w:w="910"/>
        <w:gridCol w:w="129"/>
        <w:gridCol w:w="109"/>
        <w:gridCol w:w="109"/>
        <w:gridCol w:w="109"/>
        <w:gridCol w:w="296"/>
        <w:gridCol w:w="1077"/>
        <w:gridCol w:w="216"/>
      </w:tblGrid>
      <w:tr>
        <w:trPr/>
        <w:tc>
          <w:tcPr>
            <w:tcW w:w="1621"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w:t>
            </w:r>
          </w:p>
        </w:tc>
      </w:tr>
      <w:tr>
        <w:trPr/>
        <w:tc>
          <w:tcPr>
            <w:tcW w:w="446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28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44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Carrying Value:</w:t>
            </w:r>
          </w:p>
        </w:tc>
        <w:tc>
          <w:tcPr>
            <w:tcW w:w="1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4.50% Senior Notes due 2028</w:t>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403.9 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4.625% Senior Notes due 2029</w:t>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793.8 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793.4 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4.75% Senior Notes due 2030</w:t>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443.3 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443.2 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5.00% Senior Notes due 2032</w:t>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594.1 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593.9 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Mortgage notes payable bearing interest at fixed rates</w:t>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carrying value</w:t>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2,261.9 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2,261.6 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Fair Value:</w:t>
            </w:r>
          </w:p>
        </w:tc>
        <w:tc>
          <w:tcPr>
            <w:tcW w:w="1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4.50% Senior Notes due 2028</w:t>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397.9 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399.9 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4.625% Senior Notes due 2029</w:t>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778.0 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4.75% Senior Notes due 2030</w:t>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433.9 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5.00% Senior Notes due 2032</w:t>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579.0 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Mortgage notes payable bearing interest at fixed rates</w:t>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fair value</w:t>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2,187.1 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2,218.5 </w:t>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222885"/>
                <wp:effectExtent l="0" t="0" r="0" b="0"/>
                <wp:wrapNone/>
                <wp:docPr id="18" name="Frame1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b6aa2ca3bafa44b0981a31a355b43715_7">
        <w:r>
          <w:rPr>
            <w:rStyle w:val="InternetLink"/>
          </w:rPr>
          <w:t xml:space="preserve">Table of </w:t>
        </w:r>
      </w:hyperlink>
      <w:hyperlink w:anchor="ib6aa2ca3bafa44b0981a31a355b43715_7">
        <w:r>
          <w:rPr>
            <w:rStyle w:val="InternetLink"/>
          </w:rPr>
          <w:t>Contents</w:t>
        </w:r>
      </w:hyperlink>
    </w:p>
    <w:p>
      <w:pPr>
        <w:pStyle w:val="TextBody"/>
        <w:bidi w:val="0"/>
        <w:spacing w:lineRule="auto" w:line="288" w:before="0" w:after="180"/>
        <w:ind w:left="0" w:right="0" w:hanging="360"/>
        <w:jc w:val="left"/>
        <w:rPr>
          <w:rFonts w:ascii="Times New Roman;serif" w:hAnsi="Times New Roman;serif"/>
          <w:b w:val="false"/>
          <w:i/>
          <w:color w:val="000000"/>
          <w:sz w:val="20"/>
        </w:rPr>
      </w:pPr>
      <w:r>
        <w:rPr>
          <w:rFonts w:ascii="Times New Roman;serif" w:hAnsi="Times New Roman;serif"/>
          <w:b w:val="false"/>
          <w:i/>
          <w:color w:val="000000"/>
          <w:sz w:val="20"/>
        </w:rPr>
        <w:t>Interest Rate Swap Agreements</w:t>
      </w:r>
    </w:p>
    <w:p>
      <w:pPr>
        <w:pStyle w:val="TextBody"/>
        <w:bidi w:val="0"/>
        <w:spacing w:lineRule="auto" w:line="288" w:before="180" w:after="283"/>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 xml:space="preserve">We currently have five interest rate swap agreements. These swaps are designed to provide a hedge against changes in variable rate cash flows regarding fluctuations in the SOFR rate. </w:t>
      </w:r>
    </w:p>
    <w:p>
      <w:pPr>
        <w:pStyle w:val="TextBody"/>
        <w:bidi w:val="0"/>
        <w:spacing w:lineRule="auto" w:line="288" w:before="180" w:after="283"/>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information on the attributes of each swap as of March 31, 2026:</w:t>
      </w:r>
    </w:p>
    <w:tbl>
      <w:tblPr>
        <w:tblW w:w="10205" w:type="dxa"/>
        <w:jc w:val="left"/>
        <w:tblInd w:w="0" w:type="dxa"/>
        <w:tblLayout w:type="fixed"/>
        <w:tblCellMar>
          <w:top w:w="28" w:type="dxa"/>
          <w:left w:w="28" w:type="dxa"/>
          <w:bottom w:w="28" w:type="dxa"/>
          <w:right w:w="28" w:type="dxa"/>
        </w:tblCellMar>
      </w:tblPr>
      <w:tblGrid>
        <w:gridCol w:w="427"/>
        <w:gridCol w:w="374"/>
        <w:gridCol w:w="378"/>
        <w:gridCol w:w="109"/>
        <w:gridCol w:w="109"/>
        <w:gridCol w:w="109"/>
        <w:gridCol w:w="462"/>
        <w:gridCol w:w="1349"/>
        <w:gridCol w:w="238"/>
        <w:gridCol w:w="109"/>
        <w:gridCol w:w="109"/>
        <w:gridCol w:w="109"/>
        <w:gridCol w:w="530"/>
        <w:gridCol w:w="1548"/>
        <w:gridCol w:w="274"/>
        <w:gridCol w:w="109"/>
        <w:gridCol w:w="109"/>
        <w:gridCol w:w="109"/>
        <w:gridCol w:w="454"/>
        <w:gridCol w:w="1327"/>
        <w:gridCol w:w="234"/>
        <w:gridCol w:w="109"/>
        <w:gridCol w:w="109"/>
        <w:gridCol w:w="109"/>
        <w:gridCol w:w="401"/>
        <w:gridCol w:w="369"/>
        <w:gridCol w:w="532"/>
      </w:tblGrid>
      <w:tr>
        <w:trPr/>
        <w:tc>
          <w:tcPr>
            <w:tcW w:w="427"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548"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r>
      <w:tr>
        <w:trPr/>
        <w:tc>
          <w:tcPr>
            <w:tcW w:w="11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Inception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Notional Principal at Inception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Notional Value as of 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Notional Principal at Maturity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Maturity Date</w:t>
            </w:r>
          </w:p>
        </w:tc>
      </w:tr>
      <w:tr>
        <w:trPr/>
        <w:tc>
          <w:tcPr>
            <w:tcW w:w="11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9"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January 2022</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49"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300.0 </w:t>
            </w:r>
          </w:p>
        </w:tc>
        <w:tc>
          <w:tcPr>
            <w:tcW w:w="238"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48"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240.0 </w:t>
            </w:r>
          </w:p>
        </w:tc>
        <w:tc>
          <w:tcPr>
            <w:tcW w:w="274"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27"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228.8 </w:t>
            </w:r>
          </w:p>
        </w:tc>
        <w:tc>
          <w:tcPr>
            <w:tcW w:w="234"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2026</w:t>
            </w:r>
          </w:p>
        </w:tc>
      </w:tr>
      <w:tr>
        <w:trPr/>
        <w:tc>
          <w:tcPr>
            <w:tcW w:w="1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January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2031</w:t>
            </w:r>
          </w:p>
        </w:tc>
      </w:tr>
      <w:tr>
        <w:trPr/>
        <w:tc>
          <w:tcPr>
            <w:tcW w:w="1179"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May 2021</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49"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184.4 </w:t>
            </w:r>
          </w:p>
        </w:tc>
        <w:tc>
          <w:tcPr>
            <w:tcW w:w="238"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48"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149.3 </w:t>
            </w:r>
          </w:p>
        </w:tc>
        <w:tc>
          <w:tcPr>
            <w:tcW w:w="274"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27"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110.6 </w:t>
            </w:r>
          </w:p>
        </w:tc>
        <w:tc>
          <w:tcPr>
            <w:tcW w:w="234"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May 2031</w:t>
            </w:r>
          </w:p>
        </w:tc>
      </w:tr>
      <w:tr>
        <w:trPr/>
        <w:tc>
          <w:tcPr>
            <w:tcW w:w="1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July 2020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93.5 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2028</w:t>
            </w:r>
          </w:p>
        </w:tc>
      </w:tr>
      <w:tr>
        <w:trPr/>
        <w:tc>
          <w:tcPr>
            <w:tcW w:w="1179"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2026</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49"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250.0 </w:t>
            </w:r>
          </w:p>
        </w:tc>
        <w:tc>
          <w:tcPr>
            <w:tcW w:w="238"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48"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248.9 </w:t>
            </w:r>
          </w:p>
        </w:tc>
        <w:tc>
          <w:tcPr>
            <w:tcW w:w="274"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27"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194.3 </w:t>
            </w:r>
          </w:p>
        </w:tc>
        <w:tc>
          <w:tcPr>
            <w:tcW w:w="234"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July 2030</w:t>
            </w:r>
          </w:p>
        </w:tc>
      </w:tr>
    </w:tbl>
    <w:p>
      <w:pPr>
        <w:pStyle w:val="TextBody"/>
        <w:bidi w:val="0"/>
        <w:spacing w:lineRule="auto" w:line="288" w:before="180" w:after="180"/>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 xml:space="preserve">The fair value of cash flow swaps is calculated as the present value of expected future cash flows, determined on the basis of forward interest rates and present value factors. Fair value estimates reflect a credit adjustment to the discount rate applied to all expected cash flows under the swaps. Other than this input, all other inputs used in the valuation for these swaps are designated to be Level 2 inputs. The fair value of our swaps as of March 31, 2026 and December 31, 2025 reflect a net asset of $48.7 million and $47.0 million, respectively. </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information regarding the fair value of our interest rate swap agreements and the impact on the condensed consolidated balance sheets:</w:t>
      </w:r>
    </w:p>
    <w:tbl>
      <w:tblPr>
        <w:tblW w:w="5235" w:type="dxa"/>
        <w:jc w:val="left"/>
        <w:tblInd w:w="0" w:type="dxa"/>
        <w:tblLayout w:type="fixed"/>
        <w:tblCellMar>
          <w:top w:w="28" w:type="dxa"/>
          <w:left w:w="28" w:type="dxa"/>
          <w:bottom w:w="28" w:type="dxa"/>
          <w:right w:w="28" w:type="dxa"/>
        </w:tblCellMar>
      </w:tblPr>
      <w:tblGrid>
        <w:gridCol w:w="695"/>
        <w:gridCol w:w="611"/>
        <w:gridCol w:w="614"/>
        <w:gridCol w:w="109"/>
        <w:gridCol w:w="327"/>
        <w:gridCol w:w="793"/>
        <w:gridCol w:w="169"/>
        <w:gridCol w:w="109"/>
        <w:gridCol w:w="109"/>
        <w:gridCol w:w="109"/>
        <w:gridCol w:w="382"/>
        <w:gridCol w:w="927"/>
        <w:gridCol w:w="281"/>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r>
      <w:tr>
        <w:trPr/>
        <w:tc>
          <w:tcPr>
            <w:tcW w:w="1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w:t>
            </w:r>
          </w:p>
        </w:tc>
      </w:tr>
      <w:tr>
        <w:trPr/>
        <w:tc>
          <w:tcPr>
            <w:tcW w:w="1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1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1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assets</w:t>
            </w:r>
          </w:p>
        </w:tc>
        <w:tc>
          <w:tcPr>
            <w:tcW w:w="109" w:type="dxa"/>
            <w:tcBorders/>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fair value</w:t>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48.7 </w:t>
            </w:r>
          </w:p>
        </w:tc>
        <w:tc>
          <w:tcPr>
            <w:tcW w:w="1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47.0 </w:t>
            </w:r>
          </w:p>
        </w:tc>
        <w:tc>
          <w:tcPr>
            <w:tcW w:w="2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270"/>
        <w:jc w:val="left"/>
        <w:rPr/>
      </w:pPr>
      <w:r>
        <w:rPr>
          <w:rFonts w:ascii="Times New Roman;serif" w:hAnsi="Times New Roman;serif"/>
          <w:b w:val="false"/>
          <w:color w:val="000000"/>
          <w:sz w:val="20"/>
        </w:rPr>
        <w:t>Our interest rate swaps qualify for cash flow hedge accounting treatment. These interest rate swaps are marked to market at each reporting date and</w:t>
      </w:r>
      <w:r>
        <w:rPr>
          <w:color w:val="000000"/>
        </w:rPr>
        <w:t xml:space="preserve"> </w:t>
      </w:r>
      <w:r>
        <w:rPr>
          <w:rFonts w:ascii="Times New Roman;serif" w:hAnsi="Times New Roman;serif"/>
          <w:b w:val="false"/>
          <w:color w:val="000000"/>
          <w:sz w:val="20"/>
        </w:rPr>
        <w:t>any unrealized gains or losses are included in accumulated other comprehensive income and reclassified to interest expense in the same period or periods during which the hedged transactions affect earnings. Information about the effects of our interest rate swap agreements in the accompanying condensed consolidated statements of income and condensed consolidated statements of comprehensive income, is as follows (in millions):</w:t>
      </w:r>
    </w:p>
    <w:tbl>
      <w:tblPr>
        <w:tblW w:w="10205" w:type="dxa"/>
        <w:jc w:val="left"/>
        <w:tblInd w:w="0" w:type="dxa"/>
        <w:tblLayout w:type="fixed"/>
        <w:tblCellMar>
          <w:top w:w="28" w:type="dxa"/>
          <w:left w:w="28" w:type="dxa"/>
          <w:bottom w:w="28" w:type="dxa"/>
          <w:right w:w="28" w:type="dxa"/>
        </w:tblCellMar>
      </w:tblPr>
      <w:tblGrid>
        <w:gridCol w:w="485"/>
        <w:gridCol w:w="425"/>
        <w:gridCol w:w="429"/>
        <w:gridCol w:w="109"/>
        <w:gridCol w:w="109"/>
        <w:gridCol w:w="109"/>
        <w:gridCol w:w="686"/>
        <w:gridCol w:w="1372"/>
        <w:gridCol w:w="356"/>
        <w:gridCol w:w="109"/>
        <w:gridCol w:w="109"/>
        <w:gridCol w:w="109"/>
        <w:gridCol w:w="980"/>
        <w:gridCol w:w="980"/>
        <w:gridCol w:w="983"/>
        <w:gridCol w:w="109"/>
        <w:gridCol w:w="109"/>
        <w:gridCol w:w="109"/>
        <w:gridCol w:w="676"/>
        <w:gridCol w:w="1350"/>
        <w:gridCol w:w="502"/>
      </w:tblGrid>
      <w:tr>
        <w:trPr/>
        <w:tc>
          <w:tcPr>
            <w:tcW w:w="48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r>
      <w:tr>
        <w:trPr/>
        <w:tc>
          <w:tcPr>
            <w:tcW w:w="13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Results Recognized in Accumulated Other Comprehensive Income/(Loss)</w:t>
              <w:br/>
              <w:t>(Effective Portion)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18"/>
              </w:rPr>
            </w:pPr>
            <w:r>
              <w:rPr>
                <w:rFonts w:ascii="Times New Roman;serif" w:hAnsi="Times New Roman;serif"/>
                <w:b/>
                <w:color w:val="000000"/>
                <w:sz w:val="18"/>
              </w:rPr>
              <w:t>Location of Results Reclassified from Accumulated Other Comprehensive Income/(Loss) to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Results Reclassified from Accumulated Other Comprehensive Income/(Loss)</w:t>
              <w:br/>
              <w:t>to Earnings</w:t>
            </w:r>
          </w:p>
        </w:tc>
      </w:tr>
      <w:tr>
        <w:trPr/>
        <w:tc>
          <w:tcPr>
            <w:tcW w:w="1339" w:type="dxa"/>
            <w:gridSpan w:val="3"/>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72"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356"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3"/>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Other interest expense, net</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50"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502"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Other interest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w:t>
            </w:r>
          </w:p>
        </w:tc>
        <w:tc>
          <w:tcPr>
            <w:tcW w:w="5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270"/>
        <w:jc w:val="left"/>
        <w:rPr/>
      </w:pPr>
      <w:r>
        <w:rPr>
          <w:color w:val="000000"/>
        </w:rPr>
        <w:t> </w:t>
      </w:r>
      <w:r>
        <w:rPr>
          <w:rFonts w:ascii="Times New Roman;serif" w:hAnsi="Times New Roman;serif"/>
          <w:b w:val="false"/>
          <w:color w:val="000000"/>
          <w:sz w:val="20"/>
        </w:rPr>
        <w:t xml:space="preserve">On the basis of yield curve conditions as of March 31, 2026 and including assumptions about future changes in fair value, we expect the amount to be reclassified out of accumulated other comprehensive income into earnings within the next 12 months will be gains of approximately $14.0 million.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222885"/>
                <wp:effectExtent l="0" t="0" r="0" b="0"/>
                <wp:wrapNone/>
                <wp:docPr id="19" name="Frame1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b6aa2ca3bafa44b0981a31a355b43715_7">
        <w:r>
          <w:rPr>
            <w:rStyle w:val="InternetLink"/>
          </w:rPr>
          <w:t xml:space="preserve">Table of </w:t>
        </w:r>
      </w:hyperlink>
      <w:hyperlink w:anchor="ib6aa2ca3bafa44b0981a31a355b43715_7">
        <w:r>
          <w:rPr>
            <w:rStyle w:val="InternetLink"/>
          </w:rPr>
          <w:t>Contents</w:t>
        </w:r>
      </w:hyperlink>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Investments</w:t>
      </w:r>
    </w:p>
    <w:p>
      <w:pPr>
        <w:pStyle w:val="TextBody"/>
        <w:bidi w:val="0"/>
        <w:spacing w:lineRule="auto" w:line="288" w:before="180" w:after="180"/>
        <w:ind w:left="0" w:right="0" w:firstLine="270"/>
        <w:jc w:val="left"/>
        <w:rPr/>
      </w:pPr>
      <w:r>
        <w:rPr>
          <w:rFonts w:ascii="Times New Roman;serif" w:hAnsi="Times New Roman;serif"/>
          <w:b w:val="false"/>
          <w:color w:val="000000"/>
          <w:sz w:val="18"/>
        </w:rPr>
        <w:t>The</w:t>
      </w:r>
      <w:r>
        <w:rPr>
          <w:color w:val="000000"/>
        </w:rPr>
        <w:t xml:space="preserve"> </w:t>
      </w:r>
      <w:r>
        <w:rPr>
          <w:rFonts w:ascii="Times New Roman;serif" w:hAnsi="Times New Roman;serif"/>
          <w:b w:val="false"/>
          <w:color w:val="000000"/>
          <w:sz w:val="20"/>
        </w:rPr>
        <w:t>table below presents the Company’s investment securities that are measured at fair value on a recurring basis aggregated by the level in the fair value hierarchy within which those measurements fall:</w:t>
      </w:r>
    </w:p>
    <w:tbl>
      <w:tblPr>
        <w:tblW w:w="8073" w:type="dxa"/>
        <w:jc w:val="left"/>
        <w:tblInd w:w="0" w:type="dxa"/>
        <w:tblLayout w:type="fixed"/>
        <w:tblCellMar>
          <w:top w:w="28" w:type="dxa"/>
          <w:left w:w="28" w:type="dxa"/>
          <w:bottom w:w="28" w:type="dxa"/>
          <w:right w:w="28" w:type="dxa"/>
        </w:tblCellMar>
      </w:tblPr>
      <w:tblGrid>
        <w:gridCol w:w="1308"/>
        <w:gridCol w:w="1150"/>
        <w:gridCol w:w="1156"/>
        <w:gridCol w:w="109"/>
        <w:gridCol w:w="211"/>
        <w:gridCol w:w="406"/>
        <w:gridCol w:w="109"/>
        <w:gridCol w:w="109"/>
        <w:gridCol w:w="109"/>
        <w:gridCol w:w="109"/>
        <w:gridCol w:w="211"/>
        <w:gridCol w:w="616"/>
        <w:gridCol w:w="109"/>
        <w:gridCol w:w="109"/>
        <w:gridCol w:w="109"/>
        <w:gridCol w:w="109"/>
        <w:gridCol w:w="211"/>
        <w:gridCol w:w="406"/>
        <w:gridCol w:w="109"/>
        <w:gridCol w:w="109"/>
        <w:gridCol w:w="109"/>
        <w:gridCol w:w="109"/>
        <w:gridCol w:w="211"/>
        <w:gridCol w:w="616"/>
        <w:gridCol w:w="154"/>
      </w:tblGrid>
      <w:tr>
        <w:trPr/>
        <w:tc>
          <w:tcPr>
            <w:tcW w:w="1308"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March 31, 2026</w:t>
            </w:r>
          </w:p>
        </w:tc>
      </w:tr>
      <w:tr>
        <w:trPr/>
        <w:tc>
          <w:tcPr>
            <w:tcW w:w="3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3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109" w:type="dxa"/>
            <w:tcBorders/>
            <w:vAlign w:val="center"/>
          </w:tcPr>
          <w:p>
            <w:pPr>
              <w:pStyle w:val="TableContents"/>
              <w:bidi w:val="0"/>
              <w:spacing w:before="0" w:after="283"/>
              <w:jc w:val="left"/>
              <w:rPr>
                <w:sz w:val="4"/>
                <w:szCs w:val="4"/>
              </w:rPr>
            </w:pPr>
            <w:r>
              <w:rPr>
                <w:sz w:val="4"/>
                <w:szCs w:val="4"/>
              </w:rPr>
            </w:r>
          </w:p>
        </w:tc>
        <w:tc>
          <w:tcPr>
            <w:tcW w:w="61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Treasuries</w:t>
            </w:r>
          </w:p>
        </w:tc>
        <w:tc>
          <w:tcPr>
            <w:tcW w:w="109" w:type="dxa"/>
            <w:tcBorders/>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Municipal</w:t>
            </w:r>
          </w:p>
        </w:tc>
        <w:tc>
          <w:tcPr>
            <w:tcW w:w="109" w:type="dxa"/>
            <w:tcBorders/>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w:t>
            </w:r>
          </w:p>
        </w:tc>
        <w:tc>
          <w:tcPr>
            <w:tcW w:w="109" w:type="dxa"/>
            <w:tcBorders/>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Mortgage and other asset-backed securities</w:t>
            </w:r>
          </w:p>
        </w:tc>
        <w:tc>
          <w:tcPr>
            <w:tcW w:w="109" w:type="dxa"/>
            <w:tcBorders/>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6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6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8291" w:type="dxa"/>
        <w:jc w:val="left"/>
        <w:tblInd w:w="0" w:type="dxa"/>
        <w:tblLayout w:type="fixed"/>
        <w:tblCellMar>
          <w:top w:w="28" w:type="dxa"/>
          <w:left w:w="28" w:type="dxa"/>
          <w:bottom w:w="28" w:type="dxa"/>
          <w:right w:w="28" w:type="dxa"/>
        </w:tblCellMar>
      </w:tblPr>
      <w:tblGrid>
        <w:gridCol w:w="1308"/>
        <w:gridCol w:w="1150"/>
        <w:gridCol w:w="1156"/>
        <w:gridCol w:w="109"/>
        <w:gridCol w:w="109"/>
        <w:gridCol w:w="109"/>
        <w:gridCol w:w="211"/>
        <w:gridCol w:w="406"/>
        <w:gridCol w:w="109"/>
        <w:gridCol w:w="109"/>
        <w:gridCol w:w="109"/>
        <w:gridCol w:w="109"/>
        <w:gridCol w:w="211"/>
        <w:gridCol w:w="616"/>
        <w:gridCol w:w="109"/>
        <w:gridCol w:w="109"/>
        <w:gridCol w:w="109"/>
        <w:gridCol w:w="109"/>
        <w:gridCol w:w="211"/>
        <w:gridCol w:w="406"/>
        <w:gridCol w:w="109"/>
        <w:gridCol w:w="109"/>
        <w:gridCol w:w="109"/>
        <w:gridCol w:w="109"/>
        <w:gridCol w:w="211"/>
        <w:gridCol w:w="616"/>
        <w:gridCol w:w="154"/>
      </w:tblGrid>
      <w:tr>
        <w:trPr/>
        <w:tc>
          <w:tcPr>
            <w:tcW w:w="1308"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December 31, 2025</w:t>
            </w:r>
          </w:p>
        </w:tc>
      </w:tr>
      <w:tr>
        <w:trPr/>
        <w:tc>
          <w:tcPr>
            <w:tcW w:w="3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3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Municipal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Mortgage and other asset-backed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6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6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 xml:space="preserve">We review the fair value hierarchy classifications each reporting period. Changes in the observability of the valuation attributes may result in a reclassification of certain investments. Such reclassifications are reported as transfers in and out of Level 3, or between other levels, at the beginning fair value for the reporting period in which the changes occur. </w:t>
      </w:r>
    </w:p>
    <w:p>
      <w:pPr>
        <w:pStyle w:val="TextBody"/>
        <w:bidi w:val="0"/>
        <w:spacing w:lineRule="auto" w:line="288" w:before="120" w:after="283"/>
        <w:ind w:left="0" w:right="0" w:firstLine="270"/>
        <w:jc w:val="left"/>
        <w:rPr/>
      </w:pPr>
      <w:r>
        <w:rPr>
          <w:rFonts w:ascii="Times New Roman;serif" w:hAnsi="Times New Roman;serif"/>
          <w:b w:val="false"/>
          <w:color w:val="000000"/>
          <w:sz w:val="20"/>
        </w:rPr>
        <w:t>Available-for-sale debt securities are recorded at fair value and</w:t>
      </w:r>
      <w:r>
        <w:rPr>
          <w:color w:val="000000"/>
        </w:rPr>
        <w:t xml:space="preserve"> </w:t>
      </w:r>
      <w:r>
        <w:rPr>
          <w:rFonts w:ascii="Times New Roman;serif" w:hAnsi="Times New Roman;serif"/>
          <w:b w:val="false"/>
          <w:color w:val="000000"/>
          <w:sz w:val="20"/>
        </w:rPr>
        <w:t xml:space="preserve">any unrealized gains or losses are included in accumulated other comprehensive income and reclassified to finance and insurance, net revenue in the period or periods during which the debt securities are sold and the gains or losses are realized. </w:t>
      </w:r>
    </w:p>
    <w:p>
      <w:pPr>
        <w:pStyle w:val="TextBody"/>
        <w:bidi w:val="0"/>
        <w:spacing w:lineRule="auto" w:line="288" w:before="120" w:after="283"/>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Information about the effects of our available-for-sale debt securities in the accompanying condensed consolidated statements of income and condensed consolidated statements of comprehensive income, is as follows (in millions):</w:t>
      </w:r>
    </w:p>
    <w:tbl>
      <w:tblPr>
        <w:tblW w:w="10205" w:type="dxa"/>
        <w:jc w:val="left"/>
        <w:tblInd w:w="0" w:type="dxa"/>
        <w:tblLayout w:type="fixed"/>
        <w:tblCellMar>
          <w:top w:w="28" w:type="dxa"/>
          <w:left w:w="28" w:type="dxa"/>
          <w:bottom w:w="28" w:type="dxa"/>
          <w:right w:w="28" w:type="dxa"/>
        </w:tblCellMar>
      </w:tblPr>
      <w:tblGrid>
        <w:gridCol w:w="476"/>
        <w:gridCol w:w="418"/>
        <w:gridCol w:w="422"/>
        <w:gridCol w:w="109"/>
        <w:gridCol w:w="109"/>
        <w:gridCol w:w="109"/>
        <w:gridCol w:w="674"/>
        <w:gridCol w:w="1348"/>
        <w:gridCol w:w="350"/>
        <w:gridCol w:w="109"/>
        <w:gridCol w:w="109"/>
        <w:gridCol w:w="109"/>
        <w:gridCol w:w="1131"/>
        <w:gridCol w:w="960"/>
        <w:gridCol w:w="962"/>
        <w:gridCol w:w="109"/>
        <w:gridCol w:w="109"/>
        <w:gridCol w:w="109"/>
        <w:gridCol w:w="677"/>
        <w:gridCol w:w="1304"/>
        <w:gridCol w:w="502"/>
      </w:tblGrid>
      <w:tr>
        <w:trPr/>
        <w:tc>
          <w:tcPr>
            <w:tcW w:w="476"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r>
      <w:tr>
        <w:trPr/>
        <w:tc>
          <w:tcPr>
            <w:tcW w:w="13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Results Recognized in Accumulated Other Comprehensive Income/(Loss)</w:t>
              <w:br/>
              <w:t>(Effective Portion)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3"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18"/>
              </w:rPr>
            </w:pPr>
            <w:r>
              <w:rPr>
                <w:rFonts w:ascii="Times New Roman;serif" w:hAnsi="Times New Roman;serif"/>
                <w:b/>
                <w:color w:val="000000"/>
                <w:sz w:val="18"/>
              </w:rPr>
              <w:t>Location of Results Reclassified from Accumulated Other Comprehensive Income/(Loss) to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Results Reclassified from Accumulated Other Comprehensive Income/(Loss)</w:t>
              <w:br/>
              <w:t>to Earnings</w:t>
            </w:r>
          </w:p>
        </w:tc>
      </w:tr>
      <w:tr>
        <w:trPr/>
        <w:tc>
          <w:tcPr>
            <w:tcW w:w="1316" w:type="dxa"/>
            <w:gridSpan w:val="3"/>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48"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350"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3" w:type="dxa"/>
            <w:gridSpan w:val="3"/>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Revenue-Finance and insurance, net</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04"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502"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Revenue-Finance and insurance,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5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11. SUPPLEMENTAL CASH FLOW INFORMATION</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2026 and 2025, we made interest payments, including amounts capitalized, totaling $65.2 million and $69.2 million, respectively.</w:t>
      </w:r>
    </w:p>
    <w:p>
      <w:pPr>
        <w:pStyle w:val="TextBody"/>
        <w:bidi w:val="0"/>
        <w:spacing w:lineRule="auto" w:line="26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2026 and 2025, we transferred $151.0 million and $118.9 million, respectively, of loaner vehicles from other current assets to inventory in our condensed consolidated balance sheets. The aforementioned amounts are included in changes in inventories in the operating activities section of the accompanying condensed consolidated statements of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222885"/>
                <wp:effectExtent l="0" t="0" r="0" b="0"/>
                <wp:wrapNone/>
                <wp:docPr id="20" name="Frame2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b6aa2ca3bafa44b0981a31a355b43715_7">
        <w:r>
          <w:rPr>
            <w:rStyle w:val="InternetLink"/>
          </w:rPr>
          <w:t xml:space="preserve">Table of </w:t>
        </w:r>
      </w:hyperlink>
      <w:hyperlink w:anchor="ib6aa2ca3bafa44b0981a31a355b43715_7">
        <w:r>
          <w:rPr>
            <w:rStyle w:val="InternetLink"/>
          </w:rPr>
          <w:t>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12. SEGMENT INFORMATION</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 xml:space="preserve">As of March 31, 2026, the Company had two reportable segments: (1) Dealerships and (2) TCA. Our dealership operations are organized by management into geographic region-based groups within the Dealerships segment. The operations of our F&amp;I product provider are reflected within our TCA segment. </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 xml:space="preserve">TCA's vehicle protection products are sold through affiliated dealerships and the revenue from the related commissions is included in finance and insurance, net revenue in the Dealerships segment before consolidation. The corresponding claims expense incurred and the amortization of deferred acquisition costs is recorded as a cost of sales in the TCA segment. The Dealerships segment also provides vehicle repair and maintenance services to TCA customers in connection with claims related to TCA's vehicle protection products. The gross profit earned by our parts and service departments for work performed for TCA customers is reflected as a reduction of parts and service cost of sales in the accompanying condensed consolidated statements of income. The costs incurred by TCA for work performed by our parts and service departments are included in finance and insurance cost of sales in the accompanying condensed consolidated statements of income. </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The significant expense categories and amounts are consistent with the segment-level information that is regularly provided to the chief operating decision maker. Certain intersegment expenses are included within the amounts shown. Rent and related expenses include rent expense, utilities, property and casualty insurance, real estate tax and personal property tax. Other segment items for the TCA segment relate to selling, general and administrative expenses.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222885"/>
                <wp:effectExtent l="0" t="0" r="0" b="0"/>
                <wp:wrapNone/>
                <wp:docPr id="21" name="Frame2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b6aa2ca3bafa44b0981a31a355b43715_7">
        <w:r>
          <w:rPr>
            <w:rStyle w:val="InternetLink"/>
          </w:rPr>
          <w:t xml:space="preserve">Table of </w:t>
        </w:r>
      </w:hyperlink>
      <w:hyperlink w:anchor="ib6aa2ca3bafa44b0981a31a355b43715_7">
        <w:r>
          <w:rPr>
            <w:rStyle w:val="InternetLink"/>
          </w:rPr>
          <w:t>Contents</w:t>
        </w:r>
      </w:hyperlink>
    </w:p>
    <w:p>
      <w:pPr>
        <w:pStyle w:val="TextBody"/>
        <w:bidi w:val="0"/>
        <w:spacing w:lineRule="auto" w:line="288" w:before="0" w:after="0"/>
        <w:ind w:left="0" w:right="0" w:firstLine="315"/>
        <w:jc w:val="left"/>
        <w:rPr/>
      </w:pPr>
      <w:r>
        <w:rPr>
          <w:rFonts w:ascii="Times New Roman;serif" w:hAnsi="Times New Roman;serif"/>
          <w:b w:val="false"/>
          <w:color w:val="000000"/>
          <w:sz w:val="20"/>
        </w:rPr>
        <w:t xml:space="preserve">Reportable segment financial information for the three months ended March 31, 2026 and 2025, are as </w:t>
      </w:r>
      <w:r>
        <w:rPr>
          <w:rFonts w:ascii="Times New Roman;serif" w:hAnsi="Times New Roman;serif"/>
          <w:b w:val="false"/>
          <w:color w:val="000000"/>
          <w:sz w:val="20"/>
          <w:shd w:fill="FFFFFF" w:val="clear"/>
        </w:rPr>
        <w:t>follows:</w:t>
      </w:r>
    </w:p>
    <w:p>
      <w:pPr>
        <w:pStyle w:val="TextBody"/>
        <w:bidi w:val="0"/>
        <w:spacing w:before="0" w:after="0"/>
        <w:ind w:left="0" w:right="0" w:firstLine="315"/>
        <w:jc w:val="left"/>
        <w:rPr/>
      </w:pPr>
      <w:r>
        <w:rPr/>
      </w:r>
    </w:p>
    <w:tbl>
      <w:tblPr>
        <w:tblW w:w="10205" w:type="dxa"/>
        <w:jc w:val="center"/>
        <w:tblInd w:w="0" w:type="dxa"/>
        <w:tblLayout w:type="fixed"/>
        <w:tblCellMar>
          <w:top w:w="28" w:type="dxa"/>
          <w:left w:w="28" w:type="dxa"/>
          <w:bottom w:w="28" w:type="dxa"/>
          <w:right w:w="28" w:type="dxa"/>
        </w:tblCellMar>
      </w:tblPr>
      <w:tblGrid>
        <w:gridCol w:w="1087"/>
        <w:gridCol w:w="666"/>
        <w:gridCol w:w="671"/>
        <w:gridCol w:w="213"/>
        <w:gridCol w:w="776"/>
        <w:gridCol w:w="110"/>
        <w:gridCol w:w="110"/>
        <w:gridCol w:w="110"/>
        <w:gridCol w:w="110"/>
        <w:gridCol w:w="213"/>
        <w:gridCol w:w="517"/>
        <w:gridCol w:w="110"/>
        <w:gridCol w:w="110"/>
        <w:gridCol w:w="110"/>
        <w:gridCol w:w="110"/>
        <w:gridCol w:w="213"/>
        <w:gridCol w:w="776"/>
        <w:gridCol w:w="110"/>
        <w:gridCol w:w="109"/>
        <w:gridCol w:w="109"/>
        <w:gridCol w:w="109"/>
        <w:gridCol w:w="213"/>
        <w:gridCol w:w="775"/>
        <w:gridCol w:w="110"/>
        <w:gridCol w:w="110"/>
        <w:gridCol w:w="110"/>
        <w:gridCol w:w="110"/>
        <w:gridCol w:w="213"/>
        <w:gridCol w:w="517"/>
        <w:gridCol w:w="110"/>
        <w:gridCol w:w="110"/>
        <w:gridCol w:w="110"/>
        <w:gridCol w:w="110"/>
        <w:gridCol w:w="213"/>
        <w:gridCol w:w="775"/>
        <w:gridCol w:w="170"/>
      </w:tblGrid>
      <w:tr>
        <w:trPr/>
        <w:tc>
          <w:tcPr>
            <w:tcW w:w="1087"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Three Months Ended 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Three Months Ended March 31, 2025</w:t>
            </w:r>
          </w:p>
        </w:tc>
      </w:tr>
      <w:tr>
        <w:trPr/>
        <w:tc>
          <w:tcPr>
            <w:tcW w:w="2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Dealerships</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TCA</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Dealerships</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TCA</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2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millions)</w:t>
            </w:r>
          </w:p>
        </w:tc>
      </w:tr>
      <w:tr>
        <w:trPr/>
        <w:tc>
          <w:tcPr>
            <w:tcW w:w="2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from external customers</w:t>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4,031.8 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4,113.0 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4,064.4 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4,148.5 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Intersegment revenue</w:t>
            </w:r>
          </w:p>
        </w:tc>
        <w:tc>
          <w:tcPr>
            <w:tcW w:w="1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F&amp;I</w:t>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Parts and service</w:t>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intersegment revenue</w:t>
            </w:r>
          </w:p>
        </w:tc>
        <w:tc>
          <w:tcPr>
            <w:tcW w:w="9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4,095.9 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81.2 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4,177.2 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4,126.8 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84.1 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4,210.9 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Reconciliation of revenue</w:t>
            </w:r>
          </w:p>
        </w:tc>
        <w:tc>
          <w:tcPr>
            <w:tcW w:w="10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Elimination of intersegment revenue</w:t>
            </w:r>
          </w:p>
        </w:tc>
        <w:tc>
          <w:tcPr>
            <w:tcW w:w="1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consolidated revenue</w:t>
            </w:r>
          </w:p>
        </w:tc>
        <w:tc>
          <w:tcPr>
            <w:tcW w:w="10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4,113.0 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4,148.5 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10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1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vehicle</w:t>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1,972.3 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1,995.0 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Used vehicle</w:t>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1,140.0 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1,171.3 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Parts and service</w:t>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and insurance</w:t>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10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Personnel costs</w:t>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Rent and related expenses</w:t>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Advertising</w:t>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selling, general and administrative expense</w:t>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segment items</w:t>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Floor plan interest expense</w:t>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operating income</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158.2 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179.4 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208.5 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229.6 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Reconciliation of segment operating income</w:t>
            </w:r>
          </w:p>
        </w:tc>
        <w:tc>
          <w:tcPr>
            <w:tcW w:w="10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Intersegment eliminations</w:t>
            </w:r>
          </w:p>
        </w:tc>
        <w:tc>
          <w:tcPr>
            <w:tcW w:w="1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intersegment revenue eliminations</w:t>
            </w:r>
          </w:p>
        </w:tc>
        <w:tc>
          <w:tcPr>
            <w:tcW w:w="10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intersegment cost of sales eliminations</w:t>
            </w:r>
          </w:p>
        </w:tc>
        <w:tc>
          <w:tcPr>
            <w:tcW w:w="1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Deferral of SG&amp;A expense (related to capitalized contract costs offset by amortization)</w:t>
            </w:r>
          </w:p>
        </w:tc>
        <w:tc>
          <w:tcPr>
            <w:tcW w:w="10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intersegment eliminations</w:t>
            </w:r>
          </w:p>
        </w:tc>
        <w:tc>
          <w:tcPr>
            <w:tcW w:w="1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 impairments</w:t>
            </w:r>
          </w:p>
        </w:tc>
        <w:tc>
          <w:tcPr>
            <w:tcW w:w="10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interest expense, net</w:t>
            </w:r>
          </w:p>
        </w:tc>
        <w:tc>
          <w:tcPr>
            <w:tcW w:w="1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dealership divestitures, net</w:t>
            </w:r>
          </w:p>
        </w:tc>
        <w:tc>
          <w:tcPr>
            <w:tcW w:w="10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250.6 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175.4 </w:t>
            </w:r>
          </w:p>
        </w:tc>
        <w:tc>
          <w:tcPr>
            <w:tcW w:w="1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222885"/>
                <wp:effectExtent l="0" t="0" r="0" b="0"/>
                <wp:wrapNone/>
                <wp:docPr id="22" name="Frame2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b6aa2ca3bafa44b0981a31a355b43715_7">
        <w:r>
          <w:rPr>
            <w:rStyle w:val="InternetLink"/>
          </w:rPr>
          <w:t xml:space="preserve">Table of </w:t>
        </w:r>
      </w:hyperlink>
      <w:hyperlink w:anchor="ib6aa2ca3bafa44b0981a31a355b43715_7">
        <w:r>
          <w:rPr>
            <w:rStyle w:val="InternetLink"/>
          </w:rPr>
          <w:t>Contents</w:t>
        </w:r>
      </w:hyperlink>
    </w:p>
    <w:p>
      <w:pPr>
        <w:pStyle w:val="TextBody"/>
        <w:bidi w:val="0"/>
        <w:spacing w:before="0" w:after="0"/>
        <w:ind w:left="0" w:right="0" w:firstLine="270"/>
        <w:jc w:val="left"/>
        <w:rPr/>
      </w:pPr>
      <w:r>
        <w:rPr/>
      </w:r>
    </w:p>
    <w:tbl>
      <w:tblPr>
        <w:tblW w:w="398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61" w:type="dxa"/>
            <w:gridSpan w:val="24"/>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15" w:type="dxa"/>
            <w:gridSpan w:val="30"/>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56" w:before="0" w:after="0"/>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Total assets by segment as of March 31, 2026 and December 31, 2025 are as follows:</w:t>
      </w:r>
    </w:p>
    <w:p>
      <w:pPr>
        <w:pStyle w:val="TextBody"/>
        <w:bidi w:val="0"/>
        <w:spacing w:before="0" w:after="0"/>
        <w:jc w:val="left"/>
        <w:rPr/>
      </w:pPr>
      <w:r>
        <w:rPr/>
      </w:r>
    </w:p>
    <w:tbl>
      <w:tblPr>
        <w:tblW w:w="9285" w:type="dxa"/>
        <w:jc w:val="left"/>
        <w:tblInd w:w="0" w:type="dxa"/>
        <w:tblLayout w:type="fixed"/>
        <w:tblCellMar>
          <w:top w:w="28" w:type="dxa"/>
          <w:left w:w="28" w:type="dxa"/>
          <w:bottom w:w="28" w:type="dxa"/>
          <w:right w:w="28" w:type="dxa"/>
        </w:tblCellMar>
      </w:tblPr>
      <w:tblGrid>
        <w:gridCol w:w="385"/>
        <w:gridCol w:w="338"/>
        <w:gridCol w:w="341"/>
        <w:gridCol w:w="211"/>
        <w:gridCol w:w="871"/>
        <w:gridCol w:w="109"/>
        <w:gridCol w:w="109"/>
        <w:gridCol w:w="109"/>
        <w:gridCol w:w="109"/>
        <w:gridCol w:w="211"/>
        <w:gridCol w:w="766"/>
        <w:gridCol w:w="109"/>
        <w:gridCol w:w="109"/>
        <w:gridCol w:w="109"/>
        <w:gridCol w:w="109"/>
        <w:gridCol w:w="388"/>
        <w:gridCol w:w="1602"/>
        <w:gridCol w:w="200"/>
        <w:gridCol w:w="109"/>
        <w:gridCol w:w="109"/>
        <w:gridCol w:w="109"/>
        <w:gridCol w:w="243"/>
        <w:gridCol w:w="711"/>
        <w:gridCol w:w="127"/>
        <w:gridCol w:w="109"/>
        <w:gridCol w:w="109"/>
        <w:gridCol w:w="109"/>
        <w:gridCol w:w="233"/>
        <w:gridCol w:w="962"/>
        <w:gridCol w:w="170"/>
      </w:tblGrid>
      <w:tr>
        <w:trPr/>
        <w:tc>
          <w:tcPr>
            <w:tcW w:w="385"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602"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1"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March 31, 2026</w:t>
            </w:r>
          </w:p>
        </w:tc>
      </w:tr>
      <w:tr>
        <w:trPr/>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Dealerships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TCA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Reportable Segments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Eliminations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Company</w:t>
            </w:r>
          </w:p>
        </w:tc>
      </w:tr>
      <w:tr>
        <w:trPr/>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1"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10,055.9 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11,096.8 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11,302.8 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9285" w:type="dxa"/>
        <w:jc w:val="left"/>
        <w:tblInd w:w="0" w:type="dxa"/>
        <w:tblLayout w:type="fixed"/>
        <w:tblCellMar>
          <w:top w:w="28" w:type="dxa"/>
          <w:left w:w="28" w:type="dxa"/>
          <w:bottom w:w="28" w:type="dxa"/>
          <w:right w:w="28" w:type="dxa"/>
        </w:tblCellMar>
      </w:tblPr>
      <w:tblGrid>
        <w:gridCol w:w="385"/>
        <w:gridCol w:w="338"/>
        <w:gridCol w:w="341"/>
        <w:gridCol w:w="211"/>
        <w:gridCol w:w="871"/>
        <w:gridCol w:w="109"/>
        <w:gridCol w:w="109"/>
        <w:gridCol w:w="109"/>
        <w:gridCol w:w="109"/>
        <w:gridCol w:w="211"/>
        <w:gridCol w:w="766"/>
        <w:gridCol w:w="109"/>
        <w:gridCol w:w="109"/>
        <w:gridCol w:w="109"/>
        <w:gridCol w:w="109"/>
        <w:gridCol w:w="388"/>
        <w:gridCol w:w="1602"/>
        <w:gridCol w:w="200"/>
        <w:gridCol w:w="109"/>
        <w:gridCol w:w="109"/>
        <w:gridCol w:w="109"/>
        <w:gridCol w:w="243"/>
        <w:gridCol w:w="711"/>
        <w:gridCol w:w="127"/>
        <w:gridCol w:w="109"/>
        <w:gridCol w:w="109"/>
        <w:gridCol w:w="109"/>
        <w:gridCol w:w="233"/>
        <w:gridCol w:w="962"/>
        <w:gridCol w:w="170"/>
      </w:tblGrid>
      <w:tr>
        <w:trPr/>
        <w:tc>
          <w:tcPr>
            <w:tcW w:w="385"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602"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1"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December 31, 2025</w:t>
            </w:r>
          </w:p>
        </w:tc>
      </w:tr>
      <w:tr>
        <w:trPr/>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Dealerships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TCA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Reportable Segments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Eliminations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Company</w:t>
            </w:r>
          </w:p>
        </w:tc>
      </w:tr>
      <w:tr>
        <w:trPr/>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1"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10,389.5 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11,413.8 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204.4 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11,618.2 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ind w:left="0" w:right="0" w:hanging="1440"/>
        <w:jc w:val="left"/>
        <w:rPr>
          <w:rFonts w:ascii="Times New Roman;serif" w:hAnsi="Times New Roman;serif"/>
          <w:b/>
          <w:color w:val="000000"/>
          <w:sz w:val="20"/>
        </w:rPr>
      </w:pPr>
      <w:r>
        <w:rPr>
          <w:rFonts w:ascii="Times New Roman;serif" w:hAnsi="Times New Roman;serif"/>
          <w:b/>
          <w:color w:val="000000"/>
          <w:sz w:val="20"/>
        </w:rPr>
        <w:t>13. COMMITMENTS AND CONTINGENCIES</w:t>
      </w:r>
    </w:p>
    <w:p>
      <w:pPr>
        <w:pStyle w:val="TextBody"/>
        <w:bidi w:val="0"/>
        <w:spacing w:lineRule="auto" w:line="268" w:before="0" w:after="0"/>
        <w:ind w:left="0" w:right="0" w:firstLine="315"/>
        <w:jc w:val="left"/>
        <w:rPr/>
      </w:pPr>
      <w:r>
        <w:rPr>
          <w:rFonts w:ascii="Times New Roman;serif" w:hAnsi="Times New Roman;serif"/>
          <w:b w:val="false"/>
          <w:color w:val="000000"/>
          <w:sz w:val="20"/>
        </w:rPr>
        <w:t>On August 3, 2022, we received a Civil Investigative Demand (“CID”) from the Federal Trade Commission (the "FTC") requesting information and documents concerning the Company’s corporate structure and operation of six of its dealerships. We responded to the CID by producing information and documents for the period August 1, 2019 to April 24, 2023. On February 8, 2024, the FTC staff counsel sent to us a proposed consent order and draft complaint, alleging that the Company and three of our dealerships had violated Section 5 of the Federal Trade Commission Act (“FTC Act”) and certain provisions of the Equal Credit Opportunity Act (“ECOA”) in connection with the sale of add-on products (e.g., vehicle service contracts, maintenance plans, etc.), and advising that it would recommend the filing of an enforcement action if the Company did not settle the FTC’s claims. On August 16, 2024, after discussions with the FTC stalled, the FTC initiated an administrative proceeding by filing an enforcement action against the Company.</w:t>
      </w:r>
      <w:r>
        <w:rPr>
          <w:color w:val="000000"/>
        </w:rPr>
        <w:t xml:space="preserve"> </w:t>
      </w:r>
      <w:r>
        <w:rPr>
          <w:rFonts w:ascii="Times New Roman;serif" w:hAnsi="Times New Roman;serif"/>
          <w:b w:val="false"/>
          <w:color w:val="000000"/>
          <w:sz w:val="20"/>
        </w:rPr>
        <w:t>On October 4, 2024, the Company filed suit against the FTC in the United States District Court for the Northern District of Texas, seeking to enjoin the FTC’s administrative proceeding on the ground that the administrative proceeding was unconstitutional. Both the administrative proceeding and the Company’s lawsuit remain pending. While the Company disputes the FTC’s allegations, we are unable to reasonably predict the possible outcome of this matter at this time, or provide a reasonably possible range of loss, if any. There can be no assurance that the Company will succeed in either the FTC’s administrative proceeding against the Company or in the Company’s lawsuit against the FTC, and the FTC’s allegations, whether meritorious or not, may adversely affect our ability to attract customers, result in the loss of existing customers, harm our reputation and cause us to incur defense costs and other expenses.</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Our dealerships are party to dealer and framework agreements with applicable vehicle manufacturers. In accordance with these agreements, each dealership has certain rights and is subject to restrictions typical in the industry. The ability of these manufacturers to influence the operations of the dealerships or the loss of any of these agreements could have a materially negative impact on our operating results.</w:t>
      </w:r>
    </w:p>
    <w:p>
      <w:pPr>
        <w:pStyle w:val="TextBody"/>
        <w:bidi w:val="0"/>
        <w:spacing w:lineRule="auto" w:line="288" w:before="180" w:after="180"/>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In some instances, manufacturers may have the right, and may direct us, to implement costly capital improvements to dealerships as a condition to entering into, renewing, or extending franchise agreements with them. Manufacturers also typically require that their franchises meet specific standards of appearance. These factors, either alone or in combination, could cause us to use our financial resources on capital projects that we might not have planned for or otherwise determined to undertake.</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 xml:space="preserve">From time to time, we and our dealerships are or may become involved in various claims relating to, and arising out of, our business and our operations. These claims may involve, but not be limited to, financial and other audits by vehicle manufacturers or lenders and certain federal, state, and local government authorities, which have historically related primarily to (i) incentive and warranty payments received from vehicle manufacturers, or allegations of violations of manufacturer agreements or policies, (ii) compliance with lender rules and covenants, and (iii) payments made to government authorities relating to federal, state, and local taxes, as well as compliance with other government regulations. Claims may also arise through litigation, government proceedings, and other dispute resolution processes. Such claims, including class actions, could relate to, but may not be limited to, the practice of charging administrative fees and other fees and commissions, employment-related matters, truth-in-lending and other dealer assisted financing obligations, contractual disputes, regulatory and compliance issues, disputes arising out of cyber incidents or the disclosure of Personally Identifiable Information (“PII”), actions brought by governmental authorities, and other matters. </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 xml:space="preserve">We evaluate pending and threatened claims and establish loss contingency reserves based upon outcomes we currently believe to be probable and reasonably estimable. We believe we have adequately accrued reserves for the potential impact of loss contingencies that are probable and reasonably estimable. Based on our review of the various types of claims currently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222885"/>
                <wp:effectExtent l="0" t="0" r="0" b="0"/>
                <wp:wrapNone/>
                <wp:docPr id="23" name="Frame2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b6aa2ca3bafa44b0981a31a355b43715_7">
        <w:r>
          <w:rPr>
            <w:rStyle w:val="InternetLink"/>
          </w:rPr>
          <w:t xml:space="preserve">Table of </w:t>
        </w:r>
      </w:hyperlink>
      <w:hyperlink w:anchor="ib6aa2ca3bafa44b0981a31a355b43715_7">
        <w:r>
          <w:rPr>
            <w:rStyle w:val="InternetLink"/>
          </w:rPr>
          <w:t>Contents</w:t>
        </w:r>
      </w:hyperlink>
    </w:p>
    <w:p>
      <w:pPr>
        <w:pStyle w:val="TextBody"/>
        <w:bidi w:val="0"/>
        <w:spacing w:lineRule="auto" w:line="288" w:before="18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known to us, there is no indication of material reasonably possible losses in excess of amounts accrued in the aggregate. We currently do not anticipate that any known claim will materially adversely affect our financial condition, liquidity, or results of operations. However, the outcome of any matter cannot be predicted with certainty, and an unfavorable resolution of one or more matters presently known or arising in the future could have a material adverse effect on our financial condition, liquidity, or results of operations. </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A significant portion of our business involves the sale of vehicles, parts, or vehicles composed of parts that are manufactured outside the United States. As a result, our operations are subject to customary risks of importing merchandise, including fluctuations in the relative values of currencies, import duties, exchange controls, trade restrictions, work stoppages and general political and socio-economic conditions in foreign countries. The United States or the countries from which our products are imported may, from time to time, impose new quotas, duties, tariffs, or other restrictions, or may adjust presently prevailing quotas, duties, or tariffs, which may affect our operations, the pricing of our products and services, and our ability to purchase imported vehicles and/or parts at reasonable prices.</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Substantially all of our facilities are subject to federal, state and local provisions regarding the discharge of materials into the environment. Compliance with these provisions has not had, nor do we expect such compliance to have, any material effect upon our capital expenditures, net earnings, financial condition, liquidity, or competitive position. We believe that our current practices and procedures for the control and disposition of such materials comply with applicable federal, state and local requirements. No assurances can be provided, however, that future laws or regulations, or changes in existing laws or regulations, would not require us to expend significant resources in order to comply therewith.</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We had $25.1 million of letters of credit outstanding as of March 31, 2026, which are required by certain of our insurance providers. In addition, as of March 31, 2026, we maintained a $25.2 million surety bond line in the ordinary course of our business. Our letters of credit and surety bond line are considered to be off balance sheet arrangements.</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Our other material commitments include (i) floor plan notes payable, (ii) operating leases, (iii) long-term debt and (iv) interest on long-term debt.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222885"/>
                <wp:effectExtent l="0" t="0" r="0" b="0"/>
                <wp:wrapNone/>
                <wp:docPr id="24" name="Frame2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b6aa2ca3bafa44b0981a31a355b43715_7">
        <w:r>
          <w:rPr>
            <w:rStyle w:val="InternetLink"/>
          </w:rPr>
          <w:t xml:space="preserve">Table of </w:t>
        </w:r>
      </w:hyperlink>
      <w:hyperlink w:anchor="ib6aa2ca3bafa44b0981a31a355b43715_7">
        <w:r>
          <w:rPr>
            <w:rStyle w:val="InternetLink"/>
          </w:rPr>
          <w:t>Contents</w:t>
        </w:r>
      </w:hyperlink>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 xml:space="preserve">Forward-Looking Information </w:t>
      </w:r>
    </w:p>
    <w:p>
      <w:pPr>
        <w:pStyle w:val="TextBody"/>
        <w:bidi w:val="0"/>
        <w:spacing w:lineRule="auto" w:line="288" w:before="0" w:after="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Certain of the discussions and information included or incorporated by reference in this report may constitute "forward-looking statements" within the meaning of the federal securities laws. Forward-looking statements are statements that are not historical in nature and may include statements relating to our goals, plans and projections regarding industry and general economic trends, our expected financial position, results of operations or market position and our business strategy. Such statements can generally be identified by words such as "may," "target," "could," "would," "will," "should," "believe," "expect," "anticipate," "plan," "intend," "foresee," and other similar words or phrases. Forward-looking statements may also relate to our expectations and assumptions with respect to, among other things:</w:t>
      </w:r>
    </w:p>
    <w:p>
      <w:pPr>
        <w:pStyle w:val="TextBody"/>
        <w:bidi w:val="0"/>
        <w:spacing w:before="0" w:after="0"/>
        <w:ind w:left="0" w:right="0" w:firstLine="315"/>
        <w:jc w:val="left"/>
        <w:rPr/>
      </w:pPr>
      <w:r>
        <w:rPr/>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the seasonally adjusted annual rate of new vehicle sales in the United States;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general economic conditions and their expected impact on our revenue and expenses;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our expected parts and service revenue due to, among other things, improvements in vehicle technology;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our ability to limit our exposure to regional economic downturns due to our geographic diversity and brand mix;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manufacturers' continued use of incentive programs to drive demand for their product offerings;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our capital allocation strategy, including as it relates to acquisitions and divestitures, stock repurchases and capital expenditures;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our revenue growth strategy;</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the growth of the brands that comprise our portfolio over the long-term;</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disruptions in the production and supply of vehicles and parts from our vehicle and parts manufacturers and other suppliers, which can disrupt our operations; and</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our estimated future capital expenditures, which can be impacted by increasing prices and labor shortages and acquisitions and divestitures.</w:t>
      </w:r>
    </w:p>
    <w:p>
      <w:pPr>
        <w:pStyle w:val="TextBody"/>
        <w:bidi w:val="0"/>
        <w:spacing w:lineRule="auto" w:line="288" w:before="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Forward-looking statements involve known and unknown risks, uncertainties and other factors that may cause our actual future results, performance or achievements to be materially different from any future results, performance, or achievements expressed or implied by the forward-looking statements. Such factors include, but are not limited to:</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the ability to acquire and successfully integrate acquired businesses into our existing operations and realize expected benefits and synergies from such acquisitions, and identify and remediate insufficient control activities of the acquired businesses, if any, given that substantially all of our acquired businesses are private companies;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the effects of increased expenses or unanticipated liabilities incurred resulting from or due to activities related to our acquisitions or divestitures;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changes in general economic and business conditions, including the current inflationary environment, the current interest rate environment, changes in U.S. trade policy, including the imposition of tariffs, changes in employment levels, consumer confidence levels, consumer demand and preferences, the availability and cost of credit, fuel prices and levels of discretionary personal income;</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our ability to generate sufficient cash flows, maintain our liquidity and obtain any necessary additional funds for working capital, capital expenditures, acquisitions, stock repurchases, debt maturity payments and other corporate purposes, if necessary or desirable;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significant disruptions in the production and delivery of vehicles and parts, or our business operations, for any reason, including supply shortages, natural disasters, severe weather, civil unrest, both at home and abroad, product recalls, work stoppages or other occurrences that are outside of our control;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our ability to successfully attract and retain skilled employees;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our ability to successfully operate, including our ability to maintain, and obtain future necessary regulatory approvals, for Total Care Auto, Powered by Asbury ("TCA"), our finance and insurance ("F&amp;I") product provider;</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adverse conditions affecting the vehicle manufacturers whose brands we sell, and their ability to design, manufacture, deliver and market their vehicles successfully;</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changes in the mix and total number of vehicles we are able to sell;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222885"/>
                <wp:effectExtent l="0" t="0" r="0" b="0"/>
                <wp:wrapNone/>
                <wp:docPr id="25" name="Frame2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b6aa2ca3bafa44b0981a31a355b43715_7">
        <w:r>
          <w:rPr>
            <w:rStyle w:val="InternetLink"/>
          </w:rPr>
          <w:t xml:space="preserve">Table of </w:t>
        </w:r>
      </w:hyperlink>
      <w:hyperlink w:anchor="ib6aa2ca3bafa44b0981a31a355b43715_7">
        <w:r>
          <w:rPr>
            <w:rStyle w:val="InternetLink"/>
          </w:rPr>
          <w:t>Contents</w:t>
        </w:r>
      </w:hyperlink>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our outstanding indebtedness and our continued ability to comply with applicable covenants in our various financing and lease agreements, or to obtain waivers of these covenants as necessary;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our ability to refinance outstanding indebtedness on attractive and advantageous terms;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high levels of competition in our industry, which may create pricing and margin pressures on our products and services;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our relationships with manufacturers of the vehicles we sell and our ability to renew, and enter into new framework and dealer agreements with vehicle manufacturers whose brands we sell, on terms acceptable to us;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the availability of manufacturer incentive programs and our ability to earn these incentives;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failure of our management information systems and our ability to successfully transition between key information systems, including our ability to successfully incorporate new technologies and continue our transition to Tekion, a dealer management systems ("DMS") provider, from CDK, another DMS provider;</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failure of management information systems used or maintained by our third-party service providers;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any data security breaches occurring, including with regard to personally identifiable information ("PII");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changes in laws and regulations governing the operation of automobile franchises, including trade restrictions, consumer protections, accounting standards, taxation requirements and environmental laws;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macroeconomic and geopolitical conditions, including global trade relations, changes to consumer and business confidence, international tensions, hostilities and instability, including the present dispute between the United States and Iran, a slowdown in U.S. or global economic growth, higher rates of unemployment, changes in interest rates, inflation, and market volatility;</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changes in, or the imposition of, new tariffs or trade restrictions on imported vehicles or parts;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adverse results from litigation, regulatory investigations or other similar proceedings involving us, including costs, expenses, settlements and judgments related thereto;</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our ability to consummate planned or pending mergers, acquisitions and dispositions;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any disruptions in the financial markets, which may impact our ability to access capital;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our relationships with, and the financial stability of, our lenders and lessors;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business interruptions at a dealership location or substantial property loss due to actual or threatened adverse weather conditions or natural disasters, such as hurricanes, earthquakes, tornadoes, floods, hailstorms, fires or other extraordinary events;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our ability to execute our initiatives and other strategies; and</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our ability to leverage scale and cost structure to improve operating efficiencies across our dealership portfolio.</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Many of these factors are beyond our ability to control or predict, and their ultimate impact could be material. Moreover, the factors set forth under "Item 1A. Risk Factors" and "Item 7. Management's Discussion and Analysis of Financial Condition and Results of Operations" below and other cautionary statements made in this report should be read and considered as forward-looking statements subject to such uncertainties. We urge you to carefully consider those factors.</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Forward-looking statements speak only as of the date of this report. We expressly disclaim any obligation to update any forward-looking statements contained herein.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100" w:after="283"/>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We are one of the largest automotive retailers in the United States. As of March 31, 2026, through our Dealerships segment, we owned and operated 202 new vehicle franchises (158 dealership locations), representing 34 brands of automobiles, within 14 states. We also operated 37 collision centers, and Total Care Auto, Powered by Asbury ("TCA"), our F&amp;I product provider. Our stores offer an extensive range of automotive products and services, including new and used vehicles; parts and service, which include repair and maintenance services, replacement parts and collision repair service; and finance and insurance products. The finance and insurance products are provided by both TCA and independent third parties. The F&amp;I products offered by TCA are sold through affiliated dealerships. For the three months ended March 31, 2026, our new vehicle revenue brand mix consisted of 40% imports, 35% luxury, and 26% domestic brands. The Company manages its operations in two reportable segments: Dealerships and TCA.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222885"/>
                <wp:effectExtent l="0" t="0" r="0" b="0"/>
                <wp:wrapNone/>
                <wp:docPr id="26" name="Frame2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b6aa2ca3bafa44b0981a31a355b43715_7">
        <w:r>
          <w:rPr>
            <w:rStyle w:val="InternetLink"/>
          </w:rPr>
          <w:t xml:space="preserve">Table of </w:t>
        </w:r>
      </w:hyperlink>
      <w:hyperlink w:anchor="ib6aa2ca3bafa44b0981a31a355b43715_7">
        <w:r>
          <w:rPr>
            <w:rStyle w:val="InternetLink"/>
          </w:rPr>
          <w:t>Contents</w:t>
        </w:r>
      </w:hyperlink>
    </w:p>
    <w:p>
      <w:pPr>
        <w:pStyle w:val="TextBody"/>
        <w:bidi w:val="0"/>
        <w:spacing w:lineRule="auto" w:line="288" w:before="10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Our Dealerships segment revenues are derived primarily from: (i) the sale of new vehicles; (ii) the sale of used vehicles to individual retail customers ("used retail") and to other dealers at auction ("wholesale") (the terms "used retail" and "wholesale" are collectively referred to as "used"); (iii) repair and maintenance services, collision repair, the sale of automotive replacement parts, and the reconditioning of used vehicles (collectively referred to as "parts and service"); and (iv) the arrangement of third-party vehicle financing and the sale of a number of vehicle protection products. F&amp;I products are offered by dealerships to customers in connection with the purchase of vehicles through either TCA or independent third parties. We evaluate the results of our new and used vehicle sales based on unit volumes and gross profit per vehicle sold, our parts and service operations based on aggregate gross profit, and our F&amp;I business based on F&amp;I gross profit per vehicle sold. Amounts presented have been calculated using non-rounded amounts for all periods presented and therefore certain amounts may not compute.</w:t>
      </w:r>
    </w:p>
    <w:p>
      <w:pPr>
        <w:pStyle w:val="TextBody"/>
        <w:bidi w:val="0"/>
        <w:spacing w:lineRule="auto" w:line="288" w:before="10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Our continued organic growth is dependent upon the execution of our balanced automotive retailing and service business strategy, the continued strength of our brand mix and the production and allocation of desirable vehicles from the automobile manufacturers whose brands we sell. Our vehicle sales have historically fluctuated with product availability as well as local and national economic conditions, including consumer confidence, availability of consumer credit, fuel prices and employment levels.</w:t>
      </w:r>
    </w:p>
    <w:p>
      <w:pPr>
        <w:pStyle w:val="TextBody"/>
        <w:bidi w:val="0"/>
        <w:spacing w:lineRule="auto" w:line="288" w:before="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In addition, our ability to sell certain new and used vehicles can be negatively impacted by a number of factors, some of which are outside of our control. Certain manufacturers continue to be hampered by the lack of availability of parts and key components from suppliers which has impacted new vehicle inventory levels and availability of certain parts. We cannot predict with any certainty how long the automotive retail industry will continue to be subject to these production slowdowns or when normalized production will resume at these manufacturers.</w:t>
      </w:r>
    </w:p>
    <w:p>
      <w:pPr>
        <w:pStyle w:val="TextBody"/>
        <w:bidi w:val="0"/>
        <w:spacing w:lineRule="auto" w:line="288" w:before="180" w:after="180"/>
        <w:jc w:val="left"/>
        <w:rPr>
          <w:rFonts w:ascii="Times New Roman;serif" w:hAnsi="Times New Roman;serif"/>
          <w:b w:val="false"/>
          <w:i/>
          <w:color w:val="000000"/>
          <w:sz w:val="20"/>
        </w:rPr>
      </w:pPr>
      <w:r>
        <w:rPr>
          <w:rFonts w:ascii="Times New Roman;serif" w:hAnsi="Times New Roman;serif"/>
          <w:b w:val="false"/>
          <w:i/>
          <w:color w:val="000000"/>
          <w:sz w:val="20"/>
        </w:rPr>
        <w:t xml:space="preserve">Macroeconomic and geopolitical considerations </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The demand and availability for and pricing of our products and services may be adversely impacted by economic conditions and financial developments, including increasing interest rates, rising inflation, high energy prices, a potential recessionary environment and other factors. The automotive retail industry is influenced by general economic conditions, particularly consumer confidence and consumer spending, interest rates, fuel prices, exchange rates, technology and business model changes, supply conditions, consumer transportation preferences, credit availability, and the unemployment rate. Consumer spending can be materially and adversely impacted by periods of economic uncertainty or by consumer concern regarding manufacturer viability. In addition, local economic, competitive and other conditions affect the performance of our dealerships. Our results of operations depend substantially on general economic conditions and consumer spending in those regions where we maintain operations.</w:t>
      </w:r>
    </w:p>
    <w:p>
      <w:pPr>
        <w:pStyle w:val="TextBody"/>
        <w:bidi w:val="0"/>
        <w:spacing w:lineRule="auto" w:line="288" w:before="180" w:after="180"/>
        <w:jc w:val="left"/>
        <w:rPr>
          <w:rFonts w:ascii="Times New Roman;serif" w:hAnsi="Times New Roman;serif"/>
          <w:b w:val="false"/>
          <w:i/>
          <w:color w:val="000000"/>
          <w:sz w:val="20"/>
        </w:rPr>
      </w:pPr>
      <w:r>
        <w:rPr>
          <w:rFonts w:ascii="Times New Roman;serif" w:hAnsi="Times New Roman;serif"/>
          <w:b w:val="false"/>
          <w:i/>
          <w:color w:val="000000"/>
          <w:sz w:val="20"/>
        </w:rPr>
        <w:t>Tariffs and trade risks</w:t>
      </w:r>
    </w:p>
    <w:p>
      <w:pPr>
        <w:pStyle w:val="TextBody"/>
        <w:bidi w:val="0"/>
        <w:spacing w:lineRule="auto" w:line="288" w:before="0" w:after="0"/>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 xml:space="preserve">A significant portion of our business involves the sale of vehicles, parts, or vehicles composed of, or maintenance and repair services including, parts that are manufactured outside the U.S. Changes or increases in tariffs, trade restrictions, fluctuations in foreign currency exchange rates, the negotiation of new trade agreements, non-tariff trade barriers, local content requirements, uncertainty surrounding global trade policies, and the imposition of new or retaliatory tariffs against certain countries or covering certain products, including vehicles and parts, may affect our competitive position and impair our ability to sell and service vehicles and parts, and may have a material adverse effect on our results of operations. </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 xml:space="preserve">In late January 2025, the U.S. government commenced a broad review of U.S. trade relations, following which it began issuing numerous executive orders and other public policy statements imposing or threatening to impose tariffs on certain countries, materials, and industries, including the automotive industry. Such tariffs include a 25% tariff on imports of automobiles and certain automobile parts, with different rates for some countries as a result of respective trade deals. In response, certain impacted countries have imposed or threatened various corresponding retaliatory tariffs and other actions. These tariffs and tariff investigations were implemented under several legal frameworks, including Section 232 of the Trade Expansion Act of 1962, Section 301 of the Trade Act of 1974, and the International Emergency Economic Powers Act ("IEEPA"). In February 2026, the U.S. Supreme Court held that IEEPA does not authorize the President of the United States to impose tariffs, and the U.S. government has begun to process refunds of importers’ IEEPA-based tariff payments. However, the Supreme Court’s decision did not invalidate non-IEEPA-based tariff programs or authorities, and the U.S. government has announced its intention to pursue additional tariffs and has initiated tariff measures under Section 232 and Section 301, as well as under a balance-of-payments tariff provision in Section 122 of the Trade Act of 1974. The federal government may impose further tariffs under these or other statutory regimes or legal theories, and the application and enforcement of other tariffs may prove inconsistent over time. Uncertainty regarding the timing and completeness of IEEPA tariff refunds and future trade policy actions could affect the Company's cost structure and supply chain planning, as well as the automotive industry generally, including manufacturers, distributors and retailers of vehicles, parts and supplies. We are unable to predict the ultimate outcome or effectiveness of any current or future tariff policies. Should the federal government impose further tariffs under other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222885"/>
                <wp:effectExtent l="0" t="0" r="0" b="0"/>
                <wp:wrapNone/>
                <wp:docPr id="27" name="Frame2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b6aa2ca3bafa44b0981a31a355b43715_7">
        <w:r>
          <w:rPr>
            <w:rStyle w:val="InternetLink"/>
          </w:rPr>
          <w:t xml:space="preserve">Table of </w:t>
        </w:r>
      </w:hyperlink>
      <w:hyperlink w:anchor="ib6aa2ca3bafa44b0981a31a355b43715_7">
        <w:r>
          <w:rPr>
            <w:rStyle w:val="InternetLink"/>
          </w:rPr>
          <w:t>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statutory regimes or legal theories, and such tariffs increase and be sustained, our inventory acquisition and carrying costs, and the production costs for many of our manufacturer, distributor and supplier partners, may be increased, which costs may be passed on to us and consumers through higher prices for many new vehicles and certain parts we sell. These increased prices may adversely affect our new vehicle sales and related finance and insurance sales and may adversely impact demand for such vehicles and parts, and could materially and adversely affect the results of our operations.</w:t>
      </w:r>
    </w:p>
    <w:p>
      <w:pPr>
        <w:pStyle w:val="TextBody"/>
        <w:bidi w:val="0"/>
        <w:spacing w:before="0" w:after="0"/>
        <w:ind w:left="0" w:right="0" w:firstLine="27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CONSOLIDATED RESULTS OF OPERATIONS</w:t>
      </w:r>
    </w:p>
    <w:p>
      <w:pPr>
        <w:pStyle w:val="TextBody"/>
        <w:bidi w:val="0"/>
        <w:spacing w:lineRule="auto" w:line="288" w:before="0" w:after="180"/>
        <w:ind w:left="0" w:right="0" w:firstLine="315"/>
        <w:jc w:val="left"/>
        <w:rPr/>
      </w:pPr>
      <w:r>
        <w:rPr>
          <w:rFonts w:ascii="Times New Roman;serif" w:hAnsi="Times New Roman;serif"/>
          <w:b w:val="false"/>
          <w:color w:val="212529"/>
          <w:sz w:val="20"/>
        </w:rPr>
        <w:t xml:space="preserve">The Company's operating results for the </w:t>
      </w:r>
      <w:r>
        <w:rPr>
          <w:rFonts w:ascii="Times New Roman;serif" w:hAnsi="Times New Roman;serif"/>
          <w:b w:val="false"/>
          <w:color w:val="000000"/>
          <w:sz w:val="20"/>
        </w:rPr>
        <w:t>three months ended March 31, 2026</w:t>
      </w:r>
      <w:r>
        <w:rPr>
          <w:color w:val="212529"/>
        </w:rPr>
        <w:t xml:space="preserve"> </w:t>
      </w:r>
      <w:r>
        <w:rPr>
          <w:rFonts w:ascii="Times New Roman;serif" w:hAnsi="Times New Roman;serif"/>
          <w:b w:val="false"/>
          <w:color w:val="212529"/>
          <w:sz w:val="20"/>
        </w:rPr>
        <w:t xml:space="preserve">include the results of the Herb Chambers Businesses acquired in the third quarter of 2025. Accordingly, the </w:t>
      </w:r>
      <w:r>
        <w:rPr>
          <w:rFonts w:ascii="Times New Roman;serif" w:hAnsi="Times New Roman;serif"/>
          <w:b w:val="false"/>
          <w:color w:val="000000"/>
          <w:sz w:val="20"/>
        </w:rPr>
        <w:t>three months ended March 31, 2026, includes</w:t>
      </w:r>
      <w:r>
        <w:rPr>
          <w:color w:val="212529"/>
        </w:rPr>
        <w:t xml:space="preserve"> </w:t>
      </w:r>
      <w:r>
        <w:rPr>
          <w:rFonts w:ascii="Times New Roman;serif" w:hAnsi="Times New Roman;serif"/>
          <w:b w:val="false"/>
          <w:color w:val="212529"/>
          <w:sz w:val="20"/>
        </w:rPr>
        <w:t>increases in revenue and gross profit related to the Herb Chambers Businesses, which have been offset by declines in revenues and gross profits due to several dealership divestitures in the second through fourth quarters of 2025 and February 2026.</w:t>
      </w:r>
    </w:p>
    <w:p>
      <w:pPr>
        <w:pStyle w:val="TextBody"/>
        <w:bidi w:val="0"/>
        <w:spacing w:lineRule="auto" w:line="288" w:before="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 xml:space="preserve">We assess the organic growth of our revenue and gross profit on a same store basis. We believe that our assessment on a same store basis represents an important indicator of comparative financial performance and provides relevant information to assess our performance. As such, for the following discussion, same store amounts consist of information from dealerships for identical months in each comparative period, commencing with the first full month we owned the dealership. Additionally, amounts related to divested dealerships are excluded from each comparative period.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Three Months Ended March 31, 2026 Compared to the Three Months Ended March 31, 2025 </w:t>
      </w:r>
    </w:p>
    <w:tbl>
      <w:tblPr>
        <w:tblW w:w="8992" w:type="dxa"/>
        <w:jc w:val="left"/>
        <w:tblInd w:w="0" w:type="dxa"/>
        <w:tblLayout w:type="fixed"/>
        <w:tblCellMar>
          <w:top w:w="28" w:type="dxa"/>
          <w:left w:w="28" w:type="dxa"/>
          <w:bottom w:w="28" w:type="dxa"/>
          <w:right w:w="28" w:type="dxa"/>
        </w:tblCellMar>
      </w:tblPr>
      <w:tblGrid>
        <w:gridCol w:w="1225"/>
        <w:gridCol w:w="1071"/>
        <w:gridCol w:w="1079"/>
        <w:gridCol w:w="268"/>
        <w:gridCol w:w="975"/>
        <w:gridCol w:w="138"/>
        <w:gridCol w:w="138"/>
        <w:gridCol w:w="138"/>
        <w:gridCol w:w="138"/>
        <w:gridCol w:w="268"/>
        <w:gridCol w:w="975"/>
        <w:gridCol w:w="138"/>
        <w:gridCol w:w="109"/>
        <w:gridCol w:w="109"/>
        <w:gridCol w:w="109"/>
        <w:gridCol w:w="211"/>
        <w:gridCol w:w="586"/>
        <w:gridCol w:w="109"/>
        <w:gridCol w:w="109"/>
        <w:gridCol w:w="109"/>
        <w:gridCol w:w="109"/>
        <w:gridCol w:w="218"/>
        <w:gridCol w:w="218"/>
        <w:gridCol w:w="445"/>
      </w:tblGrid>
      <w:tr>
        <w:trPr/>
        <w:tc>
          <w:tcPr>
            <w:tcW w:w="1225"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Increase</w:t>
              <w:br/>
              <w:t>(Decrease)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br/>
              <w:t>Change</w:t>
            </w:r>
          </w:p>
        </w:tc>
      </w:tr>
      <w:tr>
        <w:trPr/>
        <w:tc>
          <w:tcPr>
            <w:tcW w:w="33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88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33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61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(Dollars in millions, except per share data)</w:t>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vehicle</w:t>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2,100.8 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2,138.1 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Used vehicle</w:t>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1,206.3 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1,235.8 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Parts and service</w:t>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626.8 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587.6 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and insurance, net</w:t>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179.0 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187.0 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12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4,113.0 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4,148.5 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vehicle</w:t>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128.5 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143.1 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Used vehicle</w:t>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Parts and service</w:t>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365.1 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342.7 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and insurance</w:t>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166.9 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173.9 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GROSS PROFIT</w:t>
            </w:r>
          </w:p>
        </w:tc>
        <w:tc>
          <w:tcPr>
            <w:tcW w:w="12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726.9 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724.2 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510.4 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456.4 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 impairments</w:t>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3375"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 w:type="dxa"/>
            <w:gridSpan w:val="3"/>
            <w:tcBorders/>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12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193.9 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234.3 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(INCOME) EXPENSES:</w:t>
            </w:r>
          </w:p>
        </w:tc>
        <w:tc>
          <w:tcPr>
            <w:tcW w:w="1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Floor plan interest expense</w:t>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interest expense, net</w:t>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75"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 w:type="dxa"/>
            <w:gridSpan w:val="3"/>
            <w:tcBorders/>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dealership divestitures, net</w:t>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(125.8)</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other (income) expenses, net</w:t>
            </w:r>
          </w:p>
        </w:tc>
        <w:tc>
          <w:tcPr>
            <w:tcW w:w="12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2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250.6 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175.4 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62.8 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75"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 w:type="dxa"/>
            <w:gridSpan w:val="3"/>
            <w:tcBorders/>
            <w:vAlign w:val="center"/>
          </w:tcPr>
          <w:p>
            <w:pPr>
              <w:pStyle w:val="TableContents"/>
              <w:bidi w:val="0"/>
              <w:spacing w:before="0" w:after="283"/>
              <w:jc w:val="left"/>
              <w:rPr>
                <w:sz w:val="4"/>
                <w:szCs w:val="4"/>
              </w:rPr>
            </w:pPr>
            <w:r>
              <w:rPr>
                <w:sz w:val="4"/>
                <w:szCs w:val="4"/>
              </w:rPr>
            </w:r>
          </w:p>
        </w:tc>
      </w:tr>
      <w:tr>
        <w:trPr/>
        <w:tc>
          <w:tcPr>
            <w:tcW w:w="3375"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 w:type="dxa"/>
            <w:gridSpan w:val="3"/>
            <w:tcBorders/>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187.8 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132.1 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75"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 w:type="dxa"/>
            <w:gridSpan w:val="3"/>
            <w:tcBorders/>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per common share—Diluted</w:t>
            </w:r>
          </w:p>
        </w:tc>
        <w:tc>
          <w:tcPr>
            <w:tcW w:w="26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9.87 </w:t>
            </w:r>
          </w:p>
        </w:tc>
        <w:tc>
          <w:tcPr>
            <w:tcW w:w="13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6.71 </w:t>
            </w:r>
          </w:p>
        </w:tc>
        <w:tc>
          <w:tcPr>
            <w:tcW w:w="13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NM—Not Meaningful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222885"/>
                <wp:effectExtent l="0" t="0" r="0" b="0"/>
                <wp:wrapNone/>
                <wp:docPr id="28" name="Frame2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b6aa2ca3bafa44b0981a31a355b43715_7">
        <w:r>
          <w:rPr>
            <w:rStyle w:val="InternetLink"/>
          </w:rPr>
          <w:t xml:space="preserve">Table of </w:t>
        </w:r>
      </w:hyperlink>
      <w:hyperlink w:anchor="ib6aa2ca3bafa44b0981a31a355b43715_7">
        <w:r>
          <w:rPr>
            <w:rStyle w:val="InternetLink"/>
          </w:rPr>
          <w:t>Contents</w:t>
        </w:r>
      </w:hyperlink>
    </w:p>
    <w:tbl>
      <w:tblPr>
        <w:tblW w:w="8364" w:type="dxa"/>
        <w:jc w:val="center"/>
        <w:tblInd w:w="0" w:type="dxa"/>
        <w:tblLayout w:type="fixed"/>
        <w:tblCellMar>
          <w:top w:w="28" w:type="dxa"/>
          <w:left w:w="28" w:type="dxa"/>
          <w:bottom w:w="28" w:type="dxa"/>
          <w:right w:w="28" w:type="dxa"/>
        </w:tblCellMar>
      </w:tblPr>
      <w:tblGrid>
        <w:gridCol w:w="1792"/>
        <w:gridCol w:w="1576"/>
        <w:gridCol w:w="1582"/>
        <w:gridCol w:w="313"/>
        <w:gridCol w:w="303"/>
        <w:gridCol w:w="647"/>
        <w:gridCol w:w="260"/>
        <w:gridCol w:w="260"/>
        <w:gridCol w:w="260"/>
        <w:gridCol w:w="313"/>
        <w:gridCol w:w="303"/>
        <w:gridCol w:w="755"/>
      </w:tblGrid>
      <w:tr>
        <w:trPr/>
        <w:tc>
          <w:tcPr>
            <w:tcW w:w="1792"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c>
          <w:tcPr>
            <w:tcW w:w="1582"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r>
      <w:tr>
        <w:trPr/>
        <w:tc>
          <w:tcPr>
            <w:tcW w:w="49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Three Months Ended March 31,</w:t>
            </w:r>
          </w:p>
        </w:tc>
      </w:tr>
      <w:tr>
        <w:trPr/>
        <w:tc>
          <w:tcPr>
            <w:tcW w:w="49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7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MIX PERCENTAGES:</w:t>
            </w:r>
          </w:p>
        </w:tc>
        <w:tc>
          <w:tcPr>
            <w:tcW w:w="12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vehicle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51.1 </w:t>
            </w:r>
          </w:p>
        </w:tc>
        <w:tc>
          <w:tcPr>
            <w:tcW w:w="6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51.5 </w:t>
            </w:r>
          </w:p>
        </w:tc>
        <w:tc>
          <w:tcPr>
            <w:tcW w:w="7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Used vehicle retail</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25.8 </w:t>
            </w:r>
          </w:p>
        </w:tc>
        <w:tc>
          <w:tcPr>
            <w:tcW w:w="6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26.0 </w:t>
            </w:r>
          </w:p>
        </w:tc>
        <w:tc>
          <w:tcPr>
            <w:tcW w:w="7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Used vehicle wholesale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6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7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Parts and service</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6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7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and insurance, net</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6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7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6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7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 MIX PERCENTAGES:</w:t>
            </w:r>
          </w:p>
        </w:tc>
        <w:tc>
          <w:tcPr>
            <w:tcW w:w="126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vehicle</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17.7 </w:t>
            </w:r>
          </w:p>
        </w:tc>
        <w:tc>
          <w:tcPr>
            <w:tcW w:w="6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7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Used vehicle retail</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6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7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Used vehicle wholesale</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6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7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Parts and service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50.2 </w:t>
            </w:r>
          </w:p>
        </w:tc>
        <w:tc>
          <w:tcPr>
            <w:tcW w:w="6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47.3 </w:t>
            </w:r>
          </w:p>
        </w:tc>
        <w:tc>
          <w:tcPr>
            <w:tcW w:w="7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and insurance</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23.0 </w:t>
            </w:r>
          </w:p>
        </w:tc>
        <w:tc>
          <w:tcPr>
            <w:tcW w:w="6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24.0 </w:t>
            </w:r>
          </w:p>
        </w:tc>
        <w:tc>
          <w:tcPr>
            <w:tcW w:w="7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gross profit</w:t>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6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7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 MARGIN</w:t>
            </w:r>
          </w:p>
        </w:tc>
        <w:tc>
          <w:tcPr>
            <w:tcW w:w="61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17.7 </w:t>
            </w:r>
          </w:p>
        </w:tc>
        <w:tc>
          <w:tcPr>
            <w:tcW w:w="64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75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SG&amp;A EXPENSE AS A PERCENTAGE OF GROSS PROFIT</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70.2 </w:t>
            </w:r>
          </w:p>
        </w:tc>
        <w:tc>
          <w:tcPr>
            <w:tcW w:w="6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63.0 </w:t>
            </w:r>
          </w:p>
        </w:tc>
        <w:tc>
          <w:tcPr>
            <w:tcW w:w="7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40" w:after="180"/>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 xml:space="preserve">Total revenue for the three months ended March 31, 2026 decreased by $35.5 million (1%) compared to the three months ended March 31, 2025, due to a $37.3 million (2%) decrease in new vehicle revenue, a $29.5 million (2%) decrease in used vehicle revenue, and a $7.9 million (4%) decrease in F&amp;I, net revenue, offset by a $39.2 million (7%) increase in parts and service revenue. During the three months ended March 31, 2026, gross profit increased by $2.7 million driven by a $22.5 million (7%) increase in parts and service gross profit and a $1.8 million (3%) increase in used vehicle gross profit, offset by a $14.6 million (10%) decrease in new vehicle gross profit and a $7.0 million (4%) decrease in F&amp;I gross profit. </w:t>
      </w:r>
    </w:p>
    <w:p>
      <w:pPr>
        <w:pStyle w:val="TextBody"/>
        <w:bidi w:val="0"/>
        <w:spacing w:lineRule="auto" w:line="288" w:before="180" w:after="180"/>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Income from operations during the three months ended March 31, 2026 decreased by $40.4 million (17%) compared to the three months ended March 31, 2025, primarily due to a $54.0 million (12%) increase in selling, general and administrative expenses and a $3.4 million (18%) increase in depreciation and amortization expense, partially offset by a $14.3 million decrease in asset impairment expense and a $2.7 million increase in gross profit.</w:t>
      </w:r>
    </w:p>
    <w:p>
      <w:pPr>
        <w:pStyle w:val="TextBody"/>
        <w:bidi w:val="0"/>
        <w:spacing w:lineRule="auto" w:line="288" w:before="180" w:after="180"/>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Total other income, net increased by $115.6 million during the three months ended March 31, 2026 as compared to the three months ended March 31, 2025, primarily as a result of a $121.6 million increase in gain on dealership divestitures, net, offset by a $5.7 million (14%) increase in other interest expense, net and a $0.4 million (2%) increase in floor plan interest expense. Income before income taxes increased $75.2 million (43%) to $250.6 million for the three months ended March 31, 2026 as compared to the three months ended March 31, 2025. Overall, net income increased by $55.7 million (42%) during the three months ended March 31, 2026 as compared to the three months ended March 31,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222885"/>
                <wp:effectExtent l="0" t="0" r="0" b="0"/>
                <wp:wrapNone/>
                <wp:docPr id="29" name="Frame2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b6aa2ca3bafa44b0981a31a355b43715_7">
        <w:r>
          <w:rPr>
            <w:rStyle w:val="InternetLink"/>
          </w:rPr>
          <w:t xml:space="preserve">Table of </w:t>
        </w:r>
      </w:hyperlink>
      <w:hyperlink w:anchor="ib6aa2ca3bafa44b0981a31a355b43715_7">
        <w:r>
          <w:rPr>
            <w:rStyle w:val="InternetLink"/>
          </w:rPr>
          <w:t>Contents</w:t>
        </w:r>
      </w:hyperlink>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New Vehicle—</w:t>
      </w:r>
    </w:p>
    <w:tbl>
      <w:tblPr>
        <w:tblW w:w="8834" w:type="dxa"/>
        <w:jc w:val="left"/>
        <w:tblInd w:w="0" w:type="dxa"/>
        <w:tblLayout w:type="fixed"/>
        <w:tblCellMar>
          <w:top w:w="28" w:type="dxa"/>
          <w:left w:w="28" w:type="dxa"/>
          <w:bottom w:w="28" w:type="dxa"/>
          <w:right w:w="28" w:type="dxa"/>
        </w:tblCellMar>
      </w:tblPr>
      <w:tblGrid>
        <w:gridCol w:w="916"/>
        <w:gridCol w:w="808"/>
        <w:gridCol w:w="810"/>
        <w:gridCol w:w="268"/>
        <w:gridCol w:w="975"/>
        <w:gridCol w:w="138"/>
        <w:gridCol w:w="138"/>
        <w:gridCol w:w="138"/>
        <w:gridCol w:w="138"/>
        <w:gridCol w:w="268"/>
        <w:gridCol w:w="975"/>
        <w:gridCol w:w="138"/>
        <w:gridCol w:w="109"/>
        <w:gridCol w:w="109"/>
        <w:gridCol w:w="109"/>
        <w:gridCol w:w="332"/>
        <w:gridCol w:w="1087"/>
        <w:gridCol w:w="171"/>
        <w:gridCol w:w="109"/>
        <w:gridCol w:w="109"/>
        <w:gridCol w:w="109"/>
        <w:gridCol w:w="216"/>
        <w:gridCol w:w="219"/>
        <w:gridCol w:w="445"/>
      </w:tblGrid>
      <w:tr>
        <w:trPr/>
        <w:tc>
          <w:tcPr>
            <w:tcW w:w="916"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r>
      <w:tr>
        <w:trPr/>
        <w:tc>
          <w:tcPr>
            <w:tcW w:w="25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Increase (Decrease)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br/>
              <w:t>Change</w:t>
            </w:r>
          </w:p>
        </w:tc>
      </w:tr>
      <w:tr>
        <w:trPr/>
        <w:tc>
          <w:tcPr>
            <w:tcW w:w="25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880"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25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30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(Dollars in millions, except for per vehicle data)</w:t>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 Reported:</w:t>
            </w:r>
          </w:p>
        </w:tc>
        <w:tc>
          <w:tcPr>
            <w:tcW w:w="1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Luxury</w:t>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724.8 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638.1 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86.7 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Import</w:t>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839.8 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868.0 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Domestic</w:t>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536.2 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632.0 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(95.8)</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new vehicle revenue</w:t>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2,100.8 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2,138.1 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3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Luxury</w:t>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Import</w:t>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Domestic</w:t>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new vehicle gross profit</w:t>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128.5 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143.1 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vehicle units:</w:t>
            </w:r>
          </w:p>
        </w:tc>
        <w:tc>
          <w:tcPr>
            <w:tcW w:w="13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Luxury</w:t>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9,449 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8,694 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755 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Import</w:t>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20,604 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21,697 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(1,093)</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Domestic</w:t>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9,229 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11,105 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(1,876)</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new vehicle units</w:t>
            </w:r>
          </w:p>
        </w:tc>
        <w:tc>
          <w:tcPr>
            <w:tcW w:w="12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39,282 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41,496 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(2,214)</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Same Store:</w:t>
            </w:r>
          </w:p>
        </w:tc>
        <w:tc>
          <w:tcPr>
            <w:tcW w:w="1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Luxury</w:t>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521.5 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554.1 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Import</w:t>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765.4 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824.4 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Domestic</w:t>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493.7 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588.8 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(95.1)</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new vehicle revenue</w:t>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1,780.6 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1,967.3 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(186.7)</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3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Luxury</w:t>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Import</w:t>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Domestic</w:t>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new vehicle gross profit</w:t>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104.8 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131.7 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vehicle units:</w:t>
            </w:r>
          </w:p>
        </w:tc>
        <w:tc>
          <w:tcPr>
            <w:tcW w:w="13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Luxury</w:t>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6,990 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7,598 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Import</w:t>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18,751 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20,662 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(1,911)</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Domestic</w:t>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8,511 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10,336 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(1,825)</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new vehicle units</w:t>
            </w:r>
          </w:p>
        </w:tc>
        <w:tc>
          <w:tcPr>
            <w:tcW w:w="1243"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34,252 </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38,596 </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(4,344)</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10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222885"/>
                <wp:effectExtent l="0" t="0" r="0" b="0"/>
                <wp:wrapNone/>
                <wp:docPr id="30" name="Frame3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b6aa2ca3bafa44b0981a31a355b43715_7">
        <w:r>
          <w:rPr>
            <w:rStyle w:val="InternetLink"/>
          </w:rPr>
          <w:t xml:space="preserve">Table of </w:t>
        </w:r>
      </w:hyperlink>
      <w:hyperlink w:anchor="ib6aa2ca3bafa44b0981a31a355b43715_7">
        <w:r>
          <w:rPr>
            <w:rStyle w:val="InternetLink"/>
          </w:rPr>
          <w:t>Contents</w:t>
        </w:r>
      </w:hyperlink>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New Vehicle Metrics—</w:t>
      </w:r>
    </w:p>
    <w:tbl>
      <w:tblPr>
        <w:tblW w:w="9075" w:type="dxa"/>
        <w:jc w:val="left"/>
        <w:tblInd w:w="0" w:type="dxa"/>
        <w:tblLayout w:type="fixed"/>
        <w:tblCellMar>
          <w:top w:w="28" w:type="dxa"/>
          <w:left w:w="28" w:type="dxa"/>
          <w:bottom w:w="28" w:type="dxa"/>
          <w:right w:w="28" w:type="dxa"/>
        </w:tblCellMar>
      </w:tblPr>
      <w:tblGrid>
        <w:gridCol w:w="1003"/>
        <w:gridCol w:w="885"/>
        <w:gridCol w:w="887"/>
        <w:gridCol w:w="245"/>
        <w:gridCol w:w="839"/>
        <w:gridCol w:w="315"/>
        <w:gridCol w:w="126"/>
        <w:gridCol w:w="126"/>
        <w:gridCol w:w="126"/>
        <w:gridCol w:w="245"/>
        <w:gridCol w:w="839"/>
        <w:gridCol w:w="315"/>
        <w:gridCol w:w="109"/>
        <w:gridCol w:w="109"/>
        <w:gridCol w:w="109"/>
        <w:gridCol w:w="305"/>
        <w:gridCol w:w="892"/>
        <w:gridCol w:w="392"/>
        <w:gridCol w:w="109"/>
        <w:gridCol w:w="109"/>
        <w:gridCol w:w="109"/>
        <w:gridCol w:w="218"/>
        <w:gridCol w:w="218"/>
        <w:gridCol w:w="445"/>
      </w:tblGrid>
      <w:tr>
        <w:trPr/>
        <w:tc>
          <w:tcPr>
            <w:tcW w:w="1003"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r>
      <w:tr>
        <w:trPr/>
        <w:tc>
          <w:tcPr>
            <w:tcW w:w="27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Increase (Decrease)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br/>
              <w:t>Change</w:t>
            </w:r>
          </w:p>
        </w:tc>
      </w:tr>
      <w:tr>
        <w:trPr/>
        <w:tc>
          <w:tcPr>
            <w:tcW w:w="27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88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 Reported:</w:t>
            </w:r>
          </w:p>
        </w:tc>
        <w:tc>
          <w:tcPr>
            <w:tcW w:w="13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per new vehicle sold</w:t>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53,480 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51,525 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1,955 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 per new vehicle sold</w:t>
            </w:r>
          </w:p>
        </w:tc>
        <w:tc>
          <w:tcPr>
            <w:tcW w:w="24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3,271 </w:t>
            </w:r>
          </w:p>
        </w:tc>
        <w:tc>
          <w:tcPr>
            <w:tcW w:w="31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3,448 </w:t>
            </w:r>
          </w:p>
        </w:tc>
        <w:tc>
          <w:tcPr>
            <w:tcW w:w="31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w:t>
            </w:r>
          </w:p>
        </w:tc>
        <w:tc>
          <w:tcPr>
            <w:tcW w:w="3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vehicle gross margin</w:t>
            </w:r>
          </w:p>
        </w:tc>
        <w:tc>
          <w:tcPr>
            <w:tcW w:w="108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31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31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3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Luxury:</w:t>
            </w:r>
          </w:p>
        </w:tc>
        <w:tc>
          <w:tcPr>
            <w:tcW w:w="1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 per new vehicle sold</w:t>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6,778 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6,864 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w:t>
            </w:r>
          </w:p>
        </w:tc>
        <w:tc>
          <w:tcPr>
            <w:tcW w:w="3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vehicle gross margin</w:t>
            </w:r>
          </w:p>
        </w:tc>
        <w:tc>
          <w:tcPr>
            <w:tcW w:w="108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31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31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3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Import:</w:t>
            </w:r>
          </w:p>
        </w:tc>
        <w:tc>
          <w:tcPr>
            <w:tcW w:w="139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 per new vehicle sold</w:t>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2,034 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2,412 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vehicle gross margin</w:t>
            </w:r>
          </w:p>
        </w:tc>
        <w:tc>
          <w:tcPr>
            <w:tcW w:w="1084"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31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31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3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Domestic:</w:t>
            </w:r>
          </w:p>
        </w:tc>
        <w:tc>
          <w:tcPr>
            <w:tcW w:w="139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 per new vehicle sold</w:t>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2,444 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2,798 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w:t>
            </w:r>
          </w:p>
        </w:tc>
        <w:tc>
          <w:tcPr>
            <w:tcW w:w="3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vehicle gross margin</w:t>
            </w:r>
          </w:p>
        </w:tc>
        <w:tc>
          <w:tcPr>
            <w:tcW w:w="108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31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31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3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Same Store:</w:t>
            </w:r>
          </w:p>
        </w:tc>
        <w:tc>
          <w:tcPr>
            <w:tcW w:w="1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per new vehicle sold</w:t>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51,985 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50,971 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1,014 </w:t>
            </w:r>
          </w:p>
        </w:tc>
        <w:tc>
          <w:tcPr>
            <w:tcW w:w="3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 per new vehicle sold</w:t>
            </w:r>
          </w:p>
        </w:tc>
        <w:tc>
          <w:tcPr>
            <w:tcW w:w="24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3,061 </w:t>
            </w:r>
          </w:p>
        </w:tc>
        <w:tc>
          <w:tcPr>
            <w:tcW w:w="31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3,413 </w:t>
            </w:r>
          </w:p>
        </w:tc>
        <w:tc>
          <w:tcPr>
            <w:tcW w:w="31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vehicle gross margin</w:t>
            </w:r>
          </w:p>
        </w:tc>
        <w:tc>
          <w:tcPr>
            <w:tcW w:w="1084"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31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31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3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Luxury:</w:t>
            </w:r>
          </w:p>
        </w:tc>
        <w:tc>
          <w:tcPr>
            <w:tcW w:w="1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 per new vehicle sold</w:t>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6,830 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6,916 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vehicle gross margin</w:t>
            </w:r>
          </w:p>
        </w:tc>
        <w:tc>
          <w:tcPr>
            <w:tcW w:w="1084"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31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31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3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Import:</w:t>
            </w:r>
          </w:p>
        </w:tc>
        <w:tc>
          <w:tcPr>
            <w:tcW w:w="139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 per new vehicle sold</w:t>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1,970 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2,420 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w:t>
            </w:r>
          </w:p>
        </w:tc>
        <w:tc>
          <w:tcPr>
            <w:tcW w:w="3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vehicle gross margin</w:t>
            </w:r>
          </w:p>
        </w:tc>
        <w:tc>
          <w:tcPr>
            <w:tcW w:w="108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31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31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3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Domestic:</w:t>
            </w:r>
          </w:p>
        </w:tc>
        <w:tc>
          <w:tcPr>
            <w:tcW w:w="139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 per new vehicle sold</w:t>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2,367 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2,823 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vehicle gross margin</w:t>
            </w:r>
          </w:p>
        </w:tc>
        <w:tc>
          <w:tcPr>
            <w:tcW w:w="1084"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31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31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3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For the three months ended March 31, 2026, new vehicle revenue decreased by $37.3 million (2%) due to a decrease in new vehicle units sold of 2,214 (5%), partially offset by a $1,955 (4%) increase in revenue per new vehicle sold as compared to the three months ended March 31, 2025. Same store new vehicle revenue decreased by $186.7 million (9%), driven by a decrease in new vehicles sold of 4,344 (11%), partially offset by a $1,014 (2%) increase in revenue per new vehicle sold as compared to the three months ended March 31, 2025.</w:t>
      </w:r>
    </w:p>
    <w:p>
      <w:pPr>
        <w:pStyle w:val="TextBody"/>
        <w:bidi w:val="0"/>
        <w:spacing w:lineRule="auto" w:line="288" w:before="180" w:after="180"/>
        <w:ind w:left="0" w:right="0" w:firstLine="315"/>
        <w:jc w:val="left"/>
        <w:rPr/>
      </w:pPr>
      <w:r>
        <w:rPr>
          <w:rFonts w:ascii="Times New Roman;serif" w:hAnsi="Times New Roman;serif"/>
          <w:b w:val="false"/>
          <w:color w:val="000000"/>
          <w:sz w:val="20"/>
        </w:rPr>
        <w:t>For the three months ended March 31, 2026 new vehicle gross profit and same store new vehicle gross profit decreased by $14.6 million (10%) and $26.9 million (20%), respectively. Same store new vehicle gross margin for the three months ended March 31, 2026 decreased 81 basis points to 5.9%. A 57 basis point decrease was</w:t>
      </w:r>
      <w:r>
        <w:rPr>
          <w:color w:val="000000"/>
          <w:shd w:fill="FFFFFF" w:val="clear"/>
        </w:rPr>
        <w:t xml:space="preserve"> </w:t>
      </w:r>
      <w:r>
        <w:rPr>
          <w:rFonts w:ascii="Times New Roman;serif" w:hAnsi="Times New Roman;serif"/>
          <w:b w:val="false"/>
          <w:color w:val="000000"/>
          <w:sz w:val="20"/>
          <w:shd w:fill="FFFFFF" w:val="clear"/>
        </w:rPr>
        <w:t>seen in new vehicle gross profit margins, as reporte</w:t>
      </w:r>
      <w:r>
        <w:rPr>
          <w:rFonts w:ascii="Times New Roman;serif" w:hAnsi="Times New Roman;serif"/>
          <w:b w:val="false"/>
          <w:color w:val="000000"/>
          <w:sz w:val="20"/>
        </w:rPr>
        <w:t xml:space="preserve">d. The decrease in our new vehicle gross profit margin was primarily attributable to the continued easing of new vehicle inventory constraints which softened the historically high new vehicle margins seen in recent years, combined with affordability constraints which have also served to compress margins. </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 xml:space="preserve">The seasonally adjusted annual rate ("SAAR") for new vehicle sales in the U.S. during the three months ended March 31, 2026 was approximately 15.6 million which decreased as compared to approximately 16.5 million during the three months ended March 31, 2025. The decrease in SAAR period over period was due to higher consumer demand for new vehicles driven by automobile tariff uncertainty in the first quarter of 2025 that did not recur in the first quarter of 2026. In addition, severe weather events in January and February 2026 led to a decrease in new unit sales during the three months ended March 31, 2026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222885"/>
                <wp:effectExtent l="0" t="0" r="0" b="0"/>
                <wp:wrapNone/>
                <wp:docPr id="31" name="Frame3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b6aa2ca3bafa44b0981a31a355b43715_7">
        <w:r>
          <w:rPr>
            <w:rStyle w:val="InternetLink"/>
          </w:rPr>
          <w:t xml:space="preserve">Table of </w:t>
        </w:r>
      </w:hyperlink>
      <w:hyperlink w:anchor="ib6aa2ca3bafa44b0981a31a355b43715_7">
        <w:r>
          <w:rPr>
            <w:rStyle w:val="InternetLink"/>
          </w:rPr>
          <w:t>Contents</w:t>
        </w:r>
      </w:hyperlink>
    </w:p>
    <w:p>
      <w:pPr>
        <w:pStyle w:val="TextBody"/>
        <w:bidi w:val="0"/>
        <w:spacing w:lineRule="auto" w:line="288" w:before="18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as compared to the same period in the prior year. We also continue to be impacted by the significant variation in new vehicle days supply among brands and models. </w:t>
      </w:r>
    </w:p>
    <w:p>
      <w:pPr>
        <w:pStyle w:val="TextBody"/>
        <w:bidi w:val="0"/>
        <w:spacing w:lineRule="auto" w:line="288" w:before="180" w:after="180"/>
        <w:jc w:val="left"/>
        <w:rPr/>
      </w:pPr>
      <w:r>
        <w:rPr>
          <w:rFonts w:ascii="Times New Roman;serif" w:hAnsi="Times New Roman;serif"/>
          <w:b w:val="false"/>
          <w:i/>
          <w:color w:val="000000"/>
          <w:sz w:val="20"/>
        </w:rPr>
        <w:t>Used Vehicle—</w:t>
      </w:r>
      <w:r>
        <w:rPr>
          <w:color w:val="000000"/>
        </w:rPr>
        <w:t> </w:t>
      </w:r>
    </w:p>
    <w:tbl>
      <w:tblPr>
        <w:tblW w:w="9285" w:type="dxa"/>
        <w:jc w:val="left"/>
        <w:tblInd w:w="0" w:type="dxa"/>
        <w:tblLayout w:type="fixed"/>
        <w:tblCellMar>
          <w:top w:w="28" w:type="dxa"/>
          <w:left w:w="28" w:type="dxa"/>
          <w:bottom w:w="28" w:type="dxa"/>
          <w:right w:w="28" w:type="dxa"/>
        </w:tblCellMar>
      </w:tblPr>
      <w:tblGrid>
        <w:gridCol w:w="1080"/>
        <w:gridCol w:w="951"/>
        <w:gridCol w:w="953"/>
        <w:gridCol w:w="268"/>
        <w:gridCol w:w="975"/>
        <w:gridCol w:w="138"/>
        <w:gridCol w:w="138"/>
        <w:gridCol w:w="138"/>
        <w:gridCol w:w="138"/>
        <w:gridCol w:w="268"/>
        <w:gridCol w:w="975"/>
        <w:gridCol w:w="138"/>
        <w:gridCol w:w="109"/>
        <w:gridCol w:w="109"/>
        <w:gridCol w:w="109"/>
        <w:gridCol w:w="332"/>
        <w:gridCol w:w="1087"/>
        <w:gridCol w:w="171"/>
        <w:gridCol w:w="109"/>
        <w:gridCol w:w="109"/>
        <w:gridCol w:w="109"/>
        <w:gridCol w:w="218"/>
        <w:gridCol w:w="218"/>
        <w:gridCol w:w="445"/>
      </w:tblGrid>
      <w:tr>
        <w:trPr/>
        <w:tc>
          <w:tcPr>
            <w:tcW w:w="1080"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Increase (Decrease)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br/>
              <w:t>Change</w:t>
            </w:r>
          </w:p>
        </w:tc>
      </w:tr>
      <w:tr>
        <w:trPr/>
        <w:tc>
          <w:tcPr>
            <w:tcW w:w="29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88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29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30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(Dollars in millions, except for per vehicle data)</w:t>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 Reported:</w:t>
            </w:r>
          </w:p>
        </w:tc>
        <w:tc>
          <w:tcPr>
            <w:tcW w:w="1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Used vehicle retail revenue</w:t>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1,059.6 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1,078.9 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Used vehicle wholesale revenue</w:t>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146.8 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156.9 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Used vehicle revenue</w:t>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1,206.3 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1,235.8 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3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Used vehicle retail gross profit</w:t>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Used vehicle wholesale gross profit</w:t>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Used vehicle gross profit</w:t>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Used vehicle retail units:</w:t>
            </w:r>
          </w:p>
        </w:tc>
        <w:tc>
          <w:tcPr>
            <w:tcW w:w="13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Used vehicle retail units</w:t>
            </w:r>
          </w:p>
        </w:tc>
        <w:tc>
          <w:tcPr>
            <w:tcW w:w="12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33,202 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35,415 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(2,213)</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Same Store:</w:t>
            </w:r>
          </w:p>
        </w:tc>
        <w:tc>
          <w:tcPr>
            <w:tcW w:w="1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Used vehicle retail revenue</w:t>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881.3 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985.7 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(104.5)</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Used vehicle wholesale revenue</w:t>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121.2 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149.5 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Used vehicle revenue</w:t>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1,002.4 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1,135.2 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(132.8)</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3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Used vehicle retail gross profit</w:t>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Used vehicle wholesale gross profit</w:t>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Used vehicle gross profit</w:t>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Used vehicle retail units:</w:t>
            </w:r>
          </w:p>
        </w:tc>
        <w:tc>
          <w:tcPr>
            <w:tcW w:w="13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Used vehicle retail units</w:t>
            </w:r>
          </w:p>
        </w:tc>
        <w:tc>
          <w:tcPr>
            <w:tcW w:w="1243"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28,583 </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32,421 </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(3,838)</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80" w:after="180"/>
        <w:jc w:val="left"/>
        <w:rPr>
          <w:rFonts w:ascii="Times New Roman;serif" w:hAnsi="Times New Roman;serif"/>
          <w:b w:val="false"/>
          <w:i/>
          <w:color w:val="000000"/>
          <w:sz w:val="20"/>
        </w:rPr>
      </w:pPr>
      <w:r>
        <w:rPr>
          <w:rFonts w:ascii="Times New Roman;serif" w:hAnsi="Times New Roman;serif"/>
          <w:b w:val="false"/>
          <w:i/>
          <w:color w:val="000000"/>
          <w:sz w:val="20"/>
        </w:rPr>
        <w:t>Used Vehicle Metrics—</w:t>
      </w:r>
    </w:p>
    <w:tbl>
      <w:tblPr>
        <w:tblW w:w="9314" w:type="dxa"/>
        <w:jc w:val="left"/>
        <w:tblInd w:w="0" w:type="dxa"/>
        <w:tblLayout w:type="fixed"/>
        <w:tblCellMar>
          <w:top w:w="28" w:type="dxa"/>
          <w:left w:w="28" w:type="dxa"/>
          <w:bottom w:w="28" w:type="dxa"/>
          <w:right w:w="28" w:type="dxa"/>
        </w:tblCellMar>
      </w:tblPr>
      <w:tblGrid>
        <w:gridCol w:w="1118"/>
        <w:gridCol w:w="985"/>
        <w:gridCol w:w="987"/>
        <w:gridCol w:w="444"/>
        <w:gridCol w:w="229"/>
        <w:gridCol w:w="571"/>
        <w:gridCol w:w="229"/>
        <w:gridCol w:w="229"/>
        <w:gridCol w:w="229"/>
        <w:gridCol w:w="444"/>
        <w:gridCol w:w="229"/>
        <w:gridCol w:w="571"/>
        <w:gridCol w:w="109"/>
        <w:gridCol w:w="109"/>
        <w:gridCol w:w="109"/>
        <w:gridCol w:w="305"/>
        <w:gridCol w:w="892"/>
        <w:gridCol w:w="392"/>
        <w:gridCol w:w="109"/>
        <w:gridCol w:w="109"/>
        <w:gridCol w:w="109"/>
        <w:gridCol w:w="180"/>
        <w:gridCol w:w="181"/>
        <w:gridCol w:w="445"/>
      </w:tblGrid>
      <w:tr>
        <w:trPr/>
        <w:tc>
          <w:tcPr>
            <w:tcW w:w="1118"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Increase (Decrease)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br/>
              <w:t>Change</w:t>
            </w:r>
          </w:p>
        </w:tc>
      </w:tr>
      <w:tr>
        <w:trPr/>
        <w:tc>
          <w:tcPr>
            <w:tcW w:w="30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6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8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 Reported:</w:t>
            </w:r>
          </w:p>
        </w:tc>
        <w:tc>
          <w:tcPr>
            <w:tcW w:w="12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per used vehicle retailed</w:t>
            </w:r>
          </w:p>
        </w:tc>
        <w:tc>
          <w:tcPr>
            <w:tcW w:w="4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31,913</w:t>
            </w:r>
          </w:p>
        </w:tc>
        <w:tc>
          <w:tcPr>
            <w:tcW w:w="6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1,448 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 per used vehicle retailed</w:t>
            </w:r>
          </w:p>
        </w:tc>
        <w:tc>
          <w:tcPr>
            <w:tcW w:w="44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1,847</w:t>
            </w:r>
          </w:p>
        </w:tc>
        <w:tc>
          <w:tcPr>
            <w:tcW w:w="6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261 </w:t>
            </w:r>
          </w:p>
        </w:tc>
        <w:tc>
          <w:tcPr>
            <w:tcW w:w="3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Used vehicle retail gross margin</w:t>
            </w:r>
          </w:p>
        </w:tc>
        <w:tc>
          <w:tcPr>
            <w:tcW w:w="673"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5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5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3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Same Store:</w:t>
            </w:r>
          </w:p>
        </w:tc>
        <w:tc>
          <w:tcPr>
            <w:tcW w:w="1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per used vehicle retailed</w:t>
            </w:r>
          </w:p>
        </w:tc>
        <w:tc>
          <w:tcPr>
            <w:tcW w:w="4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30,831</w:t>
            </w:r>
          </w:p>
        </w:tc>
        <w:tc>
          <w:tcPr>
            <w:tcW w:w="6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428 </w:t>
            </w:r>
          </w:p>
        </w:tc>
        <w:tc>
          <w:tcPr>
            <w:tcW w:w="3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 per used vehicle retailed</w:t>
            </w:r>
          </w:p>
        </w:tc>
        <w:tc>
          <w:tcPr>
            <w:tcW w:w="44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1,828</w:t>
            </w:r>
          </w:p>
        </w:tc>
        <w:tc>
          <w:tcPr>
            <w:tcW w:w="6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Used vehicle retail gross margin</w:t>
            </w:r>
          </w:p>
        </w:tc>
        <w:tc>
          <w:tcPr>
            <w:tcW w:w="673"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57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57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3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ind w:left="0" w:right="0" w:firstLine="315"/>
        <w:jc w:val="left"/>
        <w:rPr/>
      </w:pPr>
      <w:r>
        <w:rPr>
          <w:rFonts w:ascii="Times New Roman;serif" w:hAnsi="Times New Roman;serif"/>
          <w:b w:val="false"/>
          <w:color w:val="000000"/>
          <w:sz w:val="20"/>
          <w:shd w:fill="FFFFFF" w:val="clear"/>
        </w:rPr>
        <w:t>For</w:t>
      </w:r>
      <w:r>
        <w:rPr>
          <w:color w:val="000000"/>
        </w:rPr>
        <w:t xml:space="preserve"> </w:t>
      </w:r>
      <w:r>
        <w:rPr>
          <w:rFonts w:ascii="Times New Roman;serif" w:hAnsi="Times New Roman;serif"/>
          <w:b w:val="false"/>
          <w:color w:val="000000"/>
          <w:sz w:val="20"/>
        </w:rPr>
        <w:t xml:space="preserve">the three months ended March 31, 2026, used vehicle revenue decreased by $29.5 million (2%) compared to the same period of the prior year, due to a $19.3 million (2%) decrease in used vehicle retail revenue and a $10.1 million (6%) decrease in used vehicle wholesale revenue. Same store used vehicle revenue decreased by $132.8 million (12%), due to a $104.5 million (11%) decrease in used vehicle retail revenue and a $28.3 million (19%) decrease in used vehicle wholesale revenue. Total used vehicle retail unit sales decreased by 6% on an all store basis and by 12% on a same store basis during the three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222885"/>
                <wp:effectExtent l="0" t="0" r="0" b="0"/>
                <wp:wrapNone/>
                <wp:docPr id="32" name="Frame3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b6aa2ca3bafa44b0981a31a355b43715_7">
        <w:r>
          <w:rPr>
            <w:rStyle w:val="InternetLink"/>
          </w:rPr>
          <w:t xml:space="preserve">Table of </w:t>
        </w:r>
      </w:hyperlink>
      <w:hyperlink w:anchor="ib6aa2ca3bafa44b0981a31a355b43715_7">
        <w:r>
          <w:rPr>
            <w:rStyle w:val="InternetLink"/>
          </w:rPr>
          <w:t>Contents</w:t>
        </w:r>
      </w:hyperlink>
    </w:p>
    <w:p>
      <w:pPr>
        <w:pStyle w:val="TextBody"/>
        <w:bidi w:val="0"/>
        <w:spacing w:lineRule="auto" w:line="288" w:before="180" w:after="180"/>
        <w:jc w:val="left"/>
        <w:rPr>
          <w:rFonts w:ascii="Times New Roman;serif" w:hAnsi="Times New Roman;serif"/>
          <w:b w:val="false"/>
          <w:color w:val="000000"/>
          <w:sz w:val="20"/>
        </w:rPr>
      </w:pPr>
      <w:r>
        <w:rPr>
          <w:rFonts w:ascii="Times New Roman;serif" w:hAnsi="Times New Roman;serif"/>
          <w:b w:val="false"/>
          <w:color w:val="000000"/>
          <w:sz w:val="20"/>
        </w:rPr>
        <w:t>months ended March 31, 2026 as compared to the three months ended March 31, 2025. While revenue per used vehicle retailed increased on both an all store and same store basis by 5% and 1%, respectively, the decrease in unit volumes on both an all store and same store basis negatively impacted used vehicle revenue for the three months ended March 31, 2026 as compared to the three months ended March 31, 2025. Used vehicle revenue per vehicle sold increased due to the continued tight inventory levels heightened by consumers moving to the used vehicle market due to higher new vehicle prices. Used vehicle unit volumes were negatively impacted by severe weather in January and February, lower new vehicle unit sales which reduced trade-ins, our primary source of used vehicle inventory, and the continued lack of inventory availability, especially in vehicles with lower mileage.</w:t>
      </w:r>
    </w:p>
    <w:p>
      <w:pPr>
        <w:pStyle w:val="TextBody"/>
        <w:bidi w:val="0"/>
        <w:spacing w:lineRule="auto" w:line="288" w:before="160" w:after="180"/>
        <w:ind w:left="0" w:right="0" w:firstLine="315"/>
        <w:jc w:val="left"/>
        <w:rPr/>
      </w:pPr>
      <w:r>
        <w:rPr>
          <w:rFonts w:ascii="Times New Roman;serif" w:hAnsi="Times New Roman;serif"/>
          <w:b w:val="false"/>
          <w:color w:val="000000"/>
          <w:sz w:val="20"/>
          <w:shd w:fill="FFFFFF" w:val="clear"/>
        </w:rPr>
        <w:t>F</w:t>
      </w:r>
      <w:r>
        <w:rPr>
          <w:rFonts w:ascii="Times New Roman;serif" w:hAnsi="Times New Roman;serif"/>
          <w:b w:val="false"/>
          <w:color w:val="000000"/>
          <w:sz w:val="20"/>
        </w:rPr>
        <w:t xml:space="preserve">or the three months ended March 31, 2026, both the total company and same store used vehicle retail gross profit margin increased by 58 basis points, respectively, as compared to the three months ended March 31, 2025. The used vehicle retail gross margin increased from 5.2% to 5.8% on an all store basis and increased from 5.4% to 5.9% on a same store basis. We attribute the increases in used vehicle retail gross profit margins to strong execution around sourcing and disciplined focus on profitability over units sold. Additionally, the increase in used vehicle gross margins on a total company basis was driven by the addition of the Herb Chambers Dealerships </w:t>
      </w:r>
      <w:r>
        <w:rPr>
          <w:rFonts w:ascii="Times New Roman;serif" w:hAnsi="Times New Roman;serif"/>
          <w:b w:val="false"/>
          <w:color w:val="212529"/>
          <w:sz w:val="20"/>
        </w:rPr>
        <w:t xml:space="preserve">in the </w:t>
      </w:r>
      <w:r>
        <w:rPr>
          <w:rFonts w:ascii="Times New Roman;serif" w:hAnsi="Times New Roman;serif"/>
          <w:b w:val="false"/>
          <w:color w:val="000000"/>
          <w:sz w:val="20"/>
        </w:rPr>
        <w:t>three months ended March 31, 2026 as compared to the three months ended March 31, 2025.</w:t>
      </w:r>
    </w:p>
    <w:p>
      <w:pPr>
        <w:pStyle w:val="TextBody"/>
        <w:bidi w:val="0"/>
        <w:spacing w:lineRule="auto" w:line="288" w:before="16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Used vehicle retail gross profit increased $5.2 million (9%) for the three months ended March 31, 2026 as compared to the three months ended March 31, 2025 and decreased $0.5 million (1%) on a same store basis for the same period. On a total company and same store basis, our gross profit per used vehicle retailed increased by $261 (16%) and $201 (12%), respectively, when compared to the prior year period. This was primarily driven by increases in used vehicle market prices due to the tight used vehicle inventory market.</w:t>
      </w:r>
    </w:p>
    <w:p>
      <w:pPr>
        <w:pStyle w:val="TextBody"/>
        <w:bidi w:val="0"/>
        <w:spacing w:before="18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222885"/>
                <wp:effectExtent l="0" t="0" r="0" b="0"/>
                <wp:wrapNone/>
                <wp:docPr id="33" name="Frame3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b6aa2ca3bafa44b0981a31a355b43715_7">
        <w:r>
          <w:rPr>
            <w:rStyle w:val="InternetLink"/>
          </w:rPr>
          <w:t xml:space="preserve">Table of </w:t>
        </w:r>
      </w:hyperlink>
      <w:hyperlink w:anchor="ib6aa2ca3bafa44b0981a31a355b43715_7">
        <w:r>
          <w:rPr>
            <w:rStyle w:val="InternetLink"/>
          </w:rPr>
          <w:t>Contents</w:t>
        </w:r>
      </w:hyperlink>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Parts and Service—</w:t>
      </w:r>
    </w:p>
    <w:tbl>
      <w:tblPr>
        <w:tblW w:w="10205" w:type="dxa"/>
        <w:jc w:val="left"/>
        <w:tblInd w:w="0" w:type="dxa"/>
        <w:tblLayout w:type="fixed"/>
        <w:tblCellMar>
          <w:top w:w="28" w:type="dxa"/>
          <w:left w:w="28" w:type="dxa"/>
          <w:bottom w:w="28" w:type="dxa"/>
          <w:right w:w="28" w:type="dxa"/>
        </w:tblCellMar>
      </w:tblPr>
      <w:tblGrid>
        <w:gridCol w:w="1858"/>
        <w:gridCol w:w="1526"/>
        <w:gridCol w:w="1532"/>
        <w:gridCol w:w="488"/>
        <w:gridCol w:w="292"/>
        <w:gridCol w:w="288"/>
        <w:gridCol w:w="247"/>
        <w:gridCol w:w="247"/>
        <w:gridCol w:w="247"/>
        <w:gridCol w:w="488"/>
        <w:gridCol w:w="292"/>
        <w:gridCol w:w="288"/>
        <w:gridCol w:w="109"/>
        <w:gridCol w:w="109"/>
        <w:gridCol w:w="109"/>
        <w:gridCol w:w="315"/>
        <w:gridCol w:w="163"/>
        <w:gridCol w:w="406"/>
        <w:gridCol w:w="109"/>
        <w:gridCol w:w="109"/>
        <w:gridCol w:w="109"/>
        <w:gridCol w:w="208"/>
        <w:gridCol w:w="211"/>
        <w:gridCol w:w="455"/>
      </w:tblGrid>
      <w:tr>
        <w:trPr/>
        <w:tc>
          <w:tcPr>
            <w:tcW w:w="1858" w:type="dxa"/>
            <w:tcBorders/>
            <w:vAlign w:val="center"/>
          </w:tcPr>
          <w:p>
            <w:pPr>
              <w:pStyle w:val="TableContents"/>
              <w:bidi w:val="0"/>
              <w:spacing w:before="0" w:after="283"/>
              <w:jc w:val="left"/>
              <w:rPr>
                <w:sz w:val="4"/>
                <w:szCs w:val="4"/>
              </w:rPr>
            </w:pPr>
            <w:r>
              <w:rPr>
                <w:sz w:val="4"/>
                <w:szCs w:val="4"/>
              </w:rPr>
            </w:r>
          </w:p>
        </w:tc>
        <w:tc>
          <w:tcPr>
            <w:tcW w:w="1526" w:type="dxa"/>
            <w:tcBorders/>
            <w:vAlign w:val="center"/>
          </w:tcPr>
          <w:p>
            <w:pPr>
              <w:pStyle w:val="TableContents"/>
              <w:bidi w:val="0"/>
              <w:spacing w:before="0" w:after="283"/>
              <w:jc w:val="left"/>
              <w:rPr>
                <w:sz w:val="4"/>
                <w:szCs w:val="4"/>
              </w:rPr>
            </w:pPr>
            <w:r>
              <w:rPr>
                <w:sz w:val="4"/>
                <w:szCs w:val="4"/>
              </w:rPr>
            </w:r>
          </w:p>
        </w:tc>
        <w:tc>
          <w:tcPr>
            <w:tcW w:w="1532"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r>
      <w:tr>
        <w:trPr/>
        <w:tc>
          <w:tcPr>
            <w:tcW w:w="491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Increase</w:t>
              <w:br/>
              <w:t>(Decrease)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br/>
              <w:t>Change</w:t>
            </w:r>
          </w:p>
        </w:tc>
      </w:tr>
      <w:tr>
        <w:trPr/>
        <w:tc>
          <w:tcPr>
            <w:tcW w:w="491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6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7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874"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491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28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(Dollars in millions)</w:t>
            </w:r>
          </w:p>
        </w:tc>
      </w:tr>
      <w:tr>
        <w:trPr/>
        <w:tc>
          <w:tcPr>
            <w:tcW w:w="4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 Reported:</w:t>
            </w:r>
          </w:p>
        </w:tc>
        <w:tc>
          <w:tcPr>
            <w:tcW w:w="10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Parts and service revenue</w:t>
            </w:r>
          </w:p>
        </w:tc>
        <w:tc>
          <w:tcPr>
            <w:tcW w:w="4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626.8</w:t>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4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Parts and service gross profit:</w:t>
            </w:r>
          </w:p>
        </w:tc>
        <w:tc>
          <w:tcPr>
            <w:tcW w:w="10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pay</w:t>
            </w:r>
          </w:p>
        </w:tc>
        <w:tc>
          <w:tcPr>
            <w:tcW w:w="4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193.9</w:t>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4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Warranty</w:t>
            </w:r>
          </w:p>
        </w:tc>
        <w:tc>
          <w:tcPr>
            <w:tcW w:w="10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w:t>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4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Collision</w:t>
            </w:r>
          </w:p>
        </w:tc>
        <w:tc>
          <w:tcPr>
            <w:tcW w:w="10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w:t>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4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Wholesale parts</w:t>
            </w:r>
          </w:p>
        </w:tc>
        <w:tc>
          <w:tcPr>
            <w:tcW w:w="10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w:t>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4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Parts and service gross profit, excluding reconditioning and preparation</w:t>
            </w:r>
          </w:p>
        </w:tc>
        <w:tc>
          <w:tcPr>
            <w:tcW w:w="4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306.0</w:t>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4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Parts and service gross margin, excluding reconditioning and preparation</w:t>
            </w:r>
          </w:p>
        </w:tc>
        <w:tc>
          <w:tcPr>
            <w:tcW w:w="1068"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w:t>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Reconditioning and preparation *</w:t>
            </w:r>
          </w:p>
        </w:tc>
        <w:tc>
          <w:tcPr>
            <w:tcW w:w="4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w:t>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4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parts and service gross profit</w:t>
            </w:r>
          </w:p>
        </w:tc>
        <w:tc>
          <w:tcPr>
            <w:tcW w:w="4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365.1</w:t>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4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parts and service gross margin</w:t>
            </w:r>
          </w:p>
        </w:tc>
        <w:tc>
          <w:tcPr>
            <w:tcW w:w="1068"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w:t>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Same Store:</w:t>
            </w:r>
          </w:p>
        </w:tc>
        <w:tc>
          <w:tcPr>
            <w:tcW w:w="10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Parts and service revenue</w:t>
            </w:r>
          </w:p>
        </w:tc>
        <w:tc>
          <w:tcPr>
            <w:tcW w:w="4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533.6</w:t>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4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Parts and service gross profit:</w:t>
            </w:r>
          </w:p>
        </w:tc>
        <w:tc>
          <w:tcPr>
            <w:tcW w:w="10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pay</w:t>
            </w:r>
          </w:p>
        </w:tc>
        <w:tc>
          <w:tcPr>
            <w:tcW w:w="4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163.0</w:t>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4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Warranty</w:t>
            </w:r>
          </w:p>
        </w:tc>
        <w:tc>
          <w:tcPr>
            <w:tcW w:w="10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w:t>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4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Collision</w:t>
            </w:r>
          </w:p>
        </w:tc>
        <w:tc>
          <w:tcPr>
            <w:tcW w:w="10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w:t>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4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Wholesale parts</w:t>
            </w:r>
          </w:p>
        </w:tc>
        <w:tc>
          <w:tcPr>
            <w:tcW w:w="10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w:t>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4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Parts and service gross profit, excluding reconditioning and preparation</w:t>
            </w:r>
          </w:p>
        </w:tc>
        <w:tc>
          <w:tcPr>
            <w:tcW w:w="4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256.8</w:t>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4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Parts and service gross margin, excluding reconditioning and preparation</w:t>
            </w:r>
          </w:p>
        </w:tc>
        <w:tc>
          <w:tcPr>
            <w:tcW w:w="1068"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w:t>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Reconditioning and preparation *</w:t>
            </w:r>
          </w:p>
        </w:tc>
        <w:tc>
          <w:tcPr>
            <w:tcW w:w="4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w:t>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4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parts and service gross profit</w:t>
            </w:r>
          </w:p>
        </w:tc>
        <w:tc>
          <w:tcPr>
            <w:tcW w:w="4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309.3</w:t>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4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parts and service gross margin</w:t>
            </w:r>
          </w:p>
        </w:tc>
        <w:tc>
          <w:tcPr>
            <w:tcW w:w="1068"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w:t>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ind w:left="0" w:right="0" w:firstLine="270"/>
        <w:jc w:val="left"/>
        <w:rPr>
          <w:rFonts w:ascii="Times New Roman;serif" w:hAnsi="Times New Roman;serif"/>
          <w:b w:val="false"/>
          <w:i/>
          <w:color w:val="000000"/>
          <w:sz w:val="18"/>
        </w:rPr>
      </w:pPr>
      <w:r>
        <w:rPr>
          <w:rFonts w:ascii="Times New Roman;serif" w:hAnsi="Times New Roman;serif"/>
          <w:b w:val="false"/>
          <w:i/>
          <w:color w:val="000000"/>
          <w:sz w:val="18"/>
        </w:rPr>
        <w:t>* Reconditioning and preparation represents the gross profit earned by our parts and service departments for internal work performed and is included as a reduction of Parts and Service Cost of Sales in the accompanying Condensed Consolidated Statements of Income upon the sale of the vehicle.</w:t>
      </w:r>
    </w:p>
    <w:p>
      <w:pPr>
        <w:pStyle w:val="TextBody"/>
        <w:bidi w:val="0"/>
        <w:spacing w:lineRule="auto" w:line="288" w:before="180" w:after="283"/>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The $39.2 million (7%) increase in parts and service revenue was primarily due to a $25.1 million (8%) increase in customer pay revenue, a $15.2 million (16%) increase in warranty revenue, and a $2.0 million (2%) increase in wholesale parts revenue, partially offset by a $3.1 million (5%) decrease in collision revenue. Same store parts and service revenue increased by $2.3 million to $533.6 million during the three months ended March 31, 2026 from $531.4 million during the three months ended March 31, 2025. The increase in same store parts and service revenue was due to a $3.8 million (1%) increase in customer pay revenue, a $3.3 million (3%) increase in wholesale parts revenue, and a $1.3 million (2%) increase in warranty revenue, partially offset by a $6.1 million (10%) decrease in collision revenue. The average age of vehicles in 2026 is historically high at 12.8 years. Consumers are retaining vehicles for longer periods of time due to various factors, including the higher cost of vehicles, higher interest rates, as well as the vehicle inventory constraints experienced in the automotive industry in recent years.</w:t>
      </w:r>
    </w:p>
    <w:p>
      <w:pPr>
        <w:pStyle w:val="TextBody"/>
        <w:bidi w:val="0"/>
        <w:spacing w:lineRule="auto" w:line="288" w:before="180" w:after="180"/>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 xml:space="preserve">For the three months ended March 31, 2026, total parts and service gross profit increased by $22.5 million (7%) to $365.1 million and same store total parts and service gross profit decreased by $3.8 million (1%) to $309.3 million when compared to the same period of the prior year. The all store increase is primarily due to the Herb Chambers acquisition, offset by store divestitures, while the same store decrease is primarily due to a decrease in internal work and the collision business profitability offset by increased customer pay and warranty volume, which is in line with the increasing trend of aged vehicles.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222885"/>
                <wp:effectExtent l="0" t="0" r="0" b="0"/>
                <wp:wrapNone/>
                <wp:docPr id="34" name="Frame3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b6aa2ca3bafa44b0981a31a355b43715_7">
        <w:r>
          <w:rPr>
            <w:rStyle w:val="InternetLink"/>
          </w:rPr>
          <w:t xml:space="preserve">Table of </w:t>
        </w:r>
      </w:hyperlink>
      <w:hyperlink w:anchor="ib6aa2ca3bafa44b0981a31a355b43715_7">
        <w:r>
          <w:rPr>
            <w:rStyle w:val="InternetLink"/>
          </w:rPr>
          <w:t>Contents</w:t>
        </w:r>
      </w:hyperlink>
    </w:p>
    <w:p>
      <w:pPr>
        <w:pStyle w:val="TextBody"/>
        <w:bidi w:val="0"/>
        <w:spacing w:lineRule="auto" w:line="288" w:before="180" w:after="283"/>
        <w:jc w:val="left"/>
        <w:rPr/>
      </w:pPr>
      <w:r>
        <w:rPr>
          <w:rFonts w:ascii="Times New Roman;serif" w:hAnsi="Times New Roman;serif"/>
          <w:b w:val="false"/>
          <w:i/>
          <w:color w:val="000000"/>
          <w:sz w:val="20"/>
        </w:rPr>
        <w:t>Finance and Insurance, net—</w:t>
      </w:r>
      <w:r>
        <w:rPr>
          <w:color w:val="000000"/>
        </w:rPr>
        <w:t> </w:t>
      </w:r>
    </w:p>
    <w:tbl>
      <w:tblPr>
        <w:tblW w:w="9233" w:type="dxa"/>
        <w:jc w:val="center"/>
        <w:tblInd w:w="0" w:type="dxa"/>
        <w:tblLayout w:type="fixed"/>
        <w:tblCellMar>
          <w:top w:w="28" w:type="dxa"/>
          <w:left w:w="28" w:type="dxa"/>
          <w:bottom w:w="28" w:type="dxa"/>
          <w:right w:w="28" w:type="dxa"/>
        </w:tblCellMar>
      </w:tblPr>
      <w:tblGrid>
        <w:gridCol w:w="1307"/>
        <w:gridCol w:w="1153"/>
        <w:gridCol w:w="1155"/>
        <w:gridCol w:w="305"/>
        <w:gridCol w:w="891"/>
        <w:gridCol w:w="157"/>
        <w:gridCol w:w="157"/>
        <w:gridCol w:w="157"/>
        <w:gridCol w:w="157"/>
        <w:gridCol w:w="305"/>
        <w:gridCol w:w="891"/>
        <w:gridCol w:w="157"/>
        <w:gridCol w:w="109"/>
        <w:gridCol w:w="109"/>
        <w:gridCol w:w="109"/>
        <w:gridCol w:w="211"/>
        <w:gridCol w:w="586"/>
        <w:gridCol w:w="109"/>
        <w:gridCol w:w="109"/>
        <w:gridCol w:w="109"/>
        <w:gridCol w:w="109"/>
        <w:gridCol w:w="218"/>
        <w:gridCol w:w="218"/>
        <w:gridCol w:w="445"/>
      </w:tblGrid>
      <w:tr>
        <w:trPr/>
        <w:tc>
          <w:tcPr>
            <w:tcW w:w="1307"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r>
      <w:tr>
        <w:trPr/>
        <w:tc>
          <w:tcPr>
            <w:tcW w:w="36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Increase</w:t>
              <w:br/>
              <w:t>(Decrease)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br/>
              <w:t>Change</w:t>
            </w:r>
          </w:p>
        </w:tc>
      </w:tr>
      <w:tr>
        <w:trPr/>
        <w:tc>
          <w:tcPr>
            <w:tcW w:w="36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5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88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36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61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(Dollars in millions, except for per vehicle data)</w:t>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 Reported:</w:t>
            </w:r>
          </w:p>
        </w:tc>
        <w:tc>
          <w:tcPr>
            <w:tcW w:w="13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Finance and insurance, net revenue</w:t>
            </w:r>
          </w:p>
        </w:tc>
        <w:tc>
          <w:tcPr>
            <w:tcW w:w="3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Finance and insurance, net gross profit</w:t>
            </w:r>
          </w:p>
        </w:tc>
        <w:tc>
          <w:tcPr>
            <w:tcW w:w="30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166.9 </w:t>
            </w:r>
          </w:p>
        </w:tc>
        <w:tc>
          <w:tcPr>
            <w:tcW w:w="15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173.9 </w:t>
            </w:r>
          </w:p>
        </w:tc>
        <w:tc>
          <w:tcPr>
            <w:tcW w:w="15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and insurance, net per vehicle sold</w:t>
            </w:r>
          </w:p>
        </w:tc>
        <w:tc>
          <w:tcPr>
            <w:tcW w:w="30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2,302 </w:t>
            </w:r>
          </w:p>
        </w:tc>
        <w:tc>
          <w:tcPr>
            <w:tcW w:w="15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2,261 </w:t>
            </w:r>
          </w:p>
        </w:tc>
        <w:tc>
          <w:tcPr>
            <w:tcW w:w="15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Same Store:</w:t>
            </w:r>
          </w:p>
        </w:tc>
        <w:tc>
          <w:tcPr>
            <w:tcW w:w="1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Finance and insurance, net revenue</w:t>
            </w:r>
          </w:p>
        </w:tc>
        <w:tc>
          <w:tcPr>
            <w:tcW w:w="3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Finance and insurance, net gross profit</w:t>
            </w:r>
          </w:p>
        </w:tc>
        <w:tc>
          <w:tcPr>
            <w:tcW w:w="30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144.9 </w:t>
            </w:r>
          </w:p>
        </w:tc>
        <w:tc>
          <w:tcPr>
            <w:tcW w:w="15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163.4 </w:t>
            </w:r>
          </w:p>
        </w:tc>
        <w:tc>
          <w:tcPr>
            <w:tcW w:w="15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and insurance, net per vehicle sold</w:t>
            </w:r>
          </w:p>
        </w:tc>
        <w:tc>
          <w:tcPr>
            <w:tcW w:w="30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2,307 </w:t>
            </w:r>
          </w:p>
        </w:tc>
        <w:tc>
          <w:tcPr>
            <w:tcW w:w="15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2,300 </w:t>
            </w:r>
          </w:p>
        </w:tc>
        <w:tc>
          <w:tcPr>
            <w:tcW w:w="15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bl>
    <w:p>
      <w:pPr>
        <w:pStyle w:val="TextBody"/>
        <w:bidi w:val="0"/>
        <w:spacing w:lineRule="auto" w:line="288" w:before="180" w:after="180"/>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F&amp;I revenue, net decreased by $7.9 million (4%) during the three months ended March 31, 2026 when compared to the three months ended March 31, 2025, as a result of a 6% decrease in total retail units sold, partially offset by a $41 (2%) increase in F&amp;I per vehicle retailed.</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 xml:space="preserve">On a same store basis, F&amp;I revenue, net decreased by $19.4 million (11%) during the three months ended March 31, 2026 when compared to the three months ended March 31, 2025, primarily due to a 12% decrease in total retail units sold. F&amp;I revenue, net was negatively impacted by the deferral of commission revenue on the sale of TCA products, which we continue to roll out to all of our stores, as compared to the immediate revenue recognition on the sale of third party F&amp;I products. In addition, customers continue to look for ways to manage lower monthly payments in a high interest rate environment. </w:t>
      </w:r>
    </w:p>
    <w:p>
      <w:pPr>
        <w:pStyle w:val="TextBody"/>
        <w:bidi w:val="0"/>
        <w:spacing w:lineRule="auto" w:line="288" w:before="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The financial results of the TCA segment, after dealership eliminations, are as follows:</w:t>
      </w:r>
    </w:p>
    <w:tbl>
      <w:tblPr>
        <w:tblW w:w="8612" w:type="dxa"/>
        <w:jc w:val="left"/>
        <w:tblInd w:w="0" w:type="dxa"/>
        <w:tblLayout w:type="fixed"/>
        <w:tblCellMar>
          <w:top w:w="28" w:type="dxa"/>
          <w:left w:w="28" w:type="dxa"/>
          <w:bottom w:w="28" w:type="dxa"/>
          <w:right w:w="28" w:type="dxa"/>
        </w:tblCellMar>
      </w:tblPr>
      <w:tblGrid>
        <w:gridCol w:w="1085"/>
        <w:gridCol w:w="954"/>
        <w:gridCol w:w="961"/>
        <w:gridCol w:w="337"/>
        <w:gridCol w:w="817"/>
        <w:gridCol w:w="174"/>
        <w:gridCol w:w="174"/>
        <w:gridCol w:w="174"/>
        <w:gridCol w:w="174"/>
        <w:gridCol w:w="337"/>
        <w:gridCol w:w="817"/>
        <w:gridCol w:w="174"/>
        <w:gridCol w:w="109"/>
        <w:gridCol w:w="109"/>
        <w:gridCol w:w="109"/>
        <w:gridCol w:w="254"/>
        <w:gridCol w:w="512"/>
        <w:gridCol w:w="133"/>
        <w:gridCol w:w="109"/>
        <w:gridCol w:w="109"/>
        <w:gridCol w:w="109"/>
        <w:gridCol w:w="218"/>
        <w:gridCol w:w="218"/>
        <w:gridCol w:w="445"/>
      </w:tblGrid>
      <w:tr>
        <w:trPr/>
        <w:tc>
          <w:tcPr>
            <w:tcW w:w="1085"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Increase</w:t>
              <w:br/>
              <w:t>(Decrease)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br/>
              <w:t>Change</w:t>
            </w:r>
          </w:p>
        </w:tc>
      </w:tr>
      <w:tr>
        <w:trPr/>
        <w:tc>
          <w:tcPr>
            <w:tcW w:w="30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2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5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88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30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61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(Dollars in millions)</w:t>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and insurance, revenue</w:t>
            </w:r>
          </w:p>
        </w:tc>
        <w:tc>
          <w:tcPr>
            <w:tcW w:w="3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and insurance, cost of sales</w:t>
            </w:r>
          </w:p>
        </w:tc>
        <w:tc>
          <w:tcPr>
            <w:tcW w:w="33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17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17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and insurance, gross profit</w:t>
            </w:r>
          </w:p>
        </w:tc>
        <w:tc>
          <w:tcPr>
            <w:tcW w:w="33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17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18.0 </w:t>
            </w:r>
          </w:p>
        </w:tc>
        <w:tc>
          <w:tcPr>
            <w:tcW w:w="17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TCA offers a variety of F&amp;I products, such as extended vehicle service contracts, prepaid maintenance contracts, GAP, appearance protection contracts and lease wear-and-tear contracts. TCA's products are sold through our automobile dealerships.</w:t>
      </w:r>
    </w:p>
    <w:p>
      <w:pPr>
        <w:pStyle w:val="TextBody"/>
        <w:bidi w:val="0"/>
        <w:spacing w:lineRule="auto" w:line="288" w:before="180" w:after="283"/>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 xml:space="preserve">Revenue generated by TCA is earned over the period of the related product contract. The method for recognizing revenue is assigned based on contract type and expected claim patterns. Premium revenues are supplemented with investment gains or losses and income earned associated with the performance of TCA's investment portfolio. During the three months ended March 31, 2026, TCA generated $25.2 million revenue, after dealership eliminations, consisting primarily of earned premiums and $5.5 million investment income from the investment portfolio. F&amp;I revenue decreased by $5.8 million (19%) for the three months ended March 31, 2026 as compared to the three months ended March 31, 2025 due to the continued roll-out of TCA products across Asbury dealerships resulting in the deferral of F&amp;I revenue over the TCA contract term as opposed to the immediate recognition of revenue associated with third-party F&amp;I product sales. </w:t>
      </w:r>
    </w:p>
    <w:p>
      <w:pPr>
        <w:pStyle w:val="TextBody"/>
        <w:bidi w:val="0"/>
        <w:spacing w:lineRule="auto" w:line="288" w:before="180" w:after="283"/>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Direct expenses incurred for the acquisition of F&amp;I contracts on which revenue has not yet been recognized have been deferred and are amortized over the related contract period. During the three months ended March 31, 2026, TCA recorded $12.1 million of cost of sales consisting primarily of claims expense. Commissions expense paid by TCA to our affiliated dealerships and reflected as F&amp;I revenue in our Dealerships segment is eliminated in the TCA segment upon consolidation.</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 xml:space="preserve">We expect to complete the rollout to all of our dealerships in 2026 by offering TCA products on our Herb Chambers platform; however, no assurance can be given that the rollout will be completed with the timeframe contemplated.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222885"/>
                <wp:effectExtent l="0" t="0" r="0" b="0"/>
                <wp:wrapNone/>
                <wp:docPr id="35" name="Frame3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b6aa2ca3bafa44b0981a31a355b43715_7">
        <w:r>
          <w:rPr>
            <w:rStyle w:val="InternetLink"/>
          </w:rPr>
          <w:t xml:space="preserve">Table of </w:t>
        </w:r>
      </w:hyperlink>
      <w:hyperlink w:anchor="ib6aa2ca3bafa44b0981a31a355b43715_7">
        <w:r>
          <w:rPr>
            <w:rStyle w:val="InternetLink"/>
          </w:rPr>
          <w:t>Contents</w:t>
        </w:r>
      </w:hyperlink>
    </w:p>
    <w:p>
      <w:pPr>
        <w:pStyle w:val="TextBody"/>
        <w:bidi w:val="0"/>
        <w:spacing w:lineRule="auto" w:line="288" w:before="180" w:after="180"/>
        <w:jc w:val="left"/>
        <w:rPr>
          <w:rFonts w:ascii="Times New Roman;serif" w:hAnsi="Times New Roman;serif"/>
          <w:b w:val="false"/>
          <w:i/>
          <w:color w:val="000000"/>
          <w:sz w:val="20"/>
        </w:rPr>
      </w:pPr>
      <w:r>
        <w:rPr>
          <w:rFonts w:ascii="Times New Roman;serif" w:hAnsi="Times New Roman;serif"/>
          <w:b w:val="false"/>
          <w:i/>
          <w:color w:val="000000"/>
          <w:sz w:val="20"/>
        </w:rPr>
        <w:t>Selling, General, and Administrative Expense—</w:t>
      </w:r>
    </w:p>
    <w:tbl>
      <w:tblPr>
        <w:tblW w:w="10205" w:type="dxa"/>
        <w:jc w:val="center"/>
        <w:tblInd w:w="0" w:type="dxa"/>
        <w:tblLayout w:type="fixed"/>
        <w:tblCellMar>
          <w:top w:w="28" w:type="dxa"/>
          <w:left w:w="28" w:type="dxa"/>
          <w:bottom w:w="28" w:type="dxa"/>
          <w:right w:w="28" w:type="dxa"/>
        </w:tblCellMar>
      </w:tblPr>
      <w:tblGrid>
        <w:gridCol w:w="966"/>
        <w:gridCol w:w="646"/>
        <w:gridCol w:w="647"/>
        <w:gridCol w:w="211"/>
        <w:gridCol w:w="616"/>
        <w:gridCol w:w="109"/>
        <w:gridCol w:w="109"/>
        <w:gridCol w:w="109"/>
        <w:gridCol w:w="109"/>
        <w:gridCol w:w="255"/>
        <w:gridCol w:w="256"/>
        <w:gridCol w:w="542"/>
        <w:gridCol w:w="109"/>
        <w:gridCol w:w="109"/>
        <w:gridCol w:w="109"/>
        <w:gridCol w:w="211"/>
        <w:gridCol w:w="616"/>
        <w:gridCol w:w="109"/>
        <w:gridCol w:w="109"/>
        <w:gridCol w:w="109"/>
        <w:gridCol w:w="109"/>
        <w:gridCol w:w="255"/>
        <w:gridCol w:w="256"/>
        <w:gridCol w:w="542"/>
        <w:gridCol w:w="109"/>
        <w:gridCol w:w="109"/>
        <w:gridCol w:w="109"/>
        <w:gridCol w:w="211"/>
        <w:gridCol w:w="550"/>
        <w:gridCol w:w="109"/>
        <w:gridCol w:w="109"/>
        <w:gridCol w:w="109"/>
        <w:gridCol w:w="109"/>
        <w:gridCol w:w="297"/>
        <w:gridCol w:w="297"/>
        <w:gridCol w:w="869"/>
      </w:tblGrid>
      <w:tr>
        <w:trPr/>
        <w:tc>
          <w:tcPr>
            <w:tcW w:w="96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r>
      <w:tr>
        <w:trPr/>
        <w:tc>
          <w:tcPr>
            <w:tcW w:w="22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95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Increase</w:t>
              <w:br/>
              <w:t>(Decrease)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of Gross</w:t>
              <w:br/>
              <w:t>Profit Increase (Decrease)</w:t>
            </w:r>
          </w:p>
        </w:tc>
      </w:tr>
      <w:tr>
        <w:trPr/>
        <w:tc>
          <w:tcPr>
            <w:tcW w:w="22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of Gross</w:t>
              <w:br/>
              <w:t>Profit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of Gross</w:t>
              <w:br/>
              <w:t>Profit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463"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2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6"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(Dollars in millions)</w:t>
            </w:r>
          </w:p>
        </w:tc>
      </w:tr>
      <w:tr>
        <w:trPr/>
        <w:tc>
          <w:tcPr>
            <w:tcW w:w="2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 Reported:</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Personnel costs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43.5 </w:t>
            </w:r>
          </w:p>
        </w:tc>
        <w:tc>
          <w:tcPr>
            <w:tcW w:w="5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42.3 </w:t>
            </w:r>
          </w:p>
        </w:tc>
        <w:tc>
          <w:tcPr>
            <w:tcW w:w="5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8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Rent and related expenses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5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5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8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Advertising</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5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5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8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5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15.6 </w:t>
            </w:r>
          </w:p>
        </w:tc>
        <w:tc>
          <w:tcPr>
            <w:tcW w:w="5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8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70.2 </w:t>
            </w:r>
          </w:p>
        </w:tc>
        <w:tc>
          <w:tcPr>
            <w:tcW w:w="5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63.0 </w:t>
            </w:r>
          </w:p>
        </w:tc>
        <w:tc>
          <w:tcPr>
            <w:tcW w:w="5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8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726.9 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724.2 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Same Store:</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Personnel costs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43.2 </w:t>
            </w:r>
          </w:p>
        </w:tc>
        <w:tc>
          <w:tcPr>
            <w:tcW w:w="5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42.1 </w:t>
            </w:r>
          </w:p>
        </w:tc>
        <w:tc>
          <w:tcPr>
            <w:tcW w:w="5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8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Rent and related expenses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5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5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8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Advertising</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5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5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8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17.8 </w:t>
            </w:r>
          </w:p>
        </w:tc>
        <w:tc>
          <w:tcPr>
            <w:tcW w:w="5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5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8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68.7 </w:t>
            </w:r>
          </w:p>
        </w:tc>
        <w:tc>
          <w:tcPr>
            <w:tcW w:w="5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62.4 </w:t>
            </w:r>
          </w:p>
        </w:tc>
        <w:tc>
          <w:tcPr>
            <w:tcW w:w="5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8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615.7 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669.3 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15"/>
        <w:jc w:val="left"/>
        <w:rPr/>
      </w:pPr>
      <w:r>
        <w:rPr/>
      </w:r>
    </w:p>
    <w:p>
      <w:pPr>
        <w:pStyle w:val="TextBody"/>
        <w:bidi w:val="0"/>
        <w:spacing w:lineRule="auto" w:line="288" w:before="180" w:after="283"/>
        <w:ind w:left="0" w:right="0" w:firstLine="270"/>
        <w:jc w:val="left"/>
        <w:rPr/>
      </w:pPr>
      <w:r>
        <w:rPr>
          <w:rFonts w:ascii="Times New Roman;serif" w:hAnsi="Times New Roman;serif"/>
          <w:b w:val="false"/>
          <w:color w:val="000000"/>
          <w:sz w:val="20"/>
          <w:shd w:fill="FFFFFF" w:val="clear"/>
        </w:rPr>
        <w:t xml:space="preserve">SG&amp;A expense as a percentage of gross profit </w:t>
      </w:r>
      <w:r>
        <w:rPr>
          <w:rFonts w:ascii="Times New Roman;serif" w:hAnsi="Times New Roman;serif"/>
          <w:b w:val="false"/>
          <w:color w:val="000000"/>
          <w:sz w:val="20"/>
        </w:rPr>
        <w:t>increase</w:t>
      </w:r>
      <w:r>
        <w:rPr>
          <w:rFonts w:ascii="Times New Roman;serif" w:hAnsi="Times New Roman;serif"/>
          <w:b w:val="false"/>
          <w:color w:val="000000"/>
          <w:sz w:val="20"/>
          <w:shd w:fill="FFFFFF" w:val="clear"/>
        </w:rPr>
        <w:t xml:space="preserve">d </w:t>
      </w:r>
      <w:r>
        <w:rPr>
          <w:rFonts w:ascii="Times New Roman;serif" w:hAnsi="Times New Roman;serif"/>
          <w:b w:val="false"/>
          <w:color w:val="000000"/>
          <w:sz w:val="20"/>
        </w:rPr>
        <w:t>720</w:t>
      </w:r>
      <w:r>
        <w:rPr>
          <w:color w:val="000000"/>
          <w:shd w:fill="FFFFFF" w:val="clear"/>
        </w:rPr>
        <w:t xml:space="preserve"> </w:t>
      </w:r>
      <w:r>
        <w:rPr>
          <w:rFonts w:ascii="Times New Roman;serif" w:hAnsi="Times New Roman;serif"/>
          <w:b w:val="false"/>
          <w:color w:val="000000"/>
          <w:sz w:val="20"/>
          <w:shd w:fill="FFFFFF" w:val="clear"/>
        </w:rPr>
        <w:t xml:space="preserve">basis points from </w:t>
      </w:r>
      <w:r>
        <w:rPr>
          <w:rFonts w:ascii="Times New Roman;serif" w:hAnsi="Times New Roman;serif"/>
          <w:b w:val="false"/>
          <w:color w:val="000000"/>
          <w:sz w:val="20"/>
        </w:rPr>
        <w:t>63.0%</w:t>
      </w:r>
      <w:r>
        <w:rPr>
          <w:color w:val="000000"/>
          <w:shd w:fill="FFFFFF" w:val="clear"/>
        </w:rPr>
        <w:t xml:space="preserve"> </w:t>
      </w:r>
      <w:r>
        <w:rPr>
          <w:rFonts w:ascii="Times New Roman;serif" w:hAnsi="Times New Roman;serif"/>
          <w:b w:val="false"/>
          <w:color w:val="000000"/>
          <w:sz w:val="20"/>
          <w:shd w:fill="FFFFFF" w:val="clear"/>
        </w:rPr>
        <w:t xml:space="preserve">for the </w:t>
      </w:r>
      <w:r>
        <w:rPr>
          <w:rFonts w:ascii="Times New Roman;serif" w:hAnsi="Times New Roman;serif"/>
          <w:b w:val="false"/>
          <w:color w:val="000000"/>
          <w:sz w:val="20"/>
        </w:rPr>
        <w:t>three months ended March 31, 2025</w:t>
      </w:r>
      <w:r>
        <w:rPr>
          <w:color w:val="000000"/>
          <w:shd w:fill="FFFFFF" w:val="clear"/>
        </w:rPr>
        <w:t xml:space="preserve"> </w:t>
      </w:r>
      <w:r>
        <w:rPr>
          <w:rFonts w:ascii="Times New Roman;serif" w:hAnsi="Times New Roman;serif"/>
          <w:b w:val="false"/>
          <w:color w:val="000000"/>
          <w:sz w:val="20"/>
          <w:shd w:fill="FFFFFF" w:val="clear"/>
        </w:rPr>
        <w:t xml:space="preserve">to 70.2% for the </w:t>
      </w:r>
      <w:r>
        <w:rPr>
          <w:rFonts w:ascii="Times New Roman;serif" w:hAnsi="Times New Roman;serif"/>
          <w:b w:val="false"/>
          <w:color w:val="000000"/>
          <w:sz w:val="20"/>
        </w:rPr>
        <w:t>three months ended March 31, 2026</w:t>
      </w:r>
      <w:r>
        <w:rPr>
          <w:rFonts w:ascii="Times New Roman;serif" w:hAnsi="Times New Roman;serif"/>
          <w:b w:val="false"/>
          <w:color w:val="000000"/>
          <w:sz w:val="20"/>
          <w:shd w:fill="FFFFFF" w:val="clear"/>
        </w:rPr>
        <w:t xml:space="preserve">, while same store SG&amp;A expense as a percentage of gross profit </w:t>
      </w:r>
      <w:r>
        <w:rPr>
          <w:rFonts w:ascii="Times New Roman;serif" w:hAnsi="Times New Roman;serif"/>
          <w:b w:val="false"/>
          <w:color w:val="000000"/>
          <w:sz w:val="20"/>
        </w:rPr>
        <w:t>increase</w:t>
      </w:r>
      <w:r>
        <w:rPr>
          <w:rFonts w:ascii="Times New Roman;serif" w:hAnsi="Times New Roman;serif"/>
          <w:b w:val="false"/>
          <w:color w:val="000000"/>
          <w:sz w:val="20"/>
          <w:shd w:fill="FFFFFF" w:val="clear"/>
        </w:rPr>
        <w:t xml:space="preserve">d </w:t>
      </w:r>
      <w:r>
        <w:rPr>
          <w:rFonts w:ascii="Times New Roman;serif" w:hAnsi="Times New Roman;serif"/>
          <w:b w:val="false"/>
          <w:color w:val="000000"/>
          <w:sz w:val="20"/>
        </w:rPr>
        <w:t>635</w:t>
      </w:r>
      <w:r>
        <w:rPr>
          <w:color w:val="000000"/>
          <w:shd w:fill="FFFFFF" w:val="clear"/>
        </w:rPr>
        <w:t xml:space="preserve"> </w:t>
      </w:r>
      <w:r>
        <w:rPr>
          <w:rFonts w:ascii="Times New Roman;serif" w:hAnsi="Times New Roman;serif"/>
          <w:b w:val="false"/>
          <w:color w:val="000000"/>
          <w:sz w:val="20"/>
          <w:shd w:fill="FFFFFF" w:val="clear"/>
        </w:rPr>
        <w:t xml:space="preserve">basis points from </w:t>
      </w:r>
      <w:r>
        <w:rPr>
          <w:rFonts w:ascii="Times New Roman;serif" w:hAnsi="Times New Roman;serif"/>
          <w:b w:val="false"/>
          <w:color w:val="000000"/>
          <w:sz w:val="20"/>
        </w:rPr>
        <w:t xml:space="preserve">62.4% </w:t>
      </w:r>
      <w:r>
        <w:rPr>
          <w:rFonts w:ascii="Times New Roman;serif" w:hAnsi="Times New Roman;serif"/>
          <w:b w:val="false"/>
          <w:color w:val="000000"/>
          <w:sz w:val="20"/>
          <w:shd w:fill="FFFFFF" w:val="clear"/>
        </w:rPr>
        <w:t xml:space="preserve">to </w:t>
      </w:r>
      <w:r>
        <w:rPr>
          <w:rFonts w:ascii="Times New Roman;serif" w:hAnsi="Times New Roman;serif"/>
          <w:b w:val="false"/>
          <w:color w:val="000000"/>
          <w:sz w:val="20"/>
        </w:rPr>
        <w:t>68.7%</w:t>
      </w:r>
      <w:r>
        <w:rPr>
          <w:color w:val="000000"/>
          <w:shd w:fill="FFFFFF" w:val="clear"/>
        </w:rPr>
        <w:t xml:space="preserve"> </w:t>
      </w:r>
      <w:r>
        <w:rPr>
          <w:rFonts w:ascii="Times New Roman;serif" w:hAnsi="Times New Roman;serif"/>
          <w:b w:val="false"/>
          <w:color w:val="000000"/>
          <w:sz w:val="20"/>
          <w:shd w:fill="FFFFFF" w:val="clear"/>
        </w:rPr>
        <w:t>over the same period.</w:t>
      </w:r>
      <w:r>
        <w:rPr>
          <w:color w:val="000000"/>
        </w:rPr>
        <w:t xml:space="preserve"> </w:t>
      </w:r>
      <w:r>
        <w:rPr>
          <w:rFonts w:ascii="Times New Roman;serif" w:hAnsi="Times New Roman;serif"/>
          <w:b w:val="false"/>
          <w:color w:val="000000"/>
          <w:sz w:val="20"/>
        </w:rPr>
        <w:t xml:space="preserve">The increase in SG&amp;A expense as a percentage of gross profit on a total company basis during the three months ended March 31, 2026 is primarily due to the relatively flat gross profit for the three months ended March 31, 2026 as compared to the three months ended March 31, 2025 and an increase in SG&amp;A expense driven by the Herb Chambers Businesses and offset by store divestitures in 2025 and the first quarter of 2026. The increase in SG&amp;A expense as a percentage of gross profit on a same store basis for the three months ended March 31, 2026 is the result of higher </w:t>
      </w:r>
      <w:r>
        <w:rPr>
          <w:rFonts w:ascii="Times New Roman;serif" w:hAnsi="Times New Roman;serif"/>
          <w:b w:val="false"/>
          <w:color w:val="000000"/>
          <w:sz w:val="20"/>
          <w:shd w:fill="FFFFFF" w:val="clear"/>
        </w:rPr>
        <w:t>SG&amp;A expense and lower gross profit</w:t>
      </w:r>
      <w:r>
        <w:rPr>
          <w:color w:val="000000"/>
        </w:rPr>
        <w:t xml:space="preserve"> </w:t>
      </w:r>
      <w:r>
        <w:rPr>
          <w:rFonts w:ascii="Times New Roman;serif" w:hAnsi="Times New Roman;serif"/>
          <w:b w:val="false"/>
          <w:color w:val="000000"/>
          <w:sz w:val="20"/>
        </w:rPr>
        <w:t>for the three months ended March 31, 2026 as compared to the three months ended March 31, 2025. On a same store basis, personnel costs decreased by $16.1 million (1.1%) for the three months ended March 31, 2026 as compared to the same period in the prior year due to a reduction in commissions payable on lower gross profits earned during the relevant periods. In addition, rent and related expense increased on a same store basis by $14.8 million (2.6%) primarily due to a $10.0 million cyber insurance recovery received in 2025. Lastly, other expense increased on a same store basis by $6.1 million (2.3%) due to $6.1 million of Tekion implementation costs.</w:t>
      </w:r>
    </w:p>
    <w:p>
      <w:pPr>
        <w:pStyle w:val="TextBody"/>
        <w:bidi w:val="0"/>
        <w:spacing w:lineRule="auto" w:line="288" w:before="180" w:after="283"/>
        <w:ind w:left="0" w:right="0" w:hanging="90"/>
        <w:jc w:val="left"/>
        <w:rPr>
          <w:rFonts w:ascii="Times New Roman;serif" w:hAnsi="Times New Roman;serif"/>
          <w:b w:val="false"/>
          <w:i/>
          <w:color w:val="000000"/>
          <w:sz w:val="20"/>
        </w:rPr>
      </w:pPr>
      <w:r>
        <w:rPr>
          <w:rFonts w:ascii="Times New Roman;serif" w:hAnsi="Times New Roman;serif"/>
          <w:b w:val="false"/>
          <w:i/>
          <w:color w:val="000000"/>
          <w:sz w:val="20"/>
        </w:rPr>
        <w:t>Floor Plan Interest Expense—</w:t>
      </w:r>
    </w:p>
    <w:p>
      <w:pPr>
        <w:pStyle w:val="TextBody"/>
        <w:bidi w:val="0"/>
        <w:spacing w:lineRule="auto" w:line="288" w:before="180" w:after="283"/>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Floor plan interest expense increased by $0.4 million (2%) to $21.0 million during the three months ended March 31, 2026 as compared to $20.7 million for the three months ended March 31, 2025, as a result of higher non-manufacturer floor plan balances in 2026 due to the Herb Chambers acquisition, partially offset by lower non-manufacturer floor plan balances due to store divestitures in 2025 and February 2026.</w:t>
      </w:r>
    </w:p>
    <w:p>
      <w:pPr>
        <w:pStyle w:val="TextBody"/>
        <w:bidi w:val="0"/>
        <w:spacing w:lineRule="auto" w:line="288" w:before="180" w:after="283"/>
        <w:ind w:left="0" w:right="0" w:hanging="90"/>
        <w:jc w:val="left"/>
        <w:rPr>
          <w:rFonts w:ascii="Times New Roman;serif" w:hAnsi="Times New Roman;serif"/>
          <w:b w:val="false"/>
          <w:i/>
          <w:color w:val="000000"/>
          <w:sz w:val="20"/>
        </w:rPr>
      </w:pPr>
      <w:r>
        <w:rPr>
          <w:rFonts w:ascii="Times New Roman;serif" w:hAnsi="Times New Roman;serif"/>
          <w:b w:val="false"/>
          <w:i/>
          <w:color w:val="000000"/>
          <w:sz w:val="20"/>
        </w:rPr>
        <w:t>Other Interest Expense—</w:t>
      </w:r>
    </w:p>
    <w:p>
      <w:pPr>
        <w:pStyle w:val="TextBody"/>
        <w:bidi w:val="0"/>
        <w:spacing w:lineRule="auto" w:line="288" w:before="180" w:after="283"/>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Other interest expense increased $5.7 million (14%) from $42.3 million during the three months ended March 31, 2025 to $48.0 million during the three months ended March 31, 2026. This increase was primarily due to a $1.8 million increase in our mortgage facilities interest expense and $2.1 million of credit facility interest expense as a result of borrowings incurred in connection with the Herb Chambers acquisition.</w:t>
      </w:r>
    </w:p>
    <w:p>
      <w:pPr>
        <w:pStyle w:val="TextBody"/>
        <w:bidi w:val="0"/>
        <w:spacing w:lineRule="auto" w:line="288" w:before="180" w:after="283"/>
        <w:ind w:left="0" w:right="0" w:hanging="90"/>
        <w:jc w:val="left"/>
        <w:rPr>
          <w:rFonts w:ascii="Times New Roman;serif" w:hAnsi="Times New Roman;serif"/>
          <w:b w:val="false"/>
          <w:i/>
          <w:color w:val="000000"/>
          <w:sz w:val="20"/>
        </w:rPr>
      </w:pPr>
      <w:r>
        <w:rPr>
          <w:rFonts w:ascii="Times New Roman;serif" w:hAnsi="Times New Roman;serif"/>
          <w:b w:val="false"/>
          <w:i/>
          <w:color w:val="000000"/>
          <w:sz w:val="20"/>
        </w:rPr>
        <w:t>Gain on Dealership Divestitures, Net—</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2026, we sold 14 franchises (10 dealership locations) for an aggregate purchase price of approximately $361.5 million. The Company recorded a pre-tax gain totaling $125.8 million, which is presented in our accompanying condensed consolidated statements of income as a gain on dealership divestitures, net.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222885"/>
                <wp:effectExtent l="0" t="0" r="0" b="0"/>
                <wp:wrapNone/>
                <wp:docPr id="36" name="Frame3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b6aa2ca3bafa44b0981a31a355b43715_7">
        <w:r>
          <w:rPr>
            <w:rStyle w:val="InternetLink"/>
          </w:rPr>
          <w:t xml:space="preserve">Table of </w:t>
        </w:r>
      </w:hyperlink>
      <w:hyperlink w:anchor="ib6aa2ca3bafa44b0981a31a355b43715_7">
        <w:r>
          <w:rPr>
            <w:rStyle w:val="InternetLink"/>
          </w:rPr>
          <w:t>Contents</w:t>
        </w:r>
      </w:hyperlink>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2025, we sold two franchises (two dealership locations) for an aggregate purchase price of approximately $33.5 million. The Company recorded a pre-tax gain totaling $4.1 million, which is presented in our accompanying condensed consolidated statements of income as a gain on dealership divestitures, net.</w:t>
      </w:r>
    </w:p>
    <w:p>
      <w:pPr>
        <w:pStyle w:val="TextBody"/>
        <w:bidi w:val="0"/>
        <w:spacing w:lineRule="auto" w:line="288" w:before="180" w:after="180"/>
        <w:jc w:val="left"/>
        <w:rPr>
          <w:rFonts w:ascii="Times New Roman;serif" w:hAnsi="Times New Roman;serif"/>
          <w:b w:val="false"/>
          <w:i/>
          <w:color w:val="000000"/>
          <w:sz w:val="20"/>
        </w:rPr>
      </w:pPr>
      <w:r>
        <w:rPr>
          <w:rFonts w:ascii="Times New Roman;serif" w:hAnsi="Times New Roman;serif"/>
          <w:b w:val="false"/>
          <w:i/>
          <w:color w:val="000000"/>
          <w:sz w:val="20"/>
        </w:rPr>
        <w:t>Income Tax Expense—</w:t>
      </w:r>
    </w:p>
    <w:p>
      <w:pPr>
        <w:pStyle w:val="TextBody"/>
        <w:bidi w:val="0"/>
        <w:spacing w:lineRule="auto" w:line="268" w:before="0" w:after="0"/>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The $19.4 million increase in income tax expense was primarily the result of a $75.2 million increase in income before income taxes. Our effective tax rate for the three months ended March 31, 2026 was 25.0% compared to 24.7% in the prior year comparative period, which differed from the U.S. statutory rate primarily due to the unfavorable effects of the shortfall component of equity compensation as well as the favorable effects of amended state income tax returns, which are discrete items, and unfavorable effects of various permanent tax adjustments such as executive compensation. We estimate our effective tax rate for the year ended December 31, 2026 at approximately 25%. This estimated effective tax rate includes the effects of the tax benefits related to the purchase of transferable tax credits.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As of March 31, 2026, we had total available liquidity of $1.15 billion, which consisted of cash and cash equivalents of $6.4 million (excluding $18.9 million held by TCA), available funds in our floor plan offset accounts of $229.7 million, $779.9 million of availability under our revolving credit facility and $136.7 million of availability under our used vehicle floor plan facility. The borrowing capacities under our revolving credit facility and our used vehicle revolving floor plan facility are limited by borrowing base calculations and, from time to time, may be further limited by our required compliance with certain financial covenants. As of March 31, 2026, these financial covenants did not further limit our availability under our other credit facilities.</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We continually evaluate our liquidity and capital resources based upon (i) our cash and cash equivalents on hand, (ii) the funds that we expect to generate through future operations, (iii) current and expected borrowing availability under our 2023 Senior Credit Facility, (iv) amounts in our new vehicle floor plan notes payable offset accounts, and (v) the potential impact of our capital allocation strategy and any contemplated or pending future transactions, including, but not limited to, financings, acquisitions, dispositions, equity and/or debt repurchases, dividends, or other capital expenditures. We believe we will have sufficient liquidity to meet our debt service and working capital requirements; commitments and contingencies; debt repayment, maturity and repurchase obligations; acquisitions; capital expenditures; and any operating requirements for at least the next twelve months and the foreseeable future.</w:t>
      </w:r>
    </w:p>
    <w:p>
      <w:pPr>
        <w:pStyle w:val="TextBody"/>
        <w:bidi w:val="0"/>
        <w:spacing w:lineRule="auto" w:line="288" w:before="180" w:after="180"/>
        <w:jc w:val="left"/>
        <w:rPr>
          <w:rFonts w:ascii="Times New Roman;serif" w:hAnsi="Times New Roman;serif"/>
          <w:b w:val="false"/>
          <w:i/>
          <w:color w:val="000000"/>
          <w:sz w:val="20"/>
        </w:rPr>
      </w:pPr>
      <w:r>
        <w:rPr>
          <w:rFonts w:ascii="Times New Roman;serif" w:hAnsi="Times New Roman;serif"/>
          <w:b w:val="false"/>
          <w:i/>
          <w:color w:val="000000"/>
          <w:sz w:val="20"/>
        </w:rPr>
        <w:t>Covenants</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We are subject to a number of customary operating and other restrictive covenants in our various debt and lease agreements. We were in compliance with all of our covenants as of March 31, 2026.</w:t>
      </w:r>
    </w:p>
    <w:p>
      <w:pPr>
        <w:pStyle w:val="TextBody"/>
        <w:bidi w:val="0"/>
        <w:spacing w:lineRule="auto" w:line="288" w:before="180" w:after="180"/>
        <w:jc w:val="left"/>
        <w:rPr>
          <w:rFonts w:ascii="Times New Roman;serif" w:hAnsi="Times New Roman;serif"/>
          <w:b w:val="false"/>
          <w:i/>
          <w:color w:val="000000"/>
          <w:sz w:val="20"/>
        </w:rPr>
      </w:pPr>
      <w:r>
        <w:rPr>
          <w:rFonts w:ascii="Times New Roman;serif" w:hAnsi="Times New Roman;serif"/>
          <w:b w:val="false"/>
          <w:i/>
          <w:color w:val="000000"/>
          <w:sz w:val="20"/>
        </w:rPr>
        <w:t>Share Repurchases and Dividend Restrictions</w:t>
      </w:r>
    </w:p>
    <w:p>
      <w:pPr>
        <w:pStyle w:val="TextBody"/>
        <w:bidi w:val="0"/>
        <w:spacing w:lineRule="auto" w:line="288" w:before="180" w:after="180"/>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Our ability to repurchase shares or pay dividends on our common stock is subject to our compliance with the covenants and restrictions in our various debt and lease agreements.</w:t>
      </w:r>
    </w:p>
    <w:p>
      <w:pPr>
        <w:pStyle w:val="TextBody"/>
        <w:bidi w:val="0"/>
        <w:spacing w:lineRule="auto" w:line="288" w:before="180" w:after="180"/>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On February 25, 2026, the Company announced that its Board of Directors approved an increase of $424.0 million in the Company's common share repurchase authorization to $500.0 million (the "New Share Repurchase Authorization"). As of March 31, 2026, the Company had $453.0 million remaining on its share repurchase authorization. The extent to which the Company repurchases its shares, the number of shares and the timing of any repurchases, will depend on general market conditions, legal requirements and other corporate considerations. The repurchase program may be modified, suspended or terminated at any time without prior notice.</w:t>
      </w:r>
    </w:p>
    <w:p>
      <w:pPr>
        <w:pStyle w:val="TextBody"/>
        <w:bidi w:val="0"/>
        <w:spacing w:lineRule="auto" w:line="288" w:before="180" w:after="180"/>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2026, the Company repurchased and retired 678,243 shares of our common stock under our share repurchase program. The cash paid for these share repurchases was $147.0 million for the three months ended March 31, 2026. There were no share repurchases during the three months ended March 31, 2025.</w:t>
      </w:r>
    </w:p>
    <w:p>
      <w:pPr>
        <w:pStyle w:val="TextBody"/>
        <w:bidi w:val="0"/>
        <w:spacing w:lineRule="auto" w:line="288" w:before="180" w:after="180"/>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2026 and 2025, the Company repurchased 37,420 and 42,780 shares of our common stock for $9.8 million and $12.5 million, respectively, from employees in connection with a net share settlement feature of employee equity-based awards.</w:t>
      </w:r>
    </w:p>
    <w:p>
      <w:pPr>
        <w:pStyle w:val="TextBody"/>
        <w:bidi w:val="0"/>
        <w:spacing w:before="180" w:after="18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222885"/>
                <wp:effectExtent l="0" t="0" r="0" b="0"/>
                <wp:wrapNone/>
                <wp:docPr id="37" name="Frame3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b6aa2ca3bafa44b0981a31a355b43715_7">
        <w:r>
          <w:rPr>
            <w:rStyle w:val="InternetLink"/>
          </w:rPr>
          <w:t xml:space="preserve">Table of </w:t>
        </w:r>
      </w:hyperlink>
      <w:hyperlink w:anchor="ib6aa2ca3bafa44b0981a31a355b43715_7">
        <w:r>
          <w:rPr>
            <w:rStyle w:val="InternetLink"/>
          </w:rPr>
          <w:t>Contents</w:t>
        </w:r>
      </w:hyperlink>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Cash Flows</w:t>
      </w:r>
    </w:p>
    <w:p>
      <w:pPr>
        <w:pStyle w:val="TextBody"/>
        <w:bidi w:val="0"/>
        <w:spacing w:lineRule="auto" w:line="288" w:before="180" w:after="180"/>
        <w:jc w:val="left"/>
        <w:rPr>
          <w:rFonts w:ascii="Times New Roman;serif" w:hAnsi="Times New Roman;serif"/>
          <w:b w:val="false"/>
          <w:i/>
          <w:color w:val="000000"/>
          <w:sz w:val="20"/>
        </w:rPr>
      </w:pPr>
      <w:r>
        <w:rPr>
          <w:rFonts w:ascii="Times New Roman;serif" w:hAnsi="Times New Roman;serif"/>
          <w:b w:val="false"/>
          <w:i/>
          <w:color w:val="000000"/>
          <w:sz w:val="20"/>
        </w:rPr>
        <w:t>Classification of Cash Flows Associated with Floor Plan Notes Payable</w:t>
      </w:r>
    </w:p>
    <w:p>
      <w:pPr>
        <w:pStyle w:val="TextBody"/>
        <w:bidi w:val="0"/>
        <w:spacing w:lineRule="auto" w:line="288" w:before="180" w:after="283"/>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Borrowings and repayments of floor plan notes payable through our 2023 Senior Credit Facility ("Non-Trade"), and all floor plan notes payable relating to used vehicles (together referred to as "Floor Plan Notes Payable—Non-Trade"), are classified as financing activities on the accompanying condensed consolidated statements of cash flows, with borrowings reflected separately from repayments. The net change in floor plan notes payable to a lender affiliated with the manufacturer from which we purchase a particular new vehicle (collectively referred to as "Floor Plan Notes Payable—Trade") is classified as an operating activity on the accompanying condensed consolidated statements of cash flows. Borrowings of non-trade floor plan notes payable associated with inventory acquired in connection with all acquisitions and repayments made in connection with all divestitures are classified as a financing activity in the accompanying condensed consolidated statements of cash flows. Cash flows related to floor plan notes payable included in operating activities differ from cash flows related to floor plan notes payable included in financing activities only to the extent that the former are payable to a lender affiliated with the manufacturer from which we purchased the related inventory, while the latter are payable to our 2023 Senior Credit Facility that includes lenders affiliated with the manufacturers and lenders not affiliated with the manufacturers from which we purchased the related inventory. The majority of our floor plan notes are payable to our 2023 Senior Credit Facility, with the exception of floor plan notes payable relating to the financing of new Ford and Lincoln vehicles and certain loaner vehicle programs.</w:t>
      </w:r>
    </w:p>
    <w:p>
      <w:pPr>
        <w:pStyle w:val="TextBody"/>
        <w:bidi w:val="0"/>
        <w:spacing w:lineRule="auto" w:line="288" w:before="180" w:after="283"/>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Floor plan borrowings are required by all vehicle manufacturers for the purchase of new vehicles, and all floor plan lenders require amounts borrowed for the purchase of a vehicle to be repaid within a short time period after the related vehicle is sold. As a result, we believe that it is important to understand the relationship between the cash flows of all of our floor plan notes payable and new vehicle inventory in order to understand our working capital and operating cash flow and to be able to compare our operating cash flow to that of our competitors (i.e., if our competitors have a different mix of trade and non-trade floor plan financing as compared to us). In addition, we include all floor plan borrowings and repayments in our internal operating cash flow forecasts. As a result, we use the non-GAAP measure "Adjusted cash flow provided by operating activities" (defined below) to compare our results to forecasts. We believe that splitting the cash flows of floor plan notes payable between operating activities and financing activities, while all new vehicle inventory activity is included in operating activities, results in significantly different operating cash flow than if all the cash flows of floor plan notes payable were classified together in operating activities.</w:t>
      </w:r>
    </w:p>
    <w:p>
      <w:pPr>
        <w:pStyle w:val="TextBody"/>
        <w:bidi w:val="0"/>
        <w:spacing w:lineRule="auto" w:line="288" w:before="180" w:after="283"/>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 xml:space="preserve">Adjusted cash flow provided by operating activities includes borrowings and repayments of floor plan notes payable non-trade and used floor plan notes payable borrowing base changes. Adjusted cash flow provided by operating activities may not be comparable to similarly titled measures of other companies and should not be considered in isolation, or as a substitute for analysis of our operating results in accordance with GAAP. In order to compensate for these potential limitations, we also review the related GAAP measures. We believe that the adjustments related to cash flows associated with our used vehicle borrowing base, floor plan offset accounts and the impact of acquisitions and divestitures eliminates cash flow volatility and provides an adjusted operating cash flow metric that best reflects our results of operations and our management of inventory and related financing activities. </w:t>
      </w:r>
    </w:p>
    <w:p>
      <w:pPr>
        <w:pStyle w:val="TextBody"/>
        <w:bidi w:val="0"/>
        <w:spacing w:lineRule="auto" w:line="288" w:before="180" w:after="283"/>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We have provided below a reconciliation of cash flow provided by operating activities, as if all changes in floor plan notes payable, except for (i) borrowings associated with acquisitions and repayments associated with divestitures and (ii) borrowings and repayments associated with the purchase of used vehicle inventory and (iii) changes in the floor plan offset accounts were classified as an operating activity for both floor plan notes payable - non-trade and floor plan notes payable - trade.</w:t>
      </w:r>
    </w:p>
    <w:tbl>
      <w:tblPr>
        <w:tblW w:w="10205" w:type="dxa"/>
        <w:jc w:val="left"/>
        <w:tblInd w:w="0" w:type="dxa"/>
        <w:tblLayout w:type="fixed"/>
        <w:tblCellMar>
          <w:top w:w="28" w:type="dxa"/>
          <w:left w:w="28" w:type="dxa"/>
          <w:bottom w:w="28" w:type="dxa"/>
          <w:right w:w="28" w:type="dxa"/>
        </w:tblCellMar>
      </w:tblPr>
      <w:tblGrid>
        <w:gridCol w:w="2664"/>
        <w:gridCol w:w="2340"/>
        <w:gridCol w:w="2350"/>
        <w:gridCol w:w="258"/>
        <w:gridCol w:w="755"/>
        <w:gridCol w:w="133"/>
        <w:gridCol w:w="133"/>
        <w:gridCol w:w="133"/>
        <w:gridCol w:w="133"/>
        <w:gridCol w:w="258"/>
        <w:gridCol w:w="755"/>
        <w:gridCol w:w="133"/>
        <w:gridCol w:w="160"/>
      </w:tblGrid>
      <w:tr>
        <w:trPr/>
        <w:tc>
          <w:tcPr>
            <w:tcW w:w="2664" w:type="dxa"/>
            <w:tcBorders/>
            <w:vAlign w:val="center"/>
          </w:tcPr>
          <w:p>
            <w:pPr>
              <w:pStyle w:val="TableContents"/>
              <w:bidi w:val="0"/>
              <w:spacing w:before="0" w:after="283"/>
              <w:jc w:val="left"/>
              <w:rPr>
                <w:sz w:val="4"/>
                <w:szCs w:val="4"/>
              </w:rPr>
            </w:pPr>
            <w:r>
              <w:rPr>
                <w:sz w:val="4"/>
                <w:szCs w:val="4"/>
              </w:rPr>
            </w:r>
          </w:p>
        </w:tc>
        <w:tc>
          <w:tcPr>
            <w:tcW w:w="2340" w:type="dxa"/>
            <w:tcBorders/>
            <w:vAlign w:val="center"/>
          </w:tcPr>
          <w:p>
            <w:pPr>
              <w:pStyle w:val="TableContents"/>
              <w:bidi w:val="0"/>
              <w:spacing w:before="0" w:after="283"/>
              <w:jc w:val="left"/>
              <w:rPr>
                <w:sz w:val="4"/>
                <w:szCs w:val="4"/>
              </w:rPr>
            </w:pPr>
            <w:r>
              <w:rPr>
                <w:sz w:val="4"/>
                <w:szCs w:val="4"/>
              </w:rPr>
            </w:r>
          </w:p>
        </w:tc>
        <w:tc>
          <w:tcPr>
            <w:tcW w:w="2350"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3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Three Months Ended March 31,</w:t>
            </w:r>
          </w:p>
        </w:tc>
        <w:tc>
          <w:tcPr>
            <w:tcW w:w="160" w:type="dxa"/>
            <w:tcBorders/>
            <w:vAlign w:val="center"/>
          </w:tcPr>
          <w:p>
            <w:pPr>
              <w:pStyle w:val="TableContents"/>
              <w:bidi w:val="0"/>
              <w:spacing w:before="0" w:after="283"/>
              <w:jc w:val="left"/>
              <w:rPr>
                <w:sz w:val="4"/>
                <w:szCs w:val="4"/>
              </w:rPr>
            </w:pPr>
            <w:r>
              <w:rPr>
                <w:sz w:val="4"/>
                <w:szCs w:val="4"/>
              </w:rPr>
            </w:r>
          </w:p>
        </w:tc>
      </w:tr>
      <w:tr>
        <w:trPr/>
        <w:tc>
          <w:tcPr>
            <w:tcW w:w="73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60" w:type="dxa"/>
            <w:tcBorders/>
            <w:vAlign w:val="center"/>
          </w:tcPr>
          <w:p>
            <w:pPr>
              <w:pStyle w:val="TableContents"/>
              <w:bidi w:val="0"/>
              <w:spacing w:before="0" w:after="283"/>
              <w:jc w:val="left"/>
              <w:rPr>
                <w:sz w:val="4"/>
                <w:szCs w:val="4"/>
              </w:rPr>
            </w:pPr>
            <w:r>
              <w:rPr>
                <w:sz w:val="4"/>
                <w:szCs w:val="4"/>
              </w:rPr>
            </w:r>
          </w:p>
        </w:tc>
      </w:tr>
      <w:tr>
        <w:trPr/>
        <w:tc>
          <w:tcPr>
            <w:tcW w:w="73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c>
          <w:tcPr>
            <w:tcW w:w="160" w:type="dxa"/>
            <w:tcBorders/>
            <w:vAlign w:val="center"/>
          </w:tcPr>
          <w:p>
            <w:pPr>
              <w:pStyle w:val="TableContents"/>
              <w:bidi w:val="0"/>
              <w:spacing w:before="0" w:after="283"/>
              <w:jc w:val="left"/>
              <w:rPr>
                <w:sz w:val="4"/>
                <w:szCs w:val="4"/>
              </w:rPr>
            </w:pPr>
            <w:r>
              <w:rPr>
                <w:sz w:val="4"/>
                <w:szCs w:val="4"/>
              </w:rPr>
            </w:r>
          </w:p>
        </w:tc>
      </w:tr>
      <w:tr>
        <w:trPr/>
        <w:tc>
          <w:tcPr>
            <w:tcW w:w="7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Reconciliation of cash provided by operating activities to cash provided by operating activities, as adjusted</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provided by operating activities, as reported</w:t>
            </w:r>
          </w:p>
        </w:tc>
        <w:tc>
          <w:tcPr>
            <w:tcW w:w="25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223.2 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225.0 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Floor Plan Notes Payable—Non-Trade, net</w:t>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(93.8)</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Floor Plan Notes Payable—Non-Trade associated with floor plan offset, used vehicle borrowing base changes adjusted for acquisitions and divestitures</w:t>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Floor Plan Notes Payable—Trade associated with floor plan offset, adjusted for acquisitions and divestitures</w:t>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cash flow provided by operating activities</w:t>
            </w:r>
          </w:p>
        </w:tc>
        <w:tc>
          <w:tcPr>
            <w:tcW w:w="2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166.5 </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187.4 </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35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80" w:after="18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222885"/>
                <wp:effectExtent l="0" t="0" r="0" b="0"/>
                <wp:wrapNone/>
                <wp:docPr id="38" name="Frame3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b6aa2ca3bafa44b0981a31a355b43715_7">
        <w:r>
          <w:rPr>
            <w:rStyle w:val="InternetLink"/>
          </w:rPr>
          <w:t xml:space="preserve">Table of </w:t>
        </w:r>
      </w:hyperlink>
      <w:hyperlink w:anchor="ib6aa2ca3bafa44b0981a31a355b43715_7">
        <w:r>
          <w:rPr>
            <w:rStyle w:val="InternetLink"/>
          </w:rPr>
          <w:t>Contents</w:t>
        </w:r>
      </w:hyperlink>
    </w:p>
    <w:p>
      <w:pPr>
        <w:pStyle w:val="TextBody"/>
        <w:bidi w:val="0"/>
        <w:spacing w:lineRule="auto" w:line="288" w:before="80" w:after="180"/>
        <w:jc w:val="left"/>
        <w:rPr>
          <w:rFonts w:ascii="Times New Roman;serif" w:hAnsi="Times New Roman;serif"/>
          <w:b w:val="false"/>
          <w:i/>
          <w:color w:val="000000"/>
          <w:sz w:val="20"/>
        </w:rPr>
      </w:pPr>
      <w:r>
        <w:rPr>
          <w:rFonts w:ascii="Times New Roman;serif" w:hAnsi="Times New Roman;serif"/>
          <w:b w:val="false"/>
          <w:i/>
          <w:color w:val="000000"/>
          <w:sz w:val="20"/>
        </w:rPr>
        <w:t xml:space="preserve">Operating Activities— </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 totaled $223.2 million and $225.0 million, for the three months ended March 31, 2026 and 2025, respectively. Adjusted cash flow provided by operating activities totaled $166.5 million and $187.4 million for the three months ended March 31, 2026 and 2025, respectively. Adjusted cash flow provided by operating activities includes net income, adjustments to reconcile net income to net cash provided by operating activities, changes in working capital, changes in used vehicle borrowing base, changes in floor plan notes payable - non-trade and trade, excluding the impact of offsets, and excluding operating cash flows associated with acquisitions and divestitures related to loaner vehicles and new vehicle inventories financed through floor plan notes payable - trade.</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The $20.9 million decrease in adjusted cash flow provided by operating activities for the three months ended March 31, 2026 compared to the three months ended March 31, 2025, was primarily the result of the following:</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decrease of $67.1 million in net income and non-cash adjustments to net income; and</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decrease of $30.8 million related to accounts payable and accrued liabilities; and</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decrease of $12.4 million in other current assets, net.</w:t>
      </w:r>
    </w:p>
    <w:p>
      <w:pPr>
        <w:pStyle w:val="TextBody"/>
        <w:bidi w:val="0"/>
        <w:spacing w:lineRule="auto" w:line="288" w:before="0" w:after="180"/>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The decrease in our adjusted cash flow provided by operating activities was partially offset by:</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$74.1 million increase related to sales volume and the timing of collection of accounts receivable and contracts-in-transit during 2026 as compared to 2025;</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increase of $12.0 million in inventory, net of floor plan notes payable, including both trade and non-trade, excluding offset and including used vehicle borrowing base changes adjusted for acquisitions and divestitures;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$4.1 million increase related to other long term assets and liabilities, net.</w:t>
      </w:r>
    </w:p>
    <w:p>
      <w:pPr>
        <w:pStyle w:val="TextBody"/>
        <w:bidi w:val="0"/>
        <w:spacing w:lineRule="auto" w:line="288" w:before="180" w:after="180"/>
        <w:jc w:val="left"/>
        <w:rPr>
          <w:rFonts w:ascii="Times New Roman;serif" w:hAnsi="Times New Roman;serif"/>
          <w:b w:val="false"/>
          <w:i/>
          <w:color w:val="000000"/>
          <w:sz w:val="20"/>
        </w:rPr>
      </w:pPr>
      <w:r>
        <w:rPr>
          <w:rFonts w:ascii="Times New Roman;serif" w:hAnsi="Times New Roman;serif"/>
          <w:b w:val="false"/>
          <w:i/>
          <w:color w:val="000000"/>
          <w:sz w:val="20"/>
        </w:rPr>
        <w:t>Investing Activities—</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 xml:space="preserve">Net cash provided by investing activities totaled $312.4 million for the three months ended March 31, 2026 compared to net cash used in investing activities of $0.5 million for the three months ended March 31, 2025. </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 xml:space="preserve">Capital expenditures, excluding the purchase of real estate, were $46.4 million and $21.4 million for the three months ended March 31, 2026 and 2025, respectively. </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2026, we acquired real estate properties for $2.5 million and did not purchase previously leased real estate properties. We did not acquire real estate properties during the three months ended March 31, 2025.</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three months ended March 31, 2026, we sold 14 franchises (10 dealership locations) for an aggregate purchase price of $361.5 million. The Company recorded a pre-tax gain totaling $125.8 million, which is presented in our accompanying consolidated statements of income as a gain on dealership divestitures, net. </w:t>
      </w:r>
    </w:p>
    <w:p>
      <w:pPr>
        <w:pStyle w:val="TextBody"/>
        <w:bidi w:val="0"/>
        <w:spacing w:lineRule="auto" w:line="288" w:before="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2025, we sold two franchises (two dealership locations) for an aggregate purchase price of $33.5 million. The company recorded a pre-tax gain totaling $4.1 million, which is presented in our accompanying consolidated statements of income as a gain on dealership divestitures, net.</w:t>
      </w:r>
    </w:p>
    <w:p>
      <w:pPr>
        <w:pStyle w:val="TextBody"/>
        <w:bidi w:val="0"/>
        <w:spacing w:lineRule="auto" w:line="288" w:before="20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We purchased $26.5 million and $58.6 million of debt securities during the three months ended March 31, 2026 and 2025, respectively.</w:t>
      </w:r>
    </w:p>
    <w:p>
      <w:pPr>
        <w:pStyle w:val="TextBody"/>
        <w:bidi w:val="0"/>
        <w:spacing w:lineRule="auto" w:line="288" w:before="20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 xml:space="preserve">We received proceeds of $20.6 million and $46.0 million from the sale of debt securities during the three months ended March 31, 2026 and 2025, respectively. </w:t>
      </w:r>
    </w:p>
    <w:p>
      <w:pPr>
        <w:pStyle w:val="TextBody"/>
        <w:bidi w:val="0"/>
        <w:spacing w:lineRule="auto" w:line="288" w:before="20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three months ended March 31, 2026, we received cash proceeds of $5.7 million from the sale of real estate. During the three months ended March 31, 2025, we did not sell any real estate. </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 xml:space="preserve">We expect that capital expenditures during 2026 will total approximately $250.0 million to upgrade or replace our existing facilities, construct new facilities, expand our service capacity, and invest in technology and equipment. In addition, as part of our capital allocation strategy, we continually evaluate opportunities to purchase properties currently under lease and acquire properties in connection with future dealership relocations. No assurances can be provided that we will have or be able to access capital at times or on terms in amounts deemed necessary to execute this strategy.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222885"/>
                <wp:effectExtent l="0" t="0" r="0" b="0"/>
                <wp:wrapNone/>
                <wp:docPr id="39" name="Frame3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b6aa2ca3bafa44b0981a31a355b43715_7">
        <w:r>
          <w:rPr>
            <w:rStyle w:val="InternetLink"/>
          </w:rPr>
          <w:t xml:space="preserve">Table of </w:t>
        </w:r>
      </w:hyperlink>
      <w:hyperlink w:anchor="ib6aa2ca3bafa44b0981a31a355b43715_7">
        <w:r>
          <w:rPr>
            <w:rStyle w:val="InternetLink"/>
          </w:rPr>
          <w:t>Contents</w:t>
        </w:r>
      </w:hyperlink>
    </w:p>
    <w:p>
      <w:pPr>
        <w:pStyle w:val="TextBody"/>
        <w:bidi w:val="0"/>
        <w:spacing w:lineRule="auto" w:line="288" w:before="180" w:after="180"/>
        <w:jc w:val="left"/>
        <w:rPr>
          <w:rFonts w:ascii="Times New Roman;serif" w:hAnsi="Times New Roman;serif"/>
          <w:b w:val="false"/>
          <w:i/>
          <w:color w:val="000000"/>
          <w:sz w:val="20"/>
        </w:rPr>
      </w:pPr>
      <w:r>
        <w:rPr>
          <w:rFonts w:ascii="Times New Roman;serif" w:hAnsi="Times New Roman;serif"/>
          <w:b w:val="false"/>
          <w:i/>
          <w:color w:val="000000"/>
          <w:sz w:val="20"/>
        </w:rPr>
        <w:t>Financing Activities—</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 xml:space="preserve">Net cash used in financing activities totaled $550.7 million for the three months ended March 31, 2026 compared to net cash used in financing activities of $169.3 million for the three months ended March 31, 2025. </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three months ended March 31, 2026 and 2025, we had non-trade floor plan borrowings, excluding floor plan borrowings associated with acquisitions, of $2.14 billion and $2.14 billion, respectively, and non-trade floor plan repayments, excluding floor plan repayments associated with divestitures, of $2.41 billion and $2.26 billion, respectively. </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2026 and 2025, we had non-trade floor plan repayments associated with dealership divestitures of $77.8 million and $17.4 million, respectively.</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 xml:space="preserve">Repayments of borrowings totaled $47.4 million and $13.6 million for the three months ended March 31, 2026 and 2025, respectively. </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There were $475.0 million borrowings and $475.0 million repayments under our revolving credit facility during the three months ended March 31, 2026. During the three months ended March 31, 2025, there were $302.7 million borrowings and $302.7 million repayments under our revolving credit facility.</w:t>
      </w:r>
    </w:p>
    <w:p>
      <w:pPr>
        <w:pStyle w:val="TextBody"/>
        <w:bidi w:val="0"/>
        <w:spacing w:lineRule="auto" w:line="288" w:before="180" w:after="180"/>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2026, we repurchased 678,243 shares of our common stock under our share repurchase program for a total of $147.0 million and repurchased 37,420 shares of our common stock for $9.8 million from employees in connection with a net share settlement feature of employee equity-based awards. During the three months ended March 31, 2025, we repurchased 42,780 shares of our common stock for $12.5 million from employees in connection with a net share settlement feature of employee equity-based awards.</w:t>
      </w: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Off Balance Sheet Arrangements</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We had no off balance sheet arrangements during any of the periods presented other than those disclosed in Note 13 "Commitments and Contingencies" of the Company's condensed consolidated financial statements.</w:t>
      </w: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Guarantor Financial Information</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As of March 31, 2026, the Company had outstanding $405.0 million of 4.500% Senior Notes due 2028 and $445.0 million of 4.750% Senior Notes due 2030. The Senior Notes have been fully and unconditionally guaranteed, jointly and severally, on a senior unsecured basis, by each existing and future restricted subsidiary of the Company (the “Guarantor Subsidiaries”), with the exception of Landcar Administration Company, Landcar Agency, Inc. and Landcar Casualty Company and their respective subsidiaries (collectively, the “TCA Non-Guarantor Subsidiaries"). The 2028 Notes and the 2030 Notes were required to be registered under the Securities Act of 1933 within 270 days of the closing date for the offering of each respective series. The Company completed the registration of the 2028 Notes and 2030 Notes in October 2020.</w:t>
      </w:r>
    </w:p>
    <w:p>
      <w:pPr>
        <w:pStyle w:val="TextBody"/>
        <w:bidi w:val="0"/>
        <w:spacing w:lineRule="auto" w:line="288" w:before="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The following tables present summarized financial information for the Company and the Guarantor Subsidiaries on a combined basis after elimination of (i) intercompany transactions and balances among Asbury and the Guarantor Subsidiaries and (ii) assets, liabilities, and equity in earnings from and investments in any non-guarantor subsidiaries.</w:t>
      </w:r>
    </w:p>
    <w:tbl>
      <w:tblPr>
        <w:tblW w:w="7873" w:type="dxa"/>
        <w:jc w:val="left"/>
        <w:tblInd w:w="0" w:type="dxa"/>
        <w:tblLayout w:type="fixed"/>
        <w:tblCellMar>
          <w:top w:w="28" w:type="dxa"/>
          <w:left w:w="28" w:type="dxa"/>
          <w:bottom w:w="28" w:type="dxa"/>
          <w:right w:w="28" w:type="dxa"/>
        </w:tblCellMar>
      </w:tblPr>
      <w:tblGrid>
        <w:gridCol w:w="873"/>
        <w:gridCol w:w="768"/>
        <w:gridCol w:w="774"/>
        <w:gridCol w:w="452"/>
        <w:gridCol w:w="1644"/>
        <w:gridCol w:w="234"/>
        <w:gridCol w:w="234"/>
        <w:gridCol w:w="234"/>
        <w:gridCol w:w="234"/>
        <w:gridCol w:w="452"/>
        <w:gridCol w:w="1644"/>
        <w:gridCol w:w="330"/>
      </w:tblGrid>
      <w:tr>
        <w:trPr/>
        <w:tc>
          <w:tcPr>
            <w:tcW w:w="873"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64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644"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r>
      <w:tr>
        <w:trPr/>
        <w:tc>
          <w:tcPr>
            <w:tcW w:w="7873"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Summarized Balance Sheet Data of Asbury and Guarantor Subsidiaries</w:t>
            </w:r>
          </w:p>
        </w:tc>
      </w:tr>
      <w:tr>
        <w:trPr/>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w:t>
            </w:r>
          </w:p>
        </w:tc>
      </w:tr>
      <w:tr>
        <w:trPr/>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c>
          <w:tcPr>
            <w:tcW w:w="7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millions)</w:t>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4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2,786.5 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3,150.3 </w:t>
            </w:r>
          </w:p>
        </w:tc>
        <w:tc>
          <w:tcPr>
            <w:tcW w:w="3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 - affiliates</w:t>
            </w:r>
          </w:p>
        </w:tc>
        <w:tc>
          <w:tcPr>
            <w:tcW w:w="4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assets</w:t>
            </w:r>
          </w:p>
        </w:tc>
        <w:tc>
          <w:tcPr>
            <w:tcW w:w="4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7,700.1 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7,614.8 </w:t>
            </w:r>
          </w:p>
        </w:tc>
        <w:tc>
          <w:tcPr>
            <w:tcW w:w="3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4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2,700.6 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2,995.7 </w:t>
            </w:r>
          </w:p>
        </w:tc>
        <w:tc>
          <w:tcPr>
            <w:tcW w:w="3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 - affiliates</w:t>
            </w:r>
          </w:p>
        </w:tc>
        <w:tc>
          <w:tcPr>
            <w:tcW w:w="4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liabilities</w:t>
            </w:r>
          </w:p>
        </w:tc>
        <w:tc>
          <w:tcPr>
            <w:tcW w:w="4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3,593.5 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3,623.0 </w:t>
            </w:r>
          </w:p>
        </w:tc>
        <w:tc>
          <w:tcPr>
            <w:tcW w:w="3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222885"/>
                <wp:effectExtent l="0" t="0" r="0" b="0"/>
                <wp:wrapNone/>
                <wp:docPr id="40" name="Frame4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b6aa2ca3bafa44b0981a31a355b43715_7">
        <w:r>
          <w:rPr>
            <w:rStyle w:val="InternetLink"/>
          </w:rPr>
          <w:t xml:space="preserve">Table of </w:t>
        </w:r>
      </w:hyperlink>
      <w:hyperlink w:anchor="ib6aa2ca3bafa44b0981a31a355b43715_7">
        <w:r>
          <w:rPr>
            <w:rStyle w:val="InternetLink"/>
          </w:rPr>
          <w:t>Contents</w:t>
        </w:r>
      </w:hyperlink>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Summarized Statement of Operations Data for Asbury and Guarantor Subsidiaries</w:t>
      </w:r>
    </w:p>
    <w:tbl>
      <w:tblPr>
        <w:tblW w:w="5535" w:type="dxa"/>
        <w:jc w:val="left"/>
        <w:tblInd w:w="0" w:type="dxa"/>
        <w:tblLayout w:type="fixed"/>
        <w:tblCellMar>
          <w:top w:w="28" w:type="dxa"/>
          <w:left w:w="28" w:type="dxa"/>
          <w:bottom w:w="28" w:type="dxa"/>
          <w:right w:w="28" w:type="dxa"/>
        </w:tblCellMar>
      </w:tblPr>
      <w:tblGrid>
        <w:gridCol w:w="740"/>
        <w:gridCol w:w="646"/>
        <w:gridCol w:w="654"/>
        <w:gridCol w:w="652"/>
        <w:gridCol w:w="2367"/>
        <w:gridCol w:w="476"/>
      </w:tblGrid>
      <w:tr>
        <w:trPr/>
        <w:tc>
          <w:tcPr>
            <w:tcW w:w="740"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2367"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Three Months Ended March 31,</w:t>
            </w:r>
          </w:p>
        </w:tc>
      </w:tr>
      <w:tr>
        <w:trPr/>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r>
      <w:tr>
        <w:trPr/>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millions)</w:t>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6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4,031.8 </w:t>
            </w:r>
          </w:p>
        </w:tc>
        <w:tc>
          <w:tcPr>
            <w:tcW w:w="4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6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706.4 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6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179.2 </w:t>
            </w:r>
          </w:p>
        </w:tc>
        <w:tc>
          <w:tcPr>
            <w:tcW w:w="4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6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178.0 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80" w:after="180"/>
        <w:jc w:val="left"/>
        <w:rPr>
          <w:rFonts w:ascii="Times New Roman;serif" w:hAnsi="Times New Roman;serif"/>
          <w:b/>
          <w:color w:val="000000"/>
          <w:sz w:val="20"/>
        </w:rPr>
      </w:pPr>
      <w:r>
        <w:rPr>
          <w:rFonts w:ascii="Times New Roman;serif" w:hAnsi="Times New Roman;serif"/>
          <w:b/>
          <w:color w:val="000000"/>
          <w:sz w:val="20"/>
        </w:rPr>
        <w:t>Critical Accounting Policies and Estimates</w:t>
      </w:r>
    </w:p>
    <w:p>
      <w:pPr>
        <w:pStyle w:val="TextBody"/>
        <w:bidi w:val="0"/>
        <w:spacing w:lineRule="auto" w:line="288" w:before="180" w:after="180"/>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For a description of our critical accounting policies and estimates, see our Annual Report on Form 10-K for the fiscal year ended December 31, 2025. Our critical accounting policies and estimates have not changed materially during the three months ended March 31,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440"/>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Interest Rate Risk</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We are exposed to risk from changes in interest rates on a significant portion of our outstanding indebtedness. Based on $1.97 billion of total variable interest rate debt, which includes our floor plan notes payable, amounts drawn on our used vehicle floor plan, revolver and certain mortgage liabilities, outstanding as of March 31, 2026, a 100 basis point change in interest rates would result in a change of $19.7 million in annual interest expense.</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 xml:space="preserve">We periodically receive floor plan assistance from certain automobile manufacturers, which is primarily accounted for as a reduction in our new vehicle inventory cost. Floor plan assistance reduced our cost of sales for the three months ended March 31, 2026 and 2025 by $24.6 million and $25.6 million, respectively. We cannot provide assurance as to the future amount of floor plan assistance and these amounts may be negatively impacted due to future changes in interest rates. </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As part of our strategy to mitigate our exposure to fluctuations in interest rates, we have various interest rate swap agreements. All of our interest rate swaps qualify for cash flow hedge accounting treatment and do not contain any ineffectiveness.</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As of March 31, 2026 we had five interest rate swap agreements. These swaps are designed to provide a hedge against changes in variable rate cash flows regarding fluctuations in SOFR. The following table provides information on the attributes of each swap as of March 31, 2026:</w:t>
      </w:r>
    </w:p>
    <w:tbl>
      <w:tblPr>
        <w:tblW w:w="10201" w:type="dxa"/>
        <w:jc w:val="left"/>
        <w:tblInd w:w="0" w:type="dxa"/>
        <w:tblLayout w:type="fixed"/>
        <w:tblCellMar>
          <w:top w:w="28" w:type="dxa"/>
          <w:left w:w="28" w:type="dxa"/>
          <w:bottom w:w="28" w:type="dxa"/>
          <w:right w:w="28" w:type="dxa"/>
        </w:tblCellMar>
      </w:tblPr>
      <w:tblGrid>
        <w:gridCol w:w="473"/>
        <w:gridCol w:w="414"/>
        <w:gridCol w:w="418"/>
        <w:gridCol w:w="109"/>
        <w:gridCol w:w="109"/>
        <w:gridCol w:w="109"/>
        <w:gridCol w:w="558"/>
        <w:gridCol w:w="1629"/>
        <w:gridCol w:w="288"/>
        <w:gridCol w:w="109"/>
        <w:gridCol w:w="109"/>
        <w:gridCol w:w="109"/>
        <w:gridCol w:w="284"/>
        <w:gridCol w:w="829"/>
        <w:gridCol w:w="146"/>
        <w:gridCol w:w="109"/>
        <w:gridCol w:w="109"/>
        <w:gridCol w:w="109"/>
        <w:gridCol w:w="548"/>
        <w:gridCol w:w="1599"/>
        <w:gridCol w:w="283"/>
        <w:gridCol w:w="109"/>
        <w:gridCol w:w="109"/>
        <w:gridCol w:w="109"/>
        <w:gridCol w:w="416"/>
        <w:gridCol w:w="416"/>
        <w:gridCol w:w="592"/>
      </w:tblGrid>
      <w:tr>
        <w:trPr/>
        <w:tc>
          <w:tcPr>
            <w:tcW w:w="473"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62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59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r>
      <w:tr>
        <w:trPr/>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Inception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Notional Principal at Inception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Notional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Notional Principal at Maturity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Maturity Date</w:t>
            </w:r>
          </w:p>
        </w:tc>
      </w:tr>
      <w:tr>
        <w:trPr/>
        <w:tc>
          <w:tcPr>
            <w:tcW w:w="13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5"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January 2022</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29"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300.0 </w:t>
            </w:r>
          </w:p>
        </w:tc>
        <w:tc>
          <w:tcPr>
            <w:tcW w:w="288"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240.0 </w:t>
            </w:r>
          </w:p>
        </w:tc>
        <w:tc>
          <w:tcPr>
            <w:tcW w:w="146"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99"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228.8 </w:t>
            </w:r>
          </w:p>
        </w:tc>
        <w:tc>
          <w:tcPr>
            <w:tcW w:w="283"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2026</w:t>
            </w:r>
          </w:p>
        </w:tc>
      </w:tr>
      <w:tr>
        <w:trPr/>
        <w:tc>
          <w:tcPr>
            <w:tcW w:w="1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January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2031</w:t>
            </w:r>
          </w:p>
        </w:tc>
      </w:tr>
      <w:tr>
        <w:trPr/>
        <w:tc>
          <w:tcPr>
            <w:tcW w:w="1305"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May 2021</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29"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184.4 </w:t>
            </w:r>
          </w:p>
        </w:tc>
        <w:tc>
          <w:tcPr>
            <w:tcW w:w="288"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149.3 </w:t>
            </w:r>
          </w:p>
        </w:tc>
        <w:tc>
          <w:tcPr>
            <w:tcW w:w="146"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99"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110.6 </w:t>
            </w:r>
          </w:p>
        </w:tc>
        <w:tc>
          <w:tcPr>
            <w:tcW w:w="283"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May 2031</w:t>
            </w:r>
          </w:p>
        </w:tc>
      </w:tr>
      <w:tr>
        <w:trPr/>
        <w:tc>
          <w:tcPr>
            <w:tcW w:w="1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July 2020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93.5 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2028</w:t>
            </w:r>
          </w:p>
        </w:tc>
      </w:tr>
      <w:tr>
        <w:trPr/>
        <w:tc>
          <w:tcPr>
            <w:tcW w:w="1305" w:type="dxa"/>
            <w:gridSpan w:val="3"/>
            <w:tcBorders/>
            <w:shd w:fill="BFE4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February 2026</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29"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250.0 </w:t>
            </w:r>
          </w:p>
        </w:tc>
        <w:tc>
          <w:tcPr>
            <w:tcW w:w="288"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248.9 </w:t>
            </w:r>
          </w:p>
        </w:tc>
        <w:tc>
          <w:tcPr>
            <w:tcW w:w="146"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99"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194.3 </w:t>
            </w:r>
          </w:p>
        </w:tc>
        <w:tc>
          <w:tcPr>
            <w:tcW w:w="283"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July 2030</w:t>
            </w:r>
          </w:p>
        </w:tc>
      </w:tr>
    </w:tbl>
    <w:p>
      <w:pPr>
        <w:pStyle w:val="TextBody"/>
        <w:bidi w:val="0"/>
        <w:spacing w:lineRule="auto" w:line="288" w:before="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 xml:space="preserve">These interest rate swaps are marked to market at each reporting date and any unrealized gains or losses are included in accumulated other comprehensive income and reclassified to other interest expense in the same period or periods during which the hedged transactions affect earnings. For additional information about the effect of our derivative instruments, please refer to Note 10 "Financial Instruments and Fair Value" within the accompanying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ind w:left="0" w:right="0" w:hanging="14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222885"/>
                <wp:effectExtent l="0" t="0" r="0" b="0"/>
                <wp:wrapNone/>
                <wp:docPr id="41" name="Frame4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b6aa2ca3bafa44b0981a31a355b43715_7">
        <w:r>
          <w:rPr>
            <w:rStyle w:val="InternetLink"/>
          </w:rPr>
          <w:t xml:space="preserve">Table of </w:t>
        </w:r>
      </w:hyperlink>
      <w:hyperlink w:anchor="ib6aa2ca3bafa44b0981a31a355b43715_7">
        <w:r>
          <w:rPr>
            <w:rStyle w:val="InternetLink"/>
          </w:rPr>
          <w:t>Contents</w:t>
        </w:r>
      </w:hyperlink>
    </w:p>
    <w:p>
      <w:pPr>
        <w:pStyle w:val="TextBody"/>
        <w:bidi w:val="0"/>
        <w:spacing w:lineRule="auto" w:line="288" w:before="0" w:after="180"/>
        <w:ind w:left="0" w:right="0" w:hanging="1440"/>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0" w:after="180"/>
        <w:ind w:left="0" w:right="0" w:hanging="1440"/>
        <w:jc w:val="left"/>
        <w:rPr>
          <w:rFonts w:ascii="Times New Roman;serif" w:hAnsi="Times New Roman;serif"/>
          <w:b/>
          <w:color w:val="000000"/>
          <w:sz w:val="20"/>
        </w:rPr>
      </w:pPr>
      <w:r>
        <w:rPr>
          <w:rFonts w:ascii="Times New Roman;serif" w:hAnsi="Times New Roman;serif"/>
          <w:b/>
          <w:color w:val="000000"/>
          <w:sz w:val="20"/>
        </w:rPr>
        <w:t>Disclosure Controls and Procedures</w:t>
      </w:r>
    </w:p>
    <w:p>
      <w:pPr>
        <w:pStyle w:val="TextBody"/>
        <w:bidi w:val="0"/>
        <w:spacing w:lineRule="auto" w:line="268" w:before="0" w:after="0"/>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Our management is responsible for establishing and maintaining adequate internal control over the Company's financial reporting, as such term is defined in Exchange Act Rule 13(a)-15(f). As of the end of the period covered by this report, we conducted an evaluation, under the supervision and with the participation of our principal executive officer and principal financial officer, of the effectiveness of the design and operation of our disclosure controls and procedures as defined in Rule 13a-15(e) and 15d-15(e) under the Securities Exchange Act of 1934 (the "Exchange Act"). Based on this evaluation, our principal executive officer and principal financial officer concluded that as of the end of such period such disclosure controls and procedures were effective as of March 31, 2026.</w:t>
      </w: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lineRule="auto" w:line="288" w:before="0" w:after="180"/>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During the quarter ended March 31, 2026, as part of our integration activities following the acquisition of The Herb Chambers Dealerships ("Chambers") in July 2025, we began to implement changes related to Chambers' business process controls, IT general controls and IT infrastructure to more closely align with the standards of the Company's controls environment. In accordance with our integration efforts, we plan to incorporate Chambers’ operations into our internal control over financial reporting program within the time provided by the applicable rules and regulations of the U.S. Securities and Exchange Commission.</w:t>
      </w:r>
    </w:p>
    <w:p>
      <w:pPr>
        <w:pStyle w:val="TextBody"/>
        <w:bidi w:val="0"/>
        <w:spacing w:lineRule="auto" w:line="288" w:before="0" w:after="180"/>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2026, we converted 36 stores from CDK, our existing DMS provider, to Tekion, a cloud-based DMS. We are implementing new or modified procedures and controls where appropriate and will continue to evaluate the design and operating effectiveness of internal control over financial reporting in subsequent periods.</w:t>
      </w:r>
    </w:p>
    <w:p>
      <w:pPr>
        <w:pStyle w:val="TextBody"/>
        <w:bidi w:val="0"/>
        <w:spacing w:lineRule="auto" w:line="288" w:before="0" w:after="180"/>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There were no other material changes in our internal control over financial reporting during the quarter ended March 31, 2026 that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1440"/>
        <w:jc w:val="left"/>
        <w:rPr/>
      </w:pPr>
      <w:r>
        <w:rPr/>
      </w:r>
    </w:p>
    <w:p>
      <w:pPr>
        <w:pStyle w:val="TextBody"/>
        <w:bidi w:val="0"/>
        <w:spacing w:lineRule="auto" w:line="288" w:before="0" w:after="0"/>
        <w:ind w:left="0" w:right="0" w:hanging="1440"/>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As of the date of this filing, there have been no additional material legal proceedings or material developments in the legal proceedings disclosed in Part 1, Item 3, of our Annual Report on Form 10-K for the year ended December 31, 2025. For more information, see Note 13 "Commitments and Contingencies" within the accompanying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17" w:before="180" w:after="283"/>
        <w:ind w:left="0" w:right="0" w:hanging="765"/>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120" w:after="60"/>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In addition to the other information set forth in this Quarterly Report on Form 10-Q, you should carefully consider the risk factors that affect our business and financial results that are discussed in Part I, Item 1A, of our Annual Report on Form 10-K for the year ended December 31, 2025. These factors could materially adversely affect our business, financial condition, liquidity, results of operations and capital position, and could cause our actual results to differ materially from our historical results or the results contemplated by the forward-looking statements contained in this report. There have been no material changes to such risk factors.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hanging="810"/>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120" w:after="180"/>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 xml:space="preserve">Share repurchases are implemented through purchases made from time to time in either the open market or private transactions. The share repurchases could include purchases pursuant to a written trading plan in accordance with Rule 10b5-1 under the Securities Exchange Act of 1934, as amended, which allows companies to repurchase shares of stock at times when they might otherwise be prevented from doing so by securities laws or under self-imposed trading blackout periods. The extent that the Company repurchases its shares, the number of shares and the timing of any repurchases will depend on general market conditions, legal requirements and other corporate considerations. The repurchase program may be modified, suspended or terminated at any time without prior notice.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222885"/>
                <wp:effectExtent l="0" t="0" r="0" b="0"/>
                <wp:wrapNone/>
                <wp:docPr id="42" name="Frame4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b6aa2ca3bafa44b0981a31a355b43715_7">
        <w:r>
          <w:rPr>
            <w:rStyle w:val="InternetLink"/>
          </w:rPr>
          <w:t xml:space="preserve">Table of </w:t>
        </w:r>
      </w:hyperlink>
      <w:hyperlink w:anchor="ib6aa2ca3bafa44b0981a31a355b43715_7">
        <w:r>
          <w:rPr>
            <w:rStyle w:val="InternetLink"/>
          </w:rPr>
          <w:t>Contents</w:t>
        </w:r>
      </w:hyperlink>
    </w:p>
    <w:p>
      <w:pPr>
        <w:pStyle w:val="TextBody"/>
        <w:bidi w:val="0"/>
        <w:spacing w:lineRule="auto" w:line="288" w:before="180" w:after="180"/>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Information about the shares of our common stock that we repurchased during the quarter ended March 31, 2026 is set forth below:</w:t>
      </w:r>
    </w:p>
    <w:tbl>
      <w:tblPr>
        <w:tblW w:w="10205" w:type="dxa"/>
        <w:jc w:val="left"/>
        <w:tblInd w:w="0" w:type="dxa"/>
        <w:tblLayout w:type="fixed"/>
        <w:tblCellMar>
          <w:top w:w="28" w:type="dxa"/>
          <w:left w:w="28" w:type="dxa"/>
          <w:bottom w:w="28" w:type="dxa"/>
          <w:right w:w="28" w:type="dxa"/>
        </w:tblCellMar>
      </w:tblPr>
      <w:tblGrid>
        <w:gridCol w:w="418"/>
        <w:gridCol w:w="289"/>
        <w:gridCol w:w="290"/>
        <w:gridCol w:w="109"/>
        <w:gridCol w:w="109"/>
        <w:gridCol w:w="109"/>
        <w:gridCol w:w="667"/>
        <w:gridCol w:w="414"/>
        <w:gridCol w:w="416"/>
        <w:gridCol w:w="109"/>
        <w:gridCol w:w="109"/>
        <w:gridCol w:w="109"/>
        <w:gridCol w:w="279"/>
        <w:gridCol w:w="956"/>
        <w:gridCol w:w="144"/>
        <w:gridCol w:w="109"/>
        <w:gridCol w:w="109"/>
        <w:gridCol w:w="109"/>
        <w:gridCol w:w="799"/>
        <w:gridCol w:w="691"/>
        <w:gridCol w:w="693"/>
        <w:gridCol w:w="109"/>
        <w:gridCol w:w="109"/>
        <w:gridCol w:w="109"/>
        <w:gridCol w:w="608"/>
        <w:gridCol w:w="1779"/>
        <w:gridCol w:w="454"/>
      </w:tblGrid>
      <w:tr>
        <w:trPr/>
        <w:tc>
          <w:tcPr>
            <w:tcW w:w="418"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779"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r>
      <w:tr>
        <w:trPr/>
        <w:tc>
          <w:tcPr>
            <w:tcW w:w="9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Number of Shares (or Units)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Average Price Paid per Share (or Unit)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Number of Shares (or Units) Purchased as Part of Publicly Announced Plans or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Maximum Number (or Approximate Dollar Value) of Shares (or Units) that May Yet Be Purchased Under the Plans or Programs (In millions)</w:t>
            </w:r>
          </w:p>
        </w:tc>
      </w:tr>
      <w:tr>
        <w:trPr/>
        <w:tc>
          <w:tcPr>
            <w:tcW w:w="99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01/01/2026 - 01/31/2026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4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248.50 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175.9 </w:t>
            </w:r>
          </w:p>
        </w:tc>
        <w:tc>
          <w:tcPr>
            <w:tcW w:w="4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02/01/2026 - 02/28/2026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473,480 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226.65 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440,972 </w:t>
            </w:r>
          </w:p>
        </w:tc>
        <w:tc>
          <w:tcPr>
            <w:tcW w:w="6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03/01/2026 - 03/31/2026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242,417 </w:t>
            </w:r>
          </w:p>
        </w:tc>
        <w:tc>
          <w:tcPr>
            <w:tcW w:w="4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198.49 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237,271 </w:t>
            </w:r>
          </w:p>
        </w:tc>
        <w:tc>
          <w:tcPr>
            <w:tcW w:w="6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453.0 </w:t>
            </w:r>
          </w:p>
        </w:tc>
        <w:tc>
          <w:tcPr>
            <w:tcW w:w="4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715,985 </w:t>
            </w:r>
          </w:p>
        </w:tc>
        <w:tc>
          <w:tcPr>
            <w:tcW w:w="4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678,243 </w:t>
            </w:r>
          </w:p>
        </w:tc>
        <w:tc>
          <w:tcPr>
            <w:tcW w:w="6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On February 25, 2026, the Company announced that its Board of Directors approved an increase of $424.0 million in the Company's common share repurchase authorization to $500.0 million (the "New Share Repurchase Authorization"), for the repurchase of our common stock in open market transactions or privately negotiated transactions or in other manners as permitted by federal securities laws and other legal and contractual requirements.</w:t>
      </w:r>
    </w:p>
    <w:p>
      <w:pPr>
        <w:pStyle w:val="TextBody"/>
        <w:bidi w:val="0"/>
        <w:spacing w:lineRule="auto" w:line="288" w:before="180" w:after="180"/>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The extent to which the Company repurchases its shares, the number of shares and the timing of any repurchase will depend on such factors as Asbury’s stock price, general economic and market conditions, the potential impact on its capital structure, the expected return on competing uses of capital such as strategic dealership acquisitions and capital investments and other considerations. The program does not require the Company to repurchase any specific number of shares, and may be modified, suspended or terminated at any time without further notice.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hanging="81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120" w:after="60"/>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None of the Company's directors or officers adopted, modified, or terminated a Rule 10b5-1 trading arrangement or a non-Rule 10b5-1 trading arrangement during the Company's fiscal quarter ended March 31,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222885"/>
                <wp:effectExtent l="0" t="0" r="0" b="0"/>
                <wp:wrapNone/>
                <wp:docPr id="43" name="Frame4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b6aa2ca3bafa44b0981a31a355b43715_7">
        <w:r>
          <w:rPr>
            <w:rStyle w:val="InternetLink"/>
          </w:rPr>
          <w:t xml:space="preserve">Table of </w:t>
        </w:r>
      </w:hyperlink>
      <w:hyperlink w:anchor="ib6aa2ca3bafa44b0981a31a355b43715_7">
        <w:r>
          <w:rPr>
            <w:rStyle w:val="InternetLink"/>
          </w:rPr>
          <w:t>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tbl>
      <w:tblPr>
        <w:tblW w:w="10205" w:type="dxa"/>
        <w:jc w:val="center"/>
        <w:tblInd w:w="0" w:type="dxa"/>
        <w:tblLayout w:type="fixed"/>
        <w:tblCellMar>
          <w:top w:w="28" w:type="dxa"/>
          <w:left w:w="28" w:type="dxa"/>
          <w:bottom w:w="28" w:type="dxa"/>
          <w:right w:w="28" w:type="dxa"/>
        </w:tblCellMar>
      </w:tblPr>
      <w:tblGrid>
        <w:gridCol w:w="297"/>
        <w:gridCol w:w="262"/>
        <w:gridCol w:w="263"/>
        <w:gridCol w:w="109"/>
        <w:gridCol w:w="109"/>
        <w:gridCol w:w="109"/>
        <w:gridCol w:w="2771"/>
        <w:gridCol w:w="2596"/>
        <w:gridCol w:w="3689"/>
      </w:tblGrid>
      <w:tr>
        <w:trPr/>
        <w:tc>
          <w:tcPr>
            <w:tcW w:w="297"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1" w:type="dxa"/>
            <w:tcBorders/>
            <w:vAlign w:val="center"/>
          </w:tcPr>
          <w:p>
            <w:pPr>
              <w:pStyle w:val="TableContents"/>
              <w:bidi w:val="0"/>
              <w:spacing w:before="0" w:after="283"/>
              <w:jc w:val="left"/>
              <w:rPr>
                <w:sz w:val="4"/>
                <w:szCs w:val="4"/>
              </w:rPr>
            </w:pPr>
            <w:r>
              <w:rPr>
                <w:sz w:val="4"/>
                <w:szCs w:val="4"/>
              </w:rPr>
            </w:r>
          </w:p>
        </w:tc>
        <w:tc>
          <w:tcPr>
            <w:tcW w:w="2596" w:type="dxa"/>
            <w:tcBorders/>
            <w:vAlign w:val="center"/>
          </w:tcPr>
          <w:p>
            <w:pPr>
              <w:pStyle w:val="TableContents"/>
              <w:bidi w:val="0"/>
              <w:spacing w:before="0" w:after="283"/>
              <w:jc w:val="left"/>
              <w:rPr>
                <w:sz w:val="4"/>
                <w:szCs w:val="4"/>
              </w:rPr>
            </w:pPr>
            <w:r>
              <w:rPr>
                <w:sz w:val="4"/>
                <w:szCs w:val="4"/>
              </w:rPr>
            </w:r>
          </w:p>
        </w:tc>
        <w:tc>
          <w:tcPr>
            <w:tcW w:w="3689" w:type="dxa"/>
            <w:tcBorders/>
            <w:vAlign w:val="center"/>
          </w:tcPr>
          <w:p>
            <w:pPr>
              <w:pStyle w:val="TableContents"/>
              <w:bidi w:val="0"/>
              <w:spacing w:before="0" w:after="283"/>
              <w:jc w:val="left"/>
              <w:rPr>
                <w:sz w:val="4"/>
                <w:szCs w:val="4"/>
              </w:rPr>
            </w:pPr>
            <w:r>
              <w:rPr>
                <w:sz w:val="4"/>
                <w:szCs w:val="4"/>
              </w:rPr>
            </w:r>
          </w:p>
        </w:tc>
      </w:tr>
      <w:tr>
        <w:trPr/>
        <w:tc>
          <w:tcPr>
            <w:tcW w:w="8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Description of Documents</w:t>
            </w:r>
          </w:p>
        </w:tc>
      </w:tr>
      <w:tr>
        <w:trPr/>
        <w:tc>
          <w:tcPr>
            <w:tcW w:w="82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2">
              <w:r>
                <w:rPr>
                  <w:rStyle w:val="InternetLink"/>
                  <w:rFonts w:ascii="Times New Roman;serif" w:hAnsi="Times New Roman;serif"/>
                  <w:b w:val="false"/>
                  <w:color w:val="000080"/>
                  <w:sz w:val="20"/>
                  <w:u w:val="single"/>
                </w:rPr>
                <w:t>3</w:t>
              </w:r>
            </w:hyperlink>
            <w:hyperlink r:id="rId3">
              <w:r>
                <w:rPr>
                  <w:rStyle w:val="InternetLink"/>
                  <w:rFonts w:ascii="Times New Roman;serif" w:hAnsi="Times New Roman;serif"/>
                  <w:b w:val="false"/>
                  <w:color w:val="000080"/>
                  <w:sz w:val="20"/>
                  <w:u w:val="single"/>
                </w:rPr>
                <w:t>.1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By-Laws of Asbury Automotive Group, Inc., as amended (incorporated by reference to Exhibit 3.1 to the Company’s Current Report on Form 8-K filed with the SEC on February 4, 2026)</w:t>
            </w:r>
          </w:p>
        </w:tc>
      </w:tr>
      <w:tr>
        <w:trPr/>
        <w:tc>
          <w:tcPr>
            <w:tcW w:w="82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ex311section302ceocertific.htm">
              <w:r>
                <w:rPr>
                  <w:rStyle w:val="InternetLink"/>
                  <w:rFonts w:ascii="Times New Roman;serif" w:hAnsi="Times New Roman;serif"/>
                  <w:b w:val="false"/>
                  <w:color w:val="0000FF"/>
                  <w:sz w:val="20"/>
                  <w:u w:val="single"/>
                </w:rPr>
                <w:t>31.1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Certificate of Chief Executive Officer pursuant to Rule 13a-14(a)/15d-14(a) of the Securities Exchange Act of 1934, as adopted pursuant to Section 302 of the Sarbanes-Oxley Act of 2002</w:t>
            </w:r>
          </w:p>
        </w:tc>
      </w:tr>
      <w:tr>
        <w:trPr/>
        <w:tc>
          <w:tcPr>
            <w:tcW w:w="82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ex312section302cfocertific.htm">
              <w:r>
                <w:rPr>
                  <w:rStyle w:val="InternetLink"/>
                  <w:rFonts w:ascii="Times New Roman;serif" w:hAnsi="Times New Roman;serif"/>
                  <w:b w:val="false"/>
                  <w:color w:val="0000FF"/>
                  <w:sz w:val="20"/>
                  <w:u w:val="single"/>
                </w:rPr>
                <w:t>31.2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Certificate of Chief Financial Officer pursuant to Rule 13a-14(a)/15d-14(a) of the Securities Exchange Act of 1934, as adopted pursuant to Section 302 of the Sarbanes-Oxley Act of 2002</w:t>
            </w:r>
          </w:p>
        </w:tc>
      </w:tr>
      <w:tr>
        <w:trPr/>
        <w:tc>
          <w:tcPr>
            <w:tcW w:w="82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ex321section906ceocertific.htm">
              <w:r>
                <w:rPr>
                  <w:rStyle w:val="InternetLink"/>
                  <w:rFonts w:ascii="Times New Roman;serif" w:hAnsi="Times New Roman;serif"/>
                  <w:b w:val="false"/>
                  <w:color w:val="0000FF"/>
                  <w:sz w:val="20"/>
                  <w:u w:val="single"/>
                </w:rPr>
                <w:t>32.1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Certificate of Chief Executive Officer pursuant to 18 U.S.C. Section 1350, as adopted pursuant to Section 906 of the Sarbanes-Oxley Act of 2002</w:t>
            </w:r>
          </w:p>
        </w:tc>
      </w:tr>
      <w:tr>
        <w:trPr/>
        <w:tc>
          <w:tcPr>
            <w:tcW w:w="82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ex322section906cfocertific.htm">
              <w:r>
                <w:rPr>
                  <w:rStyle w:val="InternetLink"/>
                  <w:rFonts w:ascii="Times New Roman;serif" w:hAnsi="Times New Roman;serif"/>
                  <w:b w:val="false"/>
                  <w:color w:val="0000FF"/>
                  <w:sz w:val="20"/>
                  <w:u w:val="single"/>
                </w:rPr>
                <w:t>32.2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Certificate of Chief Financial Officer pursuant to 18 U.S.C. Section 1350, as adopted pursuant to Section 906 of the Sarbanes-Oxley Act of 2002</w:t>
            </w:r>
          </w:p>
        </w:tc>
      </w:tr>
      <w:tr>
        <w:trPr/>
        <w:tc>
          <w:tcPr>
            <w:tcW w:w="8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Instance Document - The instance document does not appear in the interactive data file because its XBRL tags are embedded within the inline XBRL document</w:t>
            </w:r>
          </w:p>
        </w:tc>
      </w:tr>
      <w:tr>
        <w:trPr/>
        <w:tc>
          <w:tcPr>
            <w:tcW w:w="8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Schema Document</w:t>
            </w:r>
          </w:p>
        </w:tc>
      </w:tr>
      <w:tr>
        <w:trPr/>
        <w:tc>
          <w:tcPr>
            <w:tcW w:w="8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Calculation Linkbase Document</w:t>
            </w:r>
          </w:p>
        </w:tc>
      </w:tr>
      <w:tr>
        <w:trPr/>
        <w:tc>
          <w:tcPr>
            <w:tcW w:w="8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Definition Linkbase Document</w:t>
            </w:r>
          </w:p>
        </w:tc>
      </w:tr>
      <w:tr>
        <w:trPr/>
        <w:tc>
          <w:tcPr>
            <w:tcW w:w="8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Label Linkbase Document</w:t>
            </w:r>
          </w:p>
        </w:tc>
      </w:tr>
      <w:tr>
        <w:trPr/>
        <w:tc>
          <w:tcPr>
            <w:tcW w:w="8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Presentation Linkbase Document</w:t>
            </w:r>
          </w:p>
        </w:tc>
      </w:tr>
      <w:tr>
        <w:trPr/>
        <w:tc>
          <w:tcPr>
            <w:tcW w:w="8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in iXBRL Exhibit 101)</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b6aa2ca3bafa44b0981a31a355b43715_7">
        <w:r>
          <w:rPr>
            <w:rStyle w:val="InternetLink"/>
          </w:rPr>
          <w:t xml:space="preserve">Table of </w:t>
        </w:r>
      </w:hyperlink>
      <w:hyperlink w:anchor="ib6aa2ca3bafa44b0981a31a355b43715_7">
        <w:r>
          <w:rPr>
            <w:rStyle w:val="InternetLink"/>
          </w:rPr>
          <w:t>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80" w:after="283"/>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Section 13 or 15(d) of the Securities Exchange Act of 1934, the registrant has duly caused this report to be signed on its behalf by the undersigned, thereunto duly authorized.</w:t>
      </w:r>
    </w:p>
    <w:p>
      <w:pPr>
        <w:pStyle w:val="TextBody"/>
        <w:bidi w:val="0"/>
        <w:spacing w:before="180" w:after="283"/>
        <w:ind w:left="0" w:right="0" w:firstLine="315"/>
        <w:jc w:val="left"/>
        <w:rPr/>
      </w:pPr>
      <w:r>
        <w:rPr/>
      </w:r>
    </w:p>
    <w:tbl>
      <w:tblPr>
        <w:tblW w:w="6505" w:type="dxa"/>
        <w:jc w:val="left"/>
        <w:tblInd w:w="0" w:type="dxa"/>
        <w:tblLayout w:type="fixed"/>
        <w:tblCellMar>
          <w:top w:w="28" w:type="dxa"/>
          <w:left w:w="28" w:type="dxa"/>
          <w:bottom w:w="28" w:type="dxa"/>
          <w:right w:w="28" w:type="dxa"/>
        </w:tblCellMar>
      </w:tblPr>
      <w:tblGrid>
        <w:gridCol w:w="200"/>
        <w:gridCol w:w="177"/>
        <w:gridCol w:w="178"/>
        <w:gridCol w:w="379"/>
        <w:gridCol w:w="379"/>
        <w:gridCol w:w="381"/>
        <w:gridCol w:w="297"/>
        <w:gridCol w:w="297"/>
        <w:gridCol w:w="297"/>
        <w:gridCol w:w="297"/>
        <w:gridCol w:w="297"/>
        <w:gridCol w:w="297"/>
        <w:gridCol w:w="881"/>
        <w:gridCol w:w="881"/>
        <w:gridCol w:w="1267"/>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Asbury Automotive Group,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1, 2026</w:t>
            </w:r>
          </w:p>
        </w:tc>
        <w:tc>
          <w:tcPr>
            <w:tcW w:w="8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89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David W. Hult</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Name:</w:t>
            </w:r>
          </w:p>
        </w:tc>
        <w:tc>
          <w:tcPr>
            <w:tcW w:w="89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David W. Hult</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Title:</w:t>
            </w:r>
          </w:p>
        </w:tc>
        <w:tc>
          <w:tcPr>
            <w:tcW w:w="89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Chief Executive Officer and President</w:t>
            </w:r>
          </w:p>
        </w:tc>
      </w:tr>
    </w:tbl>
    <w:p>
      <w:pPr>
        <w:pStyle w:val="TextBody"/>
        <w:bidi w:val="0"/>
        <w:spacing w:before="80" w:after="283"/>
        <w:jc w:val="left"/>
        <w:rPr/>
      </w:pPr>
      <w:r>
        <w:rPr/>
      </w:r>
    </w:p>
    <w:tbl>
      <w:tblPr>
        <w:tblW w:w="6550" w:type="dxa"/>
        <w:jc w:val="left"/>
        <w:tblInd w:w="0" w:type="dxa"/>
        <w:tblLayout w:type="fixed"/>
        <w:tblCellMar>
          <w:top w:w="28" w:type="dxa"/>
          <w:left w:w="28" w:type="dxa"/>
          <w:bottom w:w="28" w:type="dxa"/>
          <w:right w:w="28" w:type="dxa"/>
        </w:tblCellMar>
      </w:tblPr>
      <w:tblGrid>
        <w:gridCol w:w="200"/>
        <w:gridCol w:w="177"/>
        <w:gridCol w:w="178"/>
        <w:gridCol w:w="379"/>
        <w:gridCol w:w="379"/>
        <w:gridCol w:w="381"/>
        <w:gridCol w:w="203"/>
        <w:gridCol w:w="203"/>
        <w:gridCol w:w="208"/>
        <w:gridCol w:w="109"/>
        <w:gridCol w:w="109"/>
        <w:gridCol w:w="109"/>
        <w:gridCol w:w="1147"/>
        <w:gridCol w:w="1147"/>
        <w:gridCol w:w="1621"/>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1, 2026</w:t>
            </w:r>
          </w:p>
        </w:tc>
        <w:tc>
          <w:tcPr>
            <w:tcW w:w="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Michael D. Welch</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Michael D. Welch</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Title: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Senior Vice President and 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222885"/>
                <wp:effectExtent l="0" t="0" r="0" b="0"/>
                <wp:wrapNone/>
                <wp:docPr id="45" name="Frame4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RULE 13a-14(a)/15d-14(a) OF THE SECURITIES EXCHANGE ACT OF 1934</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302 OF THE SARBANES-OXLEY ACT OF 2002</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 David W. Hult, certify that: </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 xml:space="preserve">1.    I have reviewed this Quarterly Report on Form 10-Q of Asbury Automotive Group, Inc.; </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 xml:space="preserve">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 </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 xml:space="preserve">(a)Designed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hanging="36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pStyle w:val="TextBody"/>
        <w:bidi w:val="0"/>
        <w:spacing w:before="0" w:after="0"/>
        <w:ind w:left="0" w:right="0" w:hanging="36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 xml:space="preserve">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0" w:after="0"/>
        <w:ind w:left="0" w:right="0" w:hanging="72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36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 xml:space="preserve">(b)Any fraud, whether or not material, that involves management or other employees who have a significant role in the registrant's internal control over financial reporting. </w:t>
      </w:r>
    </w:p>
    <w:p>
      <w:pPr>
        <w:pStyle w:val="TextBody"/>
        <w:bidi w:val="0"/>
        <w:spacing w:before="0" w:after="0"/>
        <w:ind w:left="0" w:right="0" w:hanging="720"/>
        <w:jc w:val="left"/>
        <w:rPr/>
      </w:pPr>
      <w:r>
        <w:rPr/>
      </w:r>
    </w:p>
    <w:tbl>
      <w:tblPr>
        <w:tblW w:w="2412" w:type="dxa"/>
        <w:jc w:val="center"/>
        <w:tblInd w:w="0" w:type="dxa"/>
        <w:tblLayout w:type="fixed"/>
        <w:tblCellMar>
          <w:top w:w="28" w:type="dxa"/>
          <w:left w:w="28" w:type="dxa"/>
          <w:bottom w:w="28" w:type="dxa"/>
          <w:right w:w="28" w:type="dxa"/>
        </w:tblCellMar>
      </w:tblPr>
      <w:tblGrid>
        <w:gridCol w:w="738"/>
        <w:gridCol w:w="648"/>
        <w:gridCol w:w="654"/>
        <w:gridCol w:w="109"/>
        <w:gridCol w:w="109"/>
        <w:gridCol w:w="154"/>
      </w:tblGrid>
      <w:tr>
        <w:trPr/>
        <w:tc>
          <w:tcPr>
            <w:tcW w:w="738"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David W. Hult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David W. Hult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1,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6"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RULE 13a-14(a)/15d-14(a) OF THE SECURITIES EXCHANGE ACT OF 1934</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302 OF THE SARBANES-OXLEY ACT OF 2002</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 Michael D. Welch, certify that: </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 xml:space="preserve">1.    I have reviewed this Quarterly Report on Form 10-Q of Asbury Automotive Group, Inc.; </w:t>
      </w:r>
    </w:p>
    <w:p>
      <w:pPr>
        <w:pStyle w:val="TextBody"/>
        <w:bidi w:val="0"/>
        <w:spacing w:before="0" w:after="0"/>
        <w:ind w:left="0" w:right="0" w:hanging="72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 xml:space="preserve">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 </w:t>
      </w:r>
    </w:p>
    <w:p>
      <w:pPr>
        <w:pStyle w:val="TextBody"/>
        <w:bidi w:val="0"/>
        <w:spacing w:before="0" w:after="0"/>
        <w:ind w:left="0" w:right="0" w:hanging="144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 xml:space="preserve">(a)Designed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 xml:space="preserve">(d)Disclosed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 xml:space="preserve">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 xml:space="preserve">(a)All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 xml:space="preserve">(b)Any fraud, whether or not material, that involves management or other employees who have a significant role in the registrant's internal control over financial reporting. </w:t>
      </w:r>
    </w:p>
    <w:p>
      <w:pPr>
        <w:pStyle w:val="TextBody"/>
        <w:bidi w:val="0"/>
        <w:spacing w:before="0" w:after="0"/>
        <w:ind w:left="0" w:right="0" w:hanging="360"/>
        <w:jc w:val="left"/>
        <w:rPr/>
      </w:pPr>
      <w:r>
        <w:rPr/>
      </w:r>
    </w:p>
    <w:tbl>
      <w:tblPr>
        <w:tblW w:w="2351" w:type="dxa"/>
        <w:jc w:val="center"/>
        <w:tblInd w:w="0" w:type="dxa"/>
        <w:tblLayout w:type="fixed"/>
        <w:tblCellMar>
          <w:top w:w="28" w:type="dxa"/>
          <w:left w:w="28" w:type="dxa"/>
          <w:bottom w:w="28" w:type="dxa"/>
          <w:right w:w="28" w:type="dxa"/>
        </w:tblCellMar>
      </w:tblPr>
      <w:tblGrid>
        <w:gridCol w:w="717"/>
        <w:gridCol w:w="628"/>
        <w:gridCol w:w="634"/>
        <w:gridCol w:w="109"/>
        <w:gridCol w:w="109"/>
        <w:gridCol w:w="154"/>
      </w:tblGrid>
      <w:tr>
        <w:trPr/>
        <w:tc>
          <w:tcPr>
            <w:tcW w:w="717"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Michael D. Welch</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Michael D. Welch</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1,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7"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In connection with the Quarterly Report on Form 10-Q of Asbury Automotive Group, Inc. (the "Company") for the period ended March 31, 2026, as filed with the Securities and Exchange Commission on the date hereof (the "Report"), I, David W. Hult, Chief Executive Officer of the Company, certify, pursuant to 18 U.S.C. § 1350, as adopted pursuant to § 906 of the Sarbanes-Oxley Act of 2002, that, to the best of my knowledge:</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(1)The Report fully complies with the requirements of section 13(a) or 15(d) of the Securities Exchange Act of 1934; and </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p>
      <w:pPr>
        <w:pStyle w:val="TextBody"/>
        <w:bidi w:val="0"/>
        <w:spacing w:before="0" w:after="0"/>
        <w:jc w:val="left"/>
        <w:rPr/>
      </w:pPr>
      <w:r>
        <w:rPr/>
      </w:r>
    </w:p>
    <w:tbl>
      <w:tblPr>
        <w:tblW w:w="2412" w:type="dxa"/>
        <w:jc w:val="center"/>
        <w:tblInd w:w="0" w:type="dxa"/>
        <w:tblLayout w:type="fixed"/>
        <w:tblCellMar>
          <w:top w:w="28" w:type="dxa"/>
          <w:left w:w="28" w:type="dxa"/>
          <w:bottom w:w="28" w:type="dxa"/>
          <w:right w:w="28" w:type="dxa"/>
        </w:tblCellMar>
      </w:tblPr>
      <w:tblGrid>
        <w:gridCol w:w="738"/>
        <w:gridCol w:w="648"/>
        <w:gridCol w:w="654"/>
        <w:gridCol w:w="109"/>
        <w:gridCol w:w="109"/>
        <w:gridCol w:w="154"/>
      </w:tblGrid>
      <w:tr>
        <w:trPr/>
        <w:tc>
          <w:tcPr>
            <w:tcW w:w="738"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David W. Hult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David W. Hult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1,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8"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In connection with the Quarterly Report on Form 10-Q of Asbury Automotive Group, Inc. (the "Company") for the period ended March 31, 2026, as filed with the Securities and Exchange Commission on the date hereof (the "Report"), I, Michael D. Welch, Chief Financial Officer of the Company, certify, pursuant to 18 U.S.C. § 1350, as adopted pursuant to § 906 of the Sarbanes-Oxley Act of 2002, that, to the best of my knowledge:</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(1)The Report fully complies with the requirements of section 13(a) or 15(d) of the Securities Exchange Act of 1934; and </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p>
      <w:pPr>
        <w:pStyle w:val="TextBody"/>
        <w:bidi w:val="0"/>
        <w:spacing w:before="0" w:after="0"/>
        <w:jc w:val="left"/>
        <w:rPr/>
      </w:pPr>
      <w:r>
        <w:rPr/>
      </w:r>
    </w:p>
    <w:tbl>
      <w:tblPr>
        <w:tblW w:w="2351" w:type="dxa"/>
        <w:jc w:val="center"/>
        <w:tblInd w:w="0" w:type="dxa"/>
        <w:tblLayout w:type="fixed"/>
        <w:tblCellMar>
          <w:top w:w="28" w:type="dxa"/>
          <w:left w:w="28" w:type="dxa"/>
          <w:bottom w:w="28" w:type="dxa"/>
          <w:right w:w="28" w:type="dxa"/>
        </w:tblCellMar>
      </w:tblPr>
      <w:tblGrid>
        <w:gridCol w:w="717"/>
        <w:gridCol w:w="628"/>
        <w:gridCol w:w="634"/>
        <w:gridCol w:w="109"/>
        <w:gridCol w:w="109"/>
        <w:gridCol w:w="154"/>
      </w:tblGrid>
      <w:tr>
        <w:trPr/>
        <w:tc>
          <w:tcPr>
            <w:tcW w:w="717"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Michael D. Welch</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Michael D. Welch</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1,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9"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144980/000114498026000003/ex31by-laws.htm" TargetMode="External"/><Relationship Id="rId3" Type="http://schemas.openxmlformats.org/officeDocument/2006/relationships/hyperlink" Target="https://www.sec.gov/Archives/edgar/data/1144980/000114498026000003/ex31by-laws.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21189</Words>
  <Characters>115598</Characters>
  <CharactersWithSpaces>134814</CharactersWithSpaces>
  <Paragraphs>3593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